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before="0" w:beforeAutospacing="0" w:after="0" w:afterAutospacing="0" w:line="560" w:lineRule="exact"/>
        <w:rPr>
          <w:rFonts w:eastAsia="仿宋_GB2312"/>
          <w:sz w:val="32"/>
          <w:szCs w:val="32"/>
        </w:rPr>
      </w:pPr>
      <w:r>
        <w:rPr>
          <w:rFonts w:hint="eastAsia" w:eastAsia="仿宋_GB2312"/>
          <w:sz w:val="32"/>
          <w:szCs w:val="32"/>
        </w:rPr>
        <w:t>附件4：</w:t>
      </w:r>
    </w:p>
    <w:p>
      <w:pPr>
        <w:pStyle w:val="4"/>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名词解释</w:t>
      </w:r>
    </w:p>
    <w:p>
      <w:pPr>
        <w:pStyle w:val="4"/>
        <w:spacing w:before="0" w:beforeAutospacing="0" w:after="0" w:afterAutospacing="0" w:line="58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1.一般公共预算：</w:t>
      </w:r>
      <w:r>
        <w:rPr>
          <w:rFonts w:hint="eastAsia" w:ascii="仿宋_GB2312" w:hAnsi="仿宋_GB2312" w:eastAsia="仿宋_GB2312" w:cs="仿宋_GB2312"/>
          <w:bCs/>
          <w:sz w:val="32"/>
          <w:szCs w:val="32"/>
        </w:rPr>
        <w:t>指</w:t>
      </w:r>
      <w:r>
        <w:rPr>
          <w:rFonts w:hint="eastAsia" w:ascii="仿宋_GB2312" w:hAnsi="仿宋_GB2312" w:eastAsia="仿宋_GB2312" w:cs="仿宋_GB2312"/>
          <w:sz w:val="32"/>
          <w:szCs w:val="32"/>
        </w:rPr>
        <w:t>国家凭借政治权力，以社会管理者身份筹集以税收为主体的财政收入，用于保障和改善民生、推动经济社会发展、维持国家机构正常运转、保障国家安全等方面的收支预算。</w:t>
      </w:r>
    </w:p>
    <w:p>
      <w:pPr>
        <w:pStyle w:val="4"/>
        <w:spacing w:before="0" w:beforeAutospacing="0" w:after="0" w:afterAutospacing="0" w:line="580" w:lineRule="exact"/>
        <w:ind w:firstLine="643" w:firstLineChars="200"/>
        <w:jc w:val="both"/>
        <w:rPr>
          <w:rFonts w:ascii="仿宋_GB2312" w:hAnsi="仿宋_GB2312" w:eastAsia="仿宋_GB2312" w:cs="仿宋_GB2312"/>
          <w:bCs/>
          <w:sz w:val="32"/>
          <w:szCs w:val="32"/>
        </w:rPr>
      </w:pPr>
      <w:r>
        <w:rPr>
          <w:rFonts w:hint="eastAsia" w:ascii="仿宋_GB2312" w:hAnsi="仿宋_GB2312" w:eastAsia="仿宋_GB2312" w:cs="仿宋_GB2312"/>
          <w:b/>
          <w:sz w:val="32"/>
          <w:szCs w:val="32"/>
        </w:rPr>
        <w:t>2.一般性转移支付：</w:t>
      </w:r>
      <w:r>
        <w:rPr>
          <w:rFonts w:hint="eastAsia" w:ascii="仿宋_GB2312" w:hAnsi="仿宋_GB2312" w:eastAsia="仿宋_GB2312" w:cs="仿宋_GB2312"/>
          <w:bCs/>
          <w:sz w:val="32"/>
          <w:szCs w:val="32"/>
        </w:rPr>
        <w:t>指中央政府对有财力缺口的地方政府（主要是中西部地区），按照规范的办法给与的补助。包括均衡性转移支付、民族地区转移支付、农村税费改革转移支付、调整工资转移支付等，地方政府可以按照相关规定统筹安排和使用。</w:t>
      </w:r>
    </w:p>
    <w:p>
      <w:pPr>
        <w:pStyle w:val="4"/>
        <w:spacing w:before="0" w:beforeAutospacing="0" w:after="0" w:afterAutospacing="0" w:line="58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3.政府性基金预算：</w:t>
      </w:r>
      <w:r>
        <w:rPr>
          <w:rFonts w:hint="eastAsia" w:ascii="仿宋_GB2312" w:hAnsi="仿宋_GB2312" w:eastAsia="仿宋_GB2312" w:cs="仿宋_GB2312"/>
          <w:bCs/>
          <w:sz w:val="32"/>
          <w:szCs w:val="32"/>
        </w:rPr>
        <w:t>指</w:t>
      </w:r>
      <w:r>
        <w:rPr>
          <w:rFonts w:hint="eastAsia" w:ascii="仿宋_GB2312" w:hAnsi="仿宋_GB2312" w:eastAsia="仿宋_GB2312" w:cs="仿宋_GB2312"/>
          <w:sz w:val="32"/>
          <w:szCs w:val="32"/>
        </w:rPr>
        <w:t>对依照法律、行政法规的规定在一定期限内向特定对象征收、收取或者以其他方式筹集的资金，专项用于支持特定基础设施建设和社会事业发展等方面收支预算。</w:t>
      </w:r>
    </w:p>
    <w:p>
      <w:pPr>
        <w:pStyle w:val="4"/>
        <w:spacing w:before="0" w:beforeAutospacing="0" w:after="0" w:afterAutospacing="0" w:line="58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4.国有资本经营预算：</w:t>
      </w:r>
      <w:r>
        <w:rPr>
          <w:rFonts w:hint="eastAsia" w:ascii="仿宋_GB2312" w:hAnsi="仿宋_GB2312" w:eastAsia="仿宋_GB2312" w:cs="仿宋_GB2312"/>
          <w:sz w:val="32"/>
          <w:szCs w:val="32"/>
        </w:rPr>
        <w:t>指国家以国有资产所有者身份依法取得国有资本收益，并对所得收益进行分配而发生的收支预算。国有资本经营预算应当按照收支平衡的原则编制，不列赤字，并安排资金调入一般公共预算。</w:t>
      </w:r>
    </w:p>
    <w:p>
      <w:pPr>
        <w:pStyle w:val="4"/>
        <w:spacing w:before="0" w:beforeAutospacing="0" w:after="0" w:afterAutospacing="0" w:line="580" w:lineRule="exact"/>
        <w:ind w:firstLine="611" w:firstLineChars="200"/>
        <w:jc w:val="both"/>
        <w:rPr>
          <w:rFonts w:ascii="仿宋_GB2312" w:hAnsi="仿宋_GB2312" w:eastAsia="仿宋_GB2312" w:cs="仿宋_GB2312"/>
          <w:spacing w:val="-8"/>
          <w:sz w:val="32"/>
          <w:szCs w:val="32"/>
        </w:rPr>
      </w:pPr>
      <w:r>
        <w:rPr>
          <w:rFonts w:hint="eastAsia" w:ascii="仿宋_GB2312" w:hAnsi="仿宋_GB2312" w:eastAsia="仿宋_GB2312" w:cs="仿宋_GB2312"/>
          <w:b/>
          <w:spacing w:val="-8"/>
          <w:sz w:val="32"/>
          <w:szCs w:val="32"/>
        </w:rPr>
        <w:t>5.社会保险基金预算：</w:t>
      </w:r>
      <w:r>
        <w:rPr>
          <w:rFonts w:hint="eastAsia" w:ascii="仿宋_GB2312" w:hAnsi="仿宋_GB2312" w:eastAsia="仿宋_GB2312" w:cs="仿宋_GB2312"/>
          <w:bCs/>
          <w:spacing w:val="-8"/>
          <w:sz w:val="32"/>
          <w:szCs w:val="32"/>
        </w:rPr>
        <w:t>指</w:t>
      </w:r>
      <w:r>
        <w:rPr>
          <w:rFonts w:hint="eastAsia" w:ascii="仿宋_GB2312" w:hAnsi="仿宋_GB2312" w:eastAsia="仿宋_GB2312" w:cs="仿宋_GB2312"/>
          <w:spacing w:val="-8"/>
          <w:sz w:val="32"/>
          <w:szCs w:val="32"/>
        </w:rPr>
        <w:t>对社会保险缴款、一般公共预算安排和其他方式筹集的资金，专项用于社会保障支出的收支预算。</w:t>
      </w:r>
    </w:p>
    <w:p>
      <w:pPr>
        <w:autoSpaceDE w:val="0"/>
        <w:autoSpaceDN w:val="0"/>
        <w:adjustRightInd w:val="0"/>
        <w:snapToGrid w:val="0"/>
        <w:spacing w:line="580" w:lineRule="exact"/>
        <w:ind w:firstLine="643" w:firstLineChars="200"/>
        <w:outlineLvl w:val="0"/>
        <w:rPr>
          <w:rFonts w:ascii="仿宋_GB2312" w:hAnsi="仿宋_GB2312" w:eastAsia="仿宋_GB2312"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b/>
          <w:bCs/>
          <w:sz w:val="32"/>
          <w:szCs w:val="32"/>
          <w:shd w:val="clear" w:color="auto" w:fill="FFFFFF"/>
        </w:rPr>
        <w:t>三公”经费：</w:t>
      </w:r>
      <w:r>
        <w:rPr>
          <w:rFonts w:hint="eastAsia" w:ascii="仿宋_GB2312" w:hAnsi="仿宋_GB2312" w:eastAsia="仿宋_GB2312" w:cs="仿宋_GB2312"/>
          <w:sz w:val="32"/>
          <w:szCs w:val="32"/>
          <w:shd w:val="clear" w:color="auto" w:fill="FFFFFF"/>
        </w:rPr>
        <w:t>指</w:t>
      </w:r>
      <w:r>
        <w:rPr>
          <w:rFonts w:hint="eastAsia" w:ascii="仿宋_GB2312" w:hAnsi="仿宋_GB2312" w:eastAsia="仿宋_GB2312" w:cs="仿宋_GB2312"/>
          <w:sz w:val="32"/>
          <w:szCs w:val="32"/>
        </w:rPr>
        <w:t>政府部门人员</w:t>
      </w:r>
      <w:r>
        <w:rPr>
          <w:rFonts w:hint="eastAsia" w:ascii="仿宋_GB2312" w:hAnsi="仿宋_GB2312" w:eastAsia="仿宋_GB2312" w:cs="仿宋_GB2312"/>
          <w:sz w:val="32"/>
          <w:szCs w:val="32"/>
          <w:shd w:val="clear" w:color="auto" w:fill="FFFFFF"/>
        </w:rPr>
        <w:t>用财政拨款支出安排的出国（境）费、车辆购置及运行费、公务接待费这三项经费。</w:t>
      </w:r>
    </w:p>
    <w:p>
      <w:pPr>
        <w:pStyle w:val="4"/>
        <w:spacing w:before="0" w:beforeAutospacing="0" w:after="0" w:afterAutospacing="0" w:line="580" w:lineRule="exact"/>
        <w:ind w:firstLine="643"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b/>
          <w:sz w:val="32"/>
          <w:szCs w:val="32"/>
        </w:rPr>
        <w:t>7.预算决算公开：</w:t>
      </w:r>
      <w:r>
        <w:rPr>
          <w:rFonts w:hint="eastAsia" w:ascii="仿宋_GB2312" w:hAnsi="仿宋_GB2312" w:eastAsia="仿宋_GB2312" w:cs="仿宋_GB2312"/>
          <w:spacing w:val="-5"/>
          <w:sz w:val="32"/>
          <w:szCs w:val="32"/>
        </w:rPr>
        <w:t>指政府和相关组织机构向公众公开或开放自己所拥有的财政预算信息，使其他组织机构和公众个人可以基于任何正当理由和采用尽可能简便的方法获得相关信息。</w:t>
      </w:r>
    </w:p>
    <w:p>
      <w:pPr>
        <w:autoSpaceDE w:val="0"/>
        <w:autoSpaceDN w:val="0"/>
        <w:adjustRightInd w:val="0"/>
        <w:snapToGrid w:val="0"/>
        <w:spacing w:line="580" w:lineRule="exact"/>
        <w:ind w:firstLine="643" w:firstLineChars="200"/>
        <w:outlineLvl w:val="0"/>
        <w:rPr>
          <w:rFonts w:eastAsia="仿宋_GB2312"/>
          <w:sz w:val="32"/>
          <w:szCs w:val="32"/>
          <w:shd w:val="clear" w:color="auto" w:fill="FFFFFF"/>
        </w:rPr>
      </w:pP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shd w:val="clear" w:color="auto" w:fill="FFFFFF"/>
        </w:rPr>
        <w:t>政府购买服务：</w:t>
      </w:r>
      <w:r>
        <w:rPr>
          <w:rFonts w:hint="eastAsia" w:ascii="仿宋_GB2312" w:hAnsi="仿宋_GB2312" w:eastAsia="仿宋_GB2312" w:cs="仿宋_GB2312"/>
          <w:sz w:val="32"/>
          <w:szCs w:val="32"/>
          <w:shd w:val="clear" w:color="auto" w:fill="FFFFFF"/>
        </w:rPr>
        <w:t>指将原来由政府直接提供的、为社会公共服务的事项交给有资质的社会组织或市场机构来完成，并根据社会组织或市场机构提供服务的数量和质量，按照一定的标准进行评估后支付服务费用，即“政府承担、定项委托、合同管理、评估兑现”，是一种新型的政府提供公共服务方式。</w:t>
      </w:r>
    </w:p>
    <w:p>
      <w:pPr>
        <w:autoSpaceDE w:val="0"/>
        <w:autoSpaceDN w:val="0"/>
        <w:spacing w:line="520" w:lineRule="exact"/>
        <w:ind w:left="1373" w:leftChars="304" w:hanging="735" w:hangingChars="350"/>
      </w:pPr>
    </w:p>
    <w:p/>
    <w:p>
      <w:bookmarkStart w:id="0" w:name="_GoBack"/>
      <w:bookmarkEnd w:id="0"/>
    </w:p>
    <w:sectPr>
      <w:footerReference r:id="rId3" w:type="default"/>
      <w:pgSz w:w="11906" w:h="16838"/>
      <w:pgMar w:top="1440" w:right="1800" w:bottom="1440" w:left="1800" w:header="851" w:footer="992" w:gutter="0"/>
      <w:pgNumType w:fmt="numberInDash" w:start="6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altName w:val="原云涯風味毛筆字"/>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原云涯風味毛筆字">
    <w:panose1 w:val="02000600000000000000"/>
    <w:charset w:val="80"/>
    <w:family w:val="auto"/>
    <w:pitch w:val="default"/>
    <w:sig w:usb0="A00002BF" w:usb1="68C7FCFB" w:usb2="00000010" w:usb3="00000000" w:csb0="4002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叶根友风帆特色">
    <w:panose1 w:val="02010601030101010101"/>
    <w:charset w:val="86"/>
    <w:family w:val="auto"/>
    <w:pitch w:val="default"/>
    <w:sig w:usb0="00000001" w:usb1="080E0000" w:usb2="00000000" w:usb3="00000000" w:csb0="00040000" w:csb1="00000000"/>
  </w:font>
  <w:font w:name="名字设计签名字体">
    <w:panose1 w:val="03000502000000000000"/>
    <w:charset w:val="86"/>
    <w:family w:val="auto"/>
    <w:pitch w:val="default"/>
    <w:sig w:usb0="00000001" w:usb1="080E0000" w:usb2="00000000" w:usb3="00000000" w:csb0="00040000" w:csb1="00000000"/>
  </w:font>
  <w:font w:name="宋二体">
    <w:panose1 w:val="02010609000101010101"/>
    <w:charset w:val="00"/>
    <w:family w:val="auto"/>
    <w:pitch w:val="default"/>
    <w:sig w:usb0="00000000" w:usb1="00000000" w:usb2="00000000" w:usb3="00000000" w:csb0="00000000" w:csb1="00000000"/>
  </w:font>
  <w:font w:name="微软繁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圆孙中山行书">
    <w:panose1 w:val="02010609000101010101"/>
    <w:charset w:val="86"/>
    <w:family w:val="auto"/>
    <w:pitch w:val="default"/>
    <w:sig w:usb0="800002BF" w:usb1="08476CFA" w:usb2="00000012" w:usb3="00000000" w:csb0="00040000" w:csb1="00000000"/>
  </w:font>
  <w:font w:name="方正中等线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12.6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02CA"/>
    <w:rsid w:val="00172A27"/>
    <w:rsid w:val="00266B1B"/>
    <w:rsid w:val="002C533F"/>
    <w:rsid w:val="002C5E1C"/>
    <w:rsid w:val="00455026"/>
    <w:rsid w:val="0056087C"/>
    <w:rsid w:val="006A67CB"/>
    <w:rsid w:val="00726AD9"/>
    <w:rsid w:val="007B4868"/>
    <w:rsid w:val="00980AA0"/>
    <w:rsid w:val="00B213B2"/>
    <w:rsid w:val="00BD4BCD"/>
    <w:rsid w:val="00C33696"/>
    <w:rsid w:val="00CB5227"/>
    <w:rsid w:val="00CC0B24"/>
    <w:rsid w:val="00D2486A"/>
    <w:rsid w:val="13E5054D"/>
    <w:rsid w:val="1A6B1C9E"/>
    <w:rsid w:val="602E0821"/>
    <w:rsid w:val="6BF119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sz w:val="24"/>
      <w:szCs w:val="20"/>
    </w:rPr>
  </w:style>
  <w:style w:type="character" w:styleId="6">
    <w:name w:val="page number"/>
    <w:basedOn w:val="5"/>
    <w:uiPriority w:val="99"/>
    <w:rPr>
      <w:rFonts w:cs="Times New Roman"/>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106</Words>
  <Characters>609</Characters>
  <Lines>5</Lines>
  <Paragraphs>1</Paragraphs>
  <ScaleCrop>false</ScaleCrop>
  <LinksUpToDate>false</LinksUpToDate>
  <CharactersWithSpaces>714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2016-10-26T06:29:00Z</dcterms:created>
  <dc:creator>Administrator</dc:creator>
  <cp:lastModifiedBy>Administrator</cp:lastModifiedBy>
  <cp:lastPrinted>2017-12-13T07:34:00Z</cp:lastPrinted>
  <dcterms:modified xsi:type="dcterms:W3CDTF">2017-12-16T03:02:27Z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