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平罗县2018年部门预算收支总表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160" w:type="dxa"/>
        <w:jc w:val="center"/>
        <w:tblInd w:w="2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55"/>
        <w:gridCol w:w="1655"/>
        <w:gridCol w:w="3193"/>
        <w:gridCol w:w="1721"/>
        <w:gridCol w:w="1549"/>
        <w:gridCol w:w="20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610" w:type="dxa"/>
            <w:gridSpan w:val="2"/>
            <w:tcBorders>
              <w:bottom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收入</w:t>
            </w:r>
          </w:p>
        </w:tc>
        <w:tc>
          <w:tcPr>
            <w:tcW w:w="8550" w:type="dxa"/>
            <w:gridSpan w:val="4"/>
            <w:tcBorders>
              <w:bottom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vMerge w:val="restart"/>
            <w:tcBorders>
              <w:top w:val="single" w:color="auto" w:sz="4" w:space="0"/>
              <w:righ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655" w:type="dxa"/>
            <w:vMerge w:val="restart"/>
            <w:tcBorders>
              <w:top w:val="single" w:color="auto" w:sz="4" w:space="0"/>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预算数</w:t>
            </w:r>
          </w:p>
        </w:tc>
        <w:tc>
          <w:tcPr>
            <w:tcW w:w="3193" w:type="dxa"/>
            <w:vMerge w:val="restart"/>
            <w:tcBorders>
              <w:top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57" w:type="dxa"/>
            <w:gridSpan w:val="3"/>
            <w:tcBorders>
              <w:top w:val="single" w:color="auto" w:sz="4" w:space="0"/>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vMerge w:val="continue"/>
            <w:tcBorders>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1655" w:type="dxa"/>
            <w:vMerge w:val="continue"/>
            <w:tcBorders>
              <w:lef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lang w:val="en-US" w:eastAsia="zh-CN"/>
              </w:rPr>
            </w:pPr>
          </w:p>
        </w:tc>
        <w:tc>
          <w:tcPr>
            <w:tcW w:w="3193" w:type="dxa"/>
            <w:vMerge w:val="continue"/>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721" w:type="dxa"/>
            <w:tcBorders>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7"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小计</w:t>
            </w:r>
          </w:p>
        </w:tc>
        <w:tc>
          <w:tcPr>
            <w:tcW w:w="1549"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公共预算财政拨款</w:t>
            </w:r>
          </w:p>
        </w:tc>
        <w:tc>
          <w:tcPr>
            <w:tcW w:w="2087"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一、本年收入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一、本年支出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（一）一般公共预算财政拨款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（一）一般公共服务支出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（二）政府性基金预算财政拨款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（二）外交支出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(三)事业收入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（三）国防支出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（四）事业单位经营收入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（四）公共安全支出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（五）其他收入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（五）教育支出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（六）科学技术支出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（七）文化体育与传媒支出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（八）社会保障和就业支出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（九）医疗卫生与计划生育支出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（十）节能环保支出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（十一）城乡社区支出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（十二）农林水支出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（十三）交通运输支出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（十四）资源勘探信息等支出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（十五）商业服务业等支出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（十六）金融支出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（十七）国土海洋气象等支出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（十八）住房保障支出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（十九）粮油物资储备支出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（二十）其他支出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二、上年年末结余结转</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其中：一般公共预算财政拨款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二、年末结余结转</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w w:val="100"/>
                <w:sz w:val="18"/>
                <w:szCs w:val="18"/>
                <w:lang w:val="en-US" w:eastAsia="zh-CN"/>
              </w:rPr>
              <w:t xml:space="preserve">  </w:t>
            </w:r>
            <w:r>
              <w:rPr>
                <w:rFonts w:hint="eastAsia" w:ascii="仿宋_GB2312" w:hAnsi="仿宋_GB2312" w:eastAsia="仿宋_GB2312" w:cs="仿宋_GB2312"/>
                <w:color w:val="auto"/>
                <w:sz w:val="18"/>
                <w:szCs w:val="18"/>
              </w:rPr>
              <w:t>政府性基金预算财政拨款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政府性基金预算财政拨款</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收入总计</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4914" w:type="dxa"/>
            <w:gridSpan w:val="2"/>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支出总计</w:t>
            </w: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平罗县2018年部门预算收入总表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                                                                                      单位：元</w:t>
      </w:r>
    </w:p>
    <w:tbl>
      <w:tblPr>
        <w:tblStyle w:val="13"/>
        <w:tblW w:w="13920" w:type="dxa"/>
        <w:jc w:val="center"/>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09"/>
        <w:gridCol w:w="1060"/>
        <w:gridCol w:w="853"/>
        <w:gridCol w:w="859"/>
        <w:gridCol w:w="859"/>
        <w:gridCol w:w="859"/>
        <w:gridCol w:w="661"/>
        <w:gridCol w:w="860"/>
        <w:gridCol w:w="862"/>
        <w:gridCol w:w="856"/>
        <w:gridCol w:w="857"/>
        <w:gridCol w:w="859"/>
        <w:gridCol w:w="858"/>
        <w:gridCol w:w="662"/>
        <w:gridCol w:w="7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9" w:hRule="atLeast"/>
          <w:jc w:val="center"/>
        </w:trPr>
        <w:tc>
          <w:tcPr>
            <w:tcW w:w="2209"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55" w:line="240" w:lineRule="exact"/>
              <w:ind w:left="867" w:right="829"/>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单位名称</w:t>
            </w:r>
          </w:p>
        </w:tc>
        <w:tc>
          <w:tcPr>
            <w:tcW w:w="1060"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55" w:line="240" w:lineRule="exact"/>
              <w:ind w:left="392" w:right="377"/>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合计</w:t>
            </w:r>
          </w:p>
        </w:tc>
        <w:tc>
          <w:tcPr>
            <w:tcW w:w="3430" w:type="dxa"/>
            <w:gridSpan w:val="4"/>
          </w:tcPr>
          <w:p>
            <w:pPr>
              <w:pStyle w:val="53"/>
              <w:keepNext w:val="0"/>
              <w:keepLines w:val="0"/>
              <w:pageBreakBefore w:val="0"/>
              <w:widowControl w:val="0"/>
              <w:kinsoku/>
              <w:wordWrap/>
              <w:overflowPunct/>
              <w:topLinePunct w:val="0"/>
              <w:autoSpaceDE/>
              <w:autoSpaceDN/>
              <w:bidi w:val="0"/>
              <w:adjustRightInd/>
              <w:snapToGrid/>
              <w:spacing w:before="31" w:line="240" w:lineRule="exact"/>
              <w:ind w:left="1361" w:right="1345"/>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上年结余结转</w:t>
            </w:r>
          </w:p>
        </w:tc>
        <w:tc>
          <w:tcPr>
            <w:tcW w:w="2383" w:type="dxa"/>
            <w:gridSpan w:val="3"/>
          </w:tcPr>
          <w:p>
            <w:pPr>
              <w:pStyle w:val="53"/>
              <w:keepNext w:val="0"/>
              <w:keepLines w:val="0"/>
              <w:pageBreakBefore w:val="0"/>
              <w:widowControl w:val="0"/>
              <w:kinsoku/>
              <w:wordWrap/>
              <w:overflowPunct/>
              <w:topLinePunct w:val="0"/>
              <w:autoSpaceDE/>
              <w:autoSpaceDN/>
              <w:bidi w:val="0"/>
              <w:adjustRightInd/>
              <w:snapToGrid/>
              <w:spacing w:before="31" w:line="240" w:lineRule="exact"/>
              <w:ind w:left="791"/>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财政拨款收入</w:t>
            </w:r>
          </w:p>
        </w:tc>
        <w:tc>
          <w:tcPr>
            <w:tcW w:w="856"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0" w:line="240" w:lineRule="exact"/>
              <w:textAlignment w:val="auto"/>
              <w:outlineLvl w:val="9"/>
              <w:rPr>
                <w:rFonts w:hint="eastAsia" w:ascii="仿宋_GB2312" w:hAnsi="仿宋_GB2312" w:eastAsia="仿宋_GB2312" w:cs="仿宋_GB2312"/>
                <w:color w:val="auto"/>
                <w:sz w:val="12"/>
              </w:rPr>
            </w:pPr>
          </w:p>
          <w:p>
            <w:pPr>
              <w:pStyle w:val="53"/>
              <w:keepNext w:val="0"/>
              <w:keepLines w:val="0"/>
              <w:pageBreakBefore w:val="0"/>
              <w:widowControl w:val="0"/>
              <w:kinsoku/>
              <w:wordWrap/>
              <w:overflowPunct/>
              <w:topLinePunct w:val="0"/>
              <w:autoSpaceDE/>
              <w:autoSpaceDN/>
              <w:bidi w:val="0"/>
              <w:adjustRightInd/>
              <w:snapToGrid/>
              <w:spacing w:line="240" w:lineRule="exact"/>
              <w:ind w:left="24" w:right="11"/>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纳入财政专户管理的非税收入</w:t>
            </w:r>
          </w:p>
        </w:tc>
        <w:tc>
          <w:tcPr>
            <w:tcW w:w="857"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00" w:right="11" w:hanging="272"/>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政府性基金收入</w:t>
            </w:r>
          </w:p>
        </w:tc>
        <w:tc>
          <w:tcPr>
            <w:tcW w:w="859" w:type="dxa"/>
            <w:vMerge w:val="restart"/>
          </w:tcPr>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119"/>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事业收入</w:t>
            </w:r>
          </w:p>
          <w:p>
            <w:pPr>
              <w:pStyle w:val="53"/>
              <w:keepNext w:val="0"/>
              <w:keepLines w:val="0"/>
              <w:pageBreakBefore w:val="0"/>
              <w:widowControl w:val="0"/>
              <w:kinsoku/>
              <w:wordWrap/>
              <w:overflowPunct/>
              <w:topLinePunct w:val="0"/>
              <w:autoSpaceDE/>
              <w:autoSpaceDN/>
              <w:bidi w:val="0"/>
              <w:adjustRightInd/>
              <w:snapToGrid/>
              <w:spacing w:before="1" w:line="240" w:lineRule="exact"/>
              <w:ind w:left="28" w:right="12"/>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w:t>
            </w:r>
            <w:r>
              <w:rPr>
                <w:rFonts w:hint="eastAsia" w:ascii="仿宋_GB2312" w:hAnsi="仿宋_GB2312" w:eastAsia="仿宋_GB2312" w:cs="仿宋_GB2312"/>
                <w:color w:val="auto"/>
                <w:spacing w:val="-5"/>
                <w:sz w:val="18"/>
              </w:rPr>
              <w:t>不含预算</w:t>
            </w:r>
            <w:r>
              <w:rPr>
                <w:rFonts w:hint="eastAsia" w:ascii="仿宋_GB2312" w:hAnsi="仿宋_GB2312" w:eastAsia="仿宋_GB2312" w:cs="仿宋_GB2312"/>
                <w:color w:val="auto"/>
                <w:sz w:val="18"/>
              </w:rPr>
              <w:t>外资金收 入）</w:t>
            </w:r>
          </w:p>
        </w:tc>
        <w:tc>
          <w:tcPr>
            <w:tcW w:w="858"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208" w:right="12" w:hanging="18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事业单位经营收入</w:t>
            </w:r>
          </w:p>
        </w:tc>
        <w:tc>
          <w:tcPr>
            <w:tcW w:w="662"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277" w:right="82" w:hanging="18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其他收入</w:t>
            </w:r>
          </w:p>
        </w:tc>
        <w:tc>
          <w:tcPr>
            <w:tcW w:w="746"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0" w:line="240" w:lineRule="exact"/>
              <w:textAlignment w:val="auto"/>
              <w:outlineLvl w:val="9"/>
              <w:rPr>
                <w:rFonts w:hint="eastAsia" w:ascii="仿宋_GB2312" w:hAnsi="仿宋_GB2312" w:eastAsia="仿宋_GB2312" w:cs="仿宋_GB2312"/>
                <w:color w:val="auto"/>
                <w:sz w:val="12"/>
              </w:rPr>
            </w:pPr>
          </w:p>
          <w:p>
            <w:pPr>
              <w:pStyle w:val="53"/>
              <w:keepNext w:val="0"/>
              <w:keepLines w:val="0"/>
              <w:pageBreakBefore w:val="0"/>
              <w:widowControl w:val="0"/>
              <w:kinsoku/>
              <w:wordWrap/>
              <w:overflowPunct/>
              <w:topLinePunct w:val="0"/>
              <w:autoSpaceDE/>
              <w:autoSpaceDN/>
              <w:bidi w:val="0"/>
              <w:adjustRightInd/>
              <w:snapToGrid/>
              <w:spacing w:line="240" w:lineRule="exact"/>
              <w:ind w:left="53" w:right="40"/>
              <w:jc w:val="both"/>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用事业基金弥补收支差额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83" w:hRule="atLeast"/>
          <w:jc w:val="center"/>
        </w:trPr>
        <w:tc>
          <w:tcPr>
            <w:tcW w:w="220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1060"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296"/>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小计</w:t>
            </w:r>
          </w:p>
        </w:tc>
        <w:tc>
          <w:tcPr>
            <w:tcW w:w="859" w:type="dxa"/>
          </w:tcPr>
          <w:p>
            <w:pPr>
              <w:pStyle w:val="53"/>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2" w:right="8"/>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一般公共预算财政拨款结转</w:t>
            </w: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30" w:line="240" w:lineRule="exact"/>
              <w:ind w:left="302" w:right="9" w:hanging="272"/>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政府性基金结转</w:t>
            </w: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12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其他结转</w:t>
            </w: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189"/>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小计</w:t>
            </w:r>
          </w:p>
        </w:tc>
        <w:tc>
          <w:tcPr>
            <w:tcW w:w="860" w:type="dxa"/>
          </w:tcPr>
          <w:p>
            <w:pPr>
              <w:pStyle w:val="53"/>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0" w:right="10"/>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一般公共预算财政拨款收入</w:t>
            </w:r>
          </w:p>
        </w:tc>
        <w:tc>
          <w:tcPr>
            <w:tcW w:w="862" w:type="dxa"/>
          </w:tcPr>
          <w:p>
            <w:pPr>
              <w:pStyle w:val="53"/>
              <w:keepNext w:val="0"/>
              <w:keepLines w:val="0"/>
              <w:pageBreakBefore w:val="0"/>
              <w:widowControl w:val="0"/>
              <w:kinsoku/>
              <w:wordWrap/>
              <w:overflowPunct/>
              <w:topLinePunct w:val="0"/>
              <w:autoSpaceDE/>
              <w:autoSpaceDN/>
              <w:bidi w:val="0"/>
              <w:adjustRightInd/>
              <w:snapToGrid/>
              <w:spacing w:before="18" w:line="240" w:lineRule="exact"/>
              <w:ind w:left="29" w:right="16"/>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纳入预算管理的行政事业性收费安排的拨款收入</w:t>
            </w:r>
          </w:p>
        </w:tc>
        <w:tc>
          <w:tcPr>
            <w:tcW w:w="85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66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74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A.1.1.3</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预算03表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平罗县2018年预算部门支出总表</w:t>
      </w:r>
    </w:p>
    <w:tbl>
      <w:tblPr>
        <w:tblStyle w:val="13"/>
        <w:tblW w:w="13940" w:type="dxa"/>
        <w:jc w:val="center"/>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87"/>
        <w:gridCol w:w="1516"/>
        <w:gridCol w:w="1954"/>
        <w:gridCol w:w="2089"/>
        <w:gridCol w:w="2076"/>
        <w:gridCol w:w="2227"/>
        <w:gridCol w:w="1409"/>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9" w:hRule="atLeast"/>
          <w:jc w:val="center"/>
        </w:trPr>
        <w:tc>
          <w:tcPr>
            <w:tcW w:w="280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43" w:line="240" w:lineRule="exact"/>
              <w:ind w:left="827"/>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95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68"/>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2018支出安排总计</w:t>
            </w:r>
          </w:p>
        </w:tc>
        <w:tc>
          <w:tcPr>
            <w:tcW w:w="639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43" w:line="240" w:lineRule="exact"/>
              <w:ind w:left="2352" w:right="2325"/>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一般公共财政拨款预算</w:t>
            </w:r>
          </w:p>
        </w:tc>
        <w:tc>
          <w:tcPr>
            <w:tcW w:w="140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203"/>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政府性基金</w:t>
            </w:r>
          </w:p>
        </w:tc>
        <w:tc>
          <w:tcPr>
            <w:tcW w:w="13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81"/>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财政拨款</w:t>
            </w:r>
          </w:p>
          <w:p>
            <w:pPr>
              <w:pStyle w:val="53"/>
              <w:keepNext w:val="0"/>
              <w:keepLines w:val="0"/>
              <w:pageBreakBefore w:val="0"/>
              <w:widowControl w:val="0"/>
              <w:kinsoku/>
              <w:wordWrap/>
              <w:overflowPunct/>
              <w:topLinePunct w:val="0"/>
              <w:autoSpaceDE/>
              <w:autoSpaceDN/>
              <w:bidi w:val="0"/>
              <w:adjustRightInd/>
              <w:snapToGrid/>
              <w:spacing w:line="240" w:lineRule="exact"/>
              <w:ind w:left="81"/>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7"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15" w:right="-58"/>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3"/>
                <w:sz w:val="22"/>
              </w:rPr>
              <w:t>功能科目编码</w:t>
            </w: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189"/>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功能科目名称</w:t>
            </w:r>
          </w:p>
        </w:tc>
        <w:tc>
          <w:tcPr>
            <w:tcW w:w="195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954" w:right="922"/>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537"/>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财政经费拨款</w:t>
            </w: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80" w:right="6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纳入预算管理的行政性事业性收入安排</w:t>
            </w:r>
          </w:p>
        </w:tc>
        <w:tc>
          <w:tcPr>
            <w:tcW w:w="140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c>
          <w:tcPr>
            <w:tcW w:w="13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A.1.1.4</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预算04表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平罗县2018年预算部门支出总表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037" w:type="dxa"/>
        <w:jc w:val="center"/>
        <w:tblInd w:w="2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616"/>
        <w:gridCol w:w="3491"/>
        <w:gridCol w:w="1449"/>
        <w:gridCol w:w="1790"/>
        <w:gridCol w:w="18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5" w:hRule="atLeast"/>
          <w:jc w:val="center"/>
        </w:trPr>
        <w:tc>
          <w:tcPr>
            <w:tcW w:w="547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2387" w:right="235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收入</w:t>
            </w:r>
          </w:p>
        </w:tc>
        <w:tc>
          <w:tcPr>
            <w:tcW w:w="8561"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3757" w:right="3724"/>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tcBorders>
              <w:bottom w:val="nil"/>
              <w:righ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tcBorders>
              <w:left w:val="nil"/>
              <w:bottom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7" w:line="180" w:lineRule="exact"/>
              <w:jc w:val="both"/>
              <w:textAlignment w:val="auto"/>
              <w:outlineLvl w:val="9"/>
              <w:rPr>
                <w:rFonts w:hint="eastAsia" w:ascii="仿宋_GB2312" w:hAnsi="仿宋_GB2312" w:eastAsia="仿宋_GB2312" w:cs="仿宋_GB2312"/>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180" w:lineRule="exact"/>
              <w:ind w:left="795"/>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项目(按功能分类)</w:t>
            </w:r>
          </w:p>
        </w:tc>
        <w:tc>
          <w:tcPr>
            <w:tcW w:w="507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982" w:right="1941"/>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jc w:val="center"/>
        </w:trPr>
        <w:tc>
          <w:tcPr>
            <w:tcW w:w="3860" w:type="dxa"/>
            <w:tcBorders>
              <w:top w:val="nil"/>
              <w:righ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614" w:right="158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616" w:type="dxa"/>
            <w:tcBorders>
              <w:top w:val="nil"/>
              <w:lef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46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预算数</w:t>
            </w:r>
          </w:p>
        </w:tc>
        <w:tc>
          <w:tcPr>
            <w:tcW w:w="349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before="137" w:line="180" w:lineRule="exact"/>
              <w:ind w:left="546" w:right="505"/>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小计</w:t>
            </w: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553" w:right="87" w:hanging="442"/>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公共预算财政拨款</w:t>
            </w: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221" w:right="87" w:hanging="111"/>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一、本年收入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一、本年支出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（一）一般公共预算财政拨款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（一）一般公共服务支出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（二）政府性基金预算财政拨款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（二）外交支出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(三)事业收入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（三）国防支出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（四）事业单位经营收入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（四）公共安全支出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（五）其他收入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（五）教育支出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（六）科学技术支出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（七）文化体育与传媒支出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（八）社会保障和就业支出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（九）医疗卫生与计划生育支出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（十）节能环保支出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（十一）城乡社区支出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（十二）农林水支出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（十三）交通运输支出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（十四）资源勘探信息等支出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（十五）商业服务业等支出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（十六）金融支出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（十七）国土海洋气象等支出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（十八）住房保障支出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（十九）粮油物资储备支出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（二十）其他支出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二、上年年末结余结转</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二、年末结余结转</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w w:val="100"/>
                <w:sz w:val="18"/>
                <w:szCs w:val="18"/>
                <w:lang w:val="en-US" w:eastAsia="zh-CN"/>
              </w:rPr>
              <w:t xml:space="preserve">  </w:t>
            </w:r>
            <w:r>
              <w:rPr>
                <w:rFonts w:hint="eastAsia" w:ascii="仿宋_GB2312" w:hAnsi="仿宋_GB2312" w:eastAsia="仿宋_GB2312" w:cs="仿宋_GB2312"/>
                <w:color w:val="auto"/>
                <w:sz w:val="18"/>
                <w:szCs w:val="18"/>
              </w:rPr>
              <w:t>政府性基金预算财政拨款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政府性基金预算财政拨款</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2"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392" w:right="1355"/>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收入总计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494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990" w:right="1956"/>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支出总计</w:t>
            </w: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A.1.1.5</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预算05表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平罗县2018年财政拨款支出总表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374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61"/>
        <w:gridCol w:w="1401"/>
        <w:gridCol w:w="1776"/>
        <w:gridCol w:w="2210"/>
        <w:gridCol w:w="2214"/>
        <w:gridCol w:w="2027"/>
        <w:gridCol w:w="1389"/>
        <w:gridCol w:w="13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276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4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77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2018支出安排总计</w:t>
            </w:r>
          </w:p>
        </w:tc>
        <w:tc>
          <w:tcPr>
            <w:tcW w:w="6451" w:type="dxa"/>
            <w:gridSpan w:val="3"/>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lang w:eastAsia="zh-CN"/>
              </w:rPr>
            </w:pPr>
            <w:r>
              <w:rPr>
                <w:rFonts w:hint="eastAsia" w:ascii="仿宋_GB2312" w:hAnsi="仿宋_GB2312" w:eastAsia="仿宋_GB2312" w:cs="仿宋_GB2312"/>
                <w:color w:val="auto"/>
                <w:sz w:val="22"/>
              </w:rPr>
              <w:t>一般公共财政拨款预</w:t>
            </w:r>
            <w:r>
              <w:rPr>
                <w:rFonts w:hint="eastAsia" w:ascii="仿宋_GB2312" w:hAnsi="仿宋_GB2312" w:eastAsia="仿宋_GB2312" w:cs="仿宋_GB2312"/>
                <w:color w:val="auto"/>
                <w:sz w:val="22"/>
                <w:lang w:eastAsia="zh-CN"/>
              </w:rPr>
              <w:t>算</w:t>
            </w:r>
          </w:p>
        </w:tc>
        <w:tc>
          <w:tcPr>
            <w:tcW w:w="138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政府性基金</w:t>
            </w:r>
          </w:p>
        </w:tc>
        <w:tc>
          <w:tcPr>
            <w:tcW w:w="136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财政拨款结转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0"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3"/>
                <w:sz w:val="22"/>
              </w:rPr>
              <w:t>功能科目编码</w:t>
            </w: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功能科目名称</w:t>
            </w:r>
          </w:p>
        </w:tc>
        <w:tc>
          <w:tcPr>
            <w:tcW w:w="177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lang w:eastAsia="zh-CN"/>
              </w:rPr>
            </w:pPr>
            <w:r>
              <w:rPr>
                <w:rFonts w:hint="eastAsia" w:ascii="仿宋_GB2312" w:hAnsi="仿宋_GB2312" w:eastAsia="仿宋_GB2312" w:cs="仿宋_GB2312"/>
                <w:color w:val="auto"/>
                <w:sz w:val="22"/>
              </w:rPr>
              <w:t>小</w:t>
            </w:r>
            <w:r>
              <w:rPr>
                <w:rFonts w:hint="eastAsia" w:ascii="仿宋_GB2312" w:hAnsi="仿宋_GB2312" w:eastAsia="仿宋_GB2312" w:cs="仿宋_GB2312"/>
                <w:color w:val="auto"/>
                <w:sz w:val="22"/>
                <w:lang w:eastAsia="zh-CN"/>
              </w:rPr>
              <w:t>计</w:t>
            </w: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财政经费拨款</w:t>
            </w: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spacing w:line="227" w:lineRule="exact"/>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纳入预算管理的行政性事业性收入安排</w:t>
            </w:r>
          </w:p>
        </w:tc>
        <w:tc>
          <w:tcPr>
            <w:tcW w:w="138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c>
          <w:tcPr>
            <w:tcW w:w="136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0"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A.1.1.6</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预算06表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平罗县2018年一般公共预算支出表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700" w:type="dxa"/>
        <w:jc w:val="center"/>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506"/>
        <w:gridCol w:w="505"/>
        <w:gridCol w:w="1476"/>
        <w:gridCol w:w="1506"/>
        <w:gridCol w:w="1019"/>
        <w:gridCol w:w="1028"/>
        <w:gridCol w:w="1029"/>
        <w:gridCol w:w="1028"/>
        <w:gridCol w:w="1029"/>
        <w:gridCol w:w="1015"/>
        <w:gridCol w:w="1013"/>
        <w:gridCol w:w="1014"/>
        <w:gridCol w:w="101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jc w:val="center"/>
        </w:trPr>
        <w:tc>
          <w:tcPr>
            <w:tcW w:w="2992" w:type="dxa"/>
            <w:gridSpan w:val="4"/>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506" w:type="dxa"/>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2" w:line="400" w:lineRule="exact"/>
              <w:ind w:left="0" w:right="0" w:firstLine="0"/>
              <w:jc w:val="center"/>
              <w:textAlignment w:val="auto"/>
              <w:outlineLvl w:val="9"/>
              <w:rPr>
                <w:rFonts w:hint="eastAsia" w:ascii="仿宋_GB2312" w:hAnsi="仿宋_GB2312" w:eastAsia="仿宋_GB2312" w:cs="仿宋_GB2312"/>
                <w:color w:val="auto"/>
                <w:sz w:val="2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2018年预算安排总计</w:t>
            </w:r>
          </w:p>
        </w:tc>
        <w:tc>
          <w:tcPr>
            <w:tcW w:w="5133" w:type="dxa"/>
            <w:gridSpan w:val="5"/>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96"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基本支出</w:t>
            </w:r>
          </w:p>
        </w:tc>
        <w:tc>
          <w:tcPr>
            <w:tcW w:w="5069" w:type="dxa"/>
            <w:gridSpan w:val="5"/>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96"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1516" w:type="dxa"/>
            <w:gridSpan w:val="3"/>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10" w:line="400" w:lineRule="exact"/>
              <w:ind w:left="0" w:right="0" w:firstLine="0"/>
              <w:jc w:val="center"/>
              <w:textAlignment w:val="auto"/>
              <w:outlineLvl w:val="9"/>
              <w:rPr>
                <w:rFonts w:hint="eastAsia" w:ascii="仿宋_GB2312" w:hAnsi="仿宋_GB2312" w:eastAsia="仿宋_GB2312" w:cs="仿宋_GB2312"/>
                <w:color w:val="auto"/>
                <w:sz w:val="28"/>
              </w:rPr>
            </w:pPr>
          </w:p>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科目编码</w:t>
            </w:r>
          </w:p>
        </w:tc>
        <w:tc>
          <w:tcPr>
            <w:tcW w:w="1476" w:type="dxa"/>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10" w:line="400" w:lineRule="exact"/>
              <w:ind w:left="0" w:right="0" w:firstLine="0"/>
              <w:jc w:val="center"/>
              <w:textAlignment w:val="auto"/>
              <w:outlineLvl w:val="9"/>
              <w:rPr>
                <w:rFonts w:hint="eastAsia" w:ascii="仿宋_GB2312" w:hAnsi="仿宋_GB2312" w:eastAsia="仿宋_GB2312" w:cs="仿宋_GB2312"/>
                <w:color w:val="auto"/>
                <w:sz w:val="28"/>
              </w:rPr>
            </w:pPr>
          </w:p>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科目名称</w:t>
            </w:r>
          </w:p>
        </w:tc>
        <w:tc>
          <w:tcPr>
            <w:tcW w:w="15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5133" w:type="dxa"/>
            <w:gridSpan w:val="5"/>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5069" w:type="dxa"/>
            <w:gridSpan w:val="5"/>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3" w:hRule="atLeast"/>
          <w:jc w:val="center"/>
        </w:trPr>
        <w:tc>
          <w:tcPr>
            <w:tcW w:w="1516" w:type="dxa"/>
            <w:gridSpan w:val="3"/>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4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5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019"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1028"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工资福利支出</w:t>
            </w:r>
          </w:p>
        </w:tc>
        <w:tc>
          <w:tcPr>
            <w:tcW w:w="1029" w:type="dxa"/>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对个人和</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家庭的补</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助支出</w:t>
            </w:r>
          </w:p>
        </w:tc>
        <w:tc>
          <w:tcPr>
            <w:tcW w:w="1028"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商品和服务支出</w:t>
            </w:r>
          </w:p>
        </w:tc>
        <w:tc>
          <w:tcPr>
            <w:tcW w:w="1029"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特殊经费</w:t>
            </w:r>
          </w:p>
        </w:tc>
        <w:tc>
          <w:tcPr>
            <w:tcW w:w="1015"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1013" w:type="dxa"/>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自治区党</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委、政府</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的重点项</w:t>
            </w:r>
          </w:p>
        </w:tc>
        <w:tc>
          <w:tcPr>
            <w:tcW w:w="1014"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中央资金配套业务</w:t>
            </w:r>
          </w:p>
        </w:tc>
        <w:tc>
          <w:tcPr>
            <w:tcW w:w="1014"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专项业务类项目</w:t>
            </w:r>
          </w:p>
        </w:tc>
        <w:tc>
          <w:tcPr>
            <w:tcW w:w="1013"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其他类</w:t>
            </w:r>
          </w:p>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款</w:t>
            </w: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项</w:t>
            </w: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类</w:t>
            </w: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bl>
    <w:p>
      <w:pPr>
        <w:rPr>
          <w:rFonts w:hint="eastAsia" w:ascii="仿宋_GB2312" w:hAnsi="仿宋_GB2312" w:eastAsia="仿宋_GB2312" w:cs="仿宋_GB2312"/>
          <w:color w:val="auto"/>
          <w:sz w:val="28"/>
          <w:szCs w:val="28"/>
          <w:lang w:eastAsia="zh-CN"/>
        </w:rPr>
        <w:sectPr>
          <w:headerReference r:id="rId3" w:type="default"/>
          <w:footerReference r:id="rId5" w:type="default"/>
          <w:headerReference r:id="rId4" w:type="even"/>
          <w:footerReference r:id="rId6" w:type="even"/>
          <w:pgSz w:w="16838" w:h="11906" w:orient="landscape"/>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平罗县2018年部门一般公共预算基本支出表(经济分类)</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8980" w:type="dxa"/>
        <w:jc w:val="center"/>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22"/>
        <w:gridCol w:w="3694"/>
        <w:gridCol w:w="31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3"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29"/>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经济分类科目编码</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99" w:right="162"/>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268" w:right="1244"/>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总计：</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一、工资福利支出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基本工资</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津贴补贴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奖金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其他社会保障缴费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伙食补助费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绩效工资</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机关事业单位基本养老保险缴费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职业年金缴费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其他工资福利支出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二、商品和服务支出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印刷费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咨询费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手续费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邮电费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取暖费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物业管理费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差旅费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因公出国（境）费用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维修（护）费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租赁费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会议费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培训费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公务接待费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专用材料费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被装购置费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专用燃料费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劳务费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委托业务费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工会经费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福利费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公务用车运行维护费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40</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税金及附加费用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其他商品和服务支出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三、对个人和家庭的补助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离休费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退休费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退职（役）费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抚恤金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生活补助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救济费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助学金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奖励金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生产补贴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住房公积金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提租补贴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购房补贴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14</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采暖补贴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物业服务补贴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其他对个人和家庭的补助支出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四、基本建设支出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房屋建筑物购建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基础设施建设</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大型修缮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信息网络及软件购置更新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物资储备</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其他交通工具购置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其他基本建设支出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310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4"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五、其他资本性支出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房屋建筑物购建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基础设施建设</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大型修缮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信息网络及软件购置更新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物资储备</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土地补偿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安置补助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地上附着物和青苗补偿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拆迁补偿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其他交通工具购置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产权参股</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其他资本性支出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304</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4"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六、对企事业单位的补贴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企业政策性补贴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事业单位补贴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财政贴息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其他对企事业单位的补贴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七、债务利息支出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国内债务付息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国外债务付息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八、其他支出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赠与</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贷款转贷</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2"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平罗县2018年部门一般公共预算基本支出表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（政府经济分类）</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903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6"/>
        <w:gridCol w:w="3415"/>
        <w:gridCol w:w="33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5"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政府经济分类科目编码</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政府经济分类名称</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5"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合计</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501-机关工资福利支出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50101-工资奖金津补贴</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50102-社会保障缴费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50103</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50103-住房公积金</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50199-其他工资福利支出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502-机关商品和服务支出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50201-办公经费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50202-会议费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50203</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50203-培训费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2"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50205-委托业务费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50206</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50206-公务接待费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50208</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50208-公务用车运行维护费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50209-维修（护）费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50299-其他商品和服务支出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505-对事业单位经常性补助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50501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50501-工资福利支出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50502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50502-商品和服务支出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2"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509-对个人和家庭的补助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3"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50901-社会福利和救助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7"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50905-离退休费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50999-其他对个人和家庭补助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bl>
    <w:p>
      <w:pPr>
        <w:rPr>
          <w:rFonts w:hint="eastAsia" w:ascii="仿宋_GB2312" w:hAnsi="仿宋_GB2312" w:eastAsia="仿宋_GB2312" w:cs="仿宋_GB2312"/>
          <w:color w:val="auto"/>
          <w:sz w:val="28"/>
          <w:szCs w:val="28"/>
          <w:lang w:eastAsia="zh-CN"/>
        </w:rPr>
        <w:sectPr>
          <w:headerReference r:id="rId7" w:type="default"/>
          <w:footerReference r:id="rId8" w:type="even"/>
          <w:pgSz w:w="11906" w:h="16838"/>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5"/>
        <w:keepNext w:val="0"/>
        <w:keepLines w:val="0"/>
        <w:pageBreakBefore w:val="0"/>
        <w:widowControl w:val="0"/>
        <w:kinsoku/>
        <w:wordWrap/>
        <w:overflowPunct/>
        <w:topLinePunct w:val="0"/>
        <w:autoSpaceDE/>
        <w:autoSpaceDN/>
        <w:bidi w:val="0"/>
        <w:adjustRightInd/>
        <w:snapToGrid/>
        <w:spacing w:line="535" w:lineRule="exact"/>
        <w:ind w:left="0"/>
        <w:jc w:val="center"/>
        <w:textAlignment w:val="auto"/>
        <w:outlineLvl w:val="9"/>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w w:val="95"/>
          <w:sz w:val="36"/>
          <w:szCs w:val="36"/>
        </w:rPr>
        <w:t>平罗县2018年部门一般公共预算基本支出明细表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3340" w:type="dxa"/>
        <w:jc w:val="center"/>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5"/>
        <w:gridCol w:w="1459"/>
        <w:gridCol w:w="1488"/>
        <w:gridCol w:w="1331"/>
        <w:gridCol w:w="1709"/>
        <w:gridCol w:w="1871"/>
        <w:gridCol w:w="1765"/>
        <w:gridCol w:w="22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9" w:hRule="atLeast"/>
          <w:jc w:val="center"/>
        </w:trPr>
        <w:tc>
          <w:tcPr>
            <w:tcW w:w="14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功能科目编码</w:t>
            </w:r>
          </w:p>
        </w:tc>
        <w:tc>
          <w:tcPr>
            <w:tcW w:w="145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功能科目名称</w:t>
            </w:r>
          </w:p>
        </w:tc>
        <w:tc>
          <w:tcPr>
            <w:tcW w:w="10416"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8" w:hRule="atLeast"/>
          <w:jc w:val="center"/>
        </w:trPr>
        <w:tc>
          <w:tcPr>
            <w:tcW w:w="14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491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财政拨款</w:t>
            </w:r>
          </w:p>
        </w:tc>
        <w:tc>
          <w:tcPr>
            <w:tcW w:w="17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政府性基金收入</w:t>
            </w:r>
          </w:p>
        </w:tc>
        <w:tc>
          <w:tcPr>
            <w:tcW w:w="22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上年财政结转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6" w:hRule="atLeast"/>
          <w:jc w:val="center"/>
        </w:trPr>
        <w:tc>
          <w:tcPr>
            <w:tcW w:w="14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before="85"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before="85"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纳入预算管理的非</w:t>
            </w:r>
          </w:p>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税收入</w:t>
            </w:r>
          </w:p>
        </w:tc>
        <w:tc>
          <w:tcPr>
            <w:tcW w:w="17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before="73"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before="106" w:line="300" w:lineRule="exact"/>
              <w:ind w:left="0" w:right="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w:t>
            </w: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1</w:t>
            </w: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2</w:t>
            </w: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3</w:t>
            </w: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4</w:t>
            </w: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5</w:t>
            </w: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A.1.1.8</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预算08表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2018年部门项目预算明细表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金额单位：元</w:t>
      </w:r>
    </w:p>
    <w:tbl>
      <w:tblPr>
        <w:tblStyle w:val="13"/>
        <w:tblW w:w="1392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8"/>
        <w:gridCol w:w="927"/>
        <w:gridCol w:w="929"/>
        <w:gridCol w:w="927"/>
        <w:gridCol w:w="933"/>
        <w:gridCol w:w="928"/>
        <w:gridCol w:w="924"/>
        <w:gridCol w:w="927"/>
        <w:gridCol w:w="927"/>
        <w:gridCol w:w="933"/>
        <w:gridCol w:w="928"/>
        <w:gridCol w:w="923"/>
        <w:gridCol w:w="929"/>
        <w:gridCol w:w="928"/>
        <w:gridCol w:w="9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0" w:hRule="atLeast"/>
          <w:jc w:val="center"/>
        </w:trPr>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能科目编</w:t>
            </w:r>
          </w:p>
        </w:tc>
        <w:tc>
          <w:tcPr>
            <w:tcW w:w="9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功能科目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名称/</w:t>
            </w:r>
            <w:r>
              <w:rPr>
                <w:rFonts w:hint="eastAsia" w:ascii="仿宋_GB2312" w:hAnsi="仿宋_GB2312" w:eastAsia="仿宋_GB2312" w:cs="仿宋_GB2312"/>
                <w:b w:val="0"/>
                <w:bCs w:val="0"/>
                <w:color w:val="auto"/>
                <w:spacing w:val="-7"/>
                <w:sz w:val="18"/>
                <w:szCs w:val="18"/>
              </w:rPr>
              <w:t>项目</w:t>
            </w:r>
          </w:p>
        </w:tc>
        <w:tc>
          <w:tcPr>
            <w:tcW w:w="9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rPr>
              <w:t>重要信</w:t>
            </w:r>
            <w:r>
              <w:rPr>
                <w:rFonts w:hint="eastAsia" w:ascii="仿宋_GB2312" w:hAnsi="仿宋_GB2312" w:eastAsia="仿宋_GB2312" w:cs="仿宋_GB2312"/>
                <w:b w:val="0"/>
                <w:bCs w:val="0"/>
                <w:color w:val="auto"/>
                <w:sz w:val="18"/>
                <w:szCs w:val="18"/>
                <w:lang w:eastAsia="zh-CN"/>
              </w:rPr>
              <w:t>息</w:t>
            </w:r>
          </w:p>
        </w:tc>
        <w:tc>
          <w:tcPr>
            <w:tcW w:w="93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项目属性</w:t>
            </w:r>
          </w:p>
        </w:tc>
        <w:tc>
          <w:tcPr>
            <w:tcW w:w="5567"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40"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2018年部门预算财政核定数</w:t>
            </w:r>
          </w:p>
        </w:tc>
        <w:tc>
          <w:tcPr>
            <w:tcW w:w="92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民生项目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政府采购</w:t>
            </w:r>
          </w:p>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项目</w:t>
            </w: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政府购买服务项目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备注</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pacing w:val="-7"/>
                <w:sz w:val="18"/>
                <w:szCs w:val="18"/>
              </w:rPr>
              <w:t>审核</w:t>
            </w:r>
            <w:r>
              <w:rPr>
                <w:rFonts w:hint="eastAsia" w:ascii="仿宋_GB2312" w:hAnsi="仿宋_GB2312" w:eastAsia="仿宋_GB2312" w:cs="仿宋_GB2312"/>
                <w:b w:val="0"/>
                <w:bCs w:val="0"/>
                <w:color w:val="auto"/>
                <w:spacing w:val="-5"/>
                <w:sz w:val="18"/>
                <w:szCs w:val="18"/>
              </w:rPr>
              <w:t>依据或</w:t>
            </w:r>
            <w:r>
              <w:rPr>
                <w:rFonts w:hint="eastAsia" w:ascii="仿宋_GB2312" w:hAnsi="仿宋_GB2312" w:eastAsia="仿宋_GB2312" w:cs="仿宋_GB2312"/>
                <w:b w:val="0"/>
                <w:bCs w:val="0"/>
                <w:color w:val="auto"/>
                <w:sz w:val="18"/>
                <w:szCs w:val="18"/>
              </w:rPr>
              <w:t>理由</w:t>
            </w:r>
            <w:r>
              <w:rPr>
                <w:rFonts w:hint="eastAsia" w:ascii="仿宋_GB2312" w:hAnsi="仿宋_GB2312" w:eastAsia="仿宋_GB2312" w:cs="仿宋_GB2312"/>
                <w:b w:val="0"/>
                <w:bCs w:val="0"/>
                <w:color w:val="auto"/>
                <w:spacing w:val="-14"/>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7" w:hRule="atLeast"/>
          <w:jc w:val="center"/>
        </w:trPr>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合计</w:t>
            </w:r>
          </w:p>
        </w:tc>
        <w:tc>
          <w:tcPr>
            <w:tcW w:w="277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18"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一般公共预算财政拨款</w:t>
            </w: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政府性</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基金预</w:t>
            </w: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2"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上年财政结转</w:t>
            </w:r>
          </w:p>
        </w:tc>
        <w:tc>
          <w:tcPr>
            <w:tcW w:w="9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5" w:hRule="atLeast"/>
          <w:jc w:val="center"/>
        </w:trPr>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小计</w:t>
            </w: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before="175"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经费拨款</w:t>
            </w: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纳入财</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5"/>
                <w:sz w:val="18"/>
                <w:szCs w:val="18"/>
              </w:rPr>
              <w:t>政管理的行政</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事业性</w:t>
            </w: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经费拨款</w:t>
            </w: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A.1.1.9</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预算09表</w:t>
      </w:r>
    </w:p>
    <w:p>
      <w:pPr>
        <w:pStyle w:val="5"/>
        <w:ind w:left="151"/>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平罗县2018年部门一般公共预算“三公”经费支出情况表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w:t>
      </w:r>
    </w:p>
    <w:tbl>
      <w:tblPr>
        <w:tblStyle w:val="13"/>
        <w:tblW w:w="13800" w:type="dxa"/>
        <w:jc w:val="center"/>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563"/>
        <w:gridCol w:w="568"/>
        <w:gridCol w:w="568"/>
        <w:gridCol w:w="570"/>
        <w:gridCol w:w="569"/>
        <w:gridCol w:w="573"/>
        <w:gridCol w:w="565"/>
        <w:gridCol w:w="564"/>
        <w:gridCol w:w="572"/>
        <w:gridCol w:w="568"/>
        <w:gridCol w:w="563"/>
        <w:gridCol w:w="570"/>
        <w:gridCol w:w="572"/>
        <w:gridCol w:w="563"/>
        <w:gridCol w:w="575"/>
        <w:gridCol w:w="568"/>
        <w:gridCol w:w="568"/>
        <w:gridCol w:w="569"/>
        <w:gridCol w:w="565"/>
        <w:gridCol w:w="572"/>
        <w:gridCol w:w="566"/>
        <w:gridCol w:w="565"/>
        <w:gridCol w:w="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6" w:hRule="atLeast"/>
          <w:jc w:val="center"/>
        </w:trPr>
        <w:tc>
          <w:tcPr>
            <w:tcW w:w="73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单位</w:t>
            </w:r>
          </w:p>
        </w:tc>
        <w:tc>
          <w:tcPr>
            <w:tcW w:w="1131"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支出功能分类科目</w:t>
            </w:r>
          </w:p>
        </w:tc>
        <w:tc>
          <w:tcPr>
            <w:tcW w:w="1138"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支出经济分类科目</w:t>
            </w:r>
          </w:p>
        </w:tc>
        <w:tc>
          <w:tcPr>
            <w:tcW w:w="1142"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政府经济分类科目</w:t>
            </w:r>
          </w:p>
        </w:tc>
        <w:tc>
          <w:tcPr>
            <w:tcW w:w="170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“三公”经费</w:t>
            </w:r>
          </w:p>
        </w:tc>
        <w:tc>
          <w:tcPr>
            <w:tcW w:w="170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因公出国（境）</w:t>
            </w:r>
          </w:p>
        </w:tc>
        <w:tc>
          <w:tcPr>
            <w:tcW w:w="4552" w:type="dxa"/>
            <w:gridSpan w:val="8"/>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公务用车购置及运行费</w:t>
            </w:r>
          </w:p>
        </w:tc>
        <w:tc>
          <w:tcPr>
            <w:tcW w:w="170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6"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8"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4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总计</w:t>
            </w:r>
          </w:p>
          <w:p>
            <w:pPr>
              <w:pStyle w:val="53"/>
              <w:keepNext w:val="0"/>
              <w:keepLines w:val="0"/>
              <w:pageBreakBefore w:val="0"/>
              <w:widowControl w:val="0"/>
              <w:kinsoku/>
              <w:wordWrap/>
              <w:overflowPunct/>
              <w:topLinePunct w:val="0"/>
              <w:autoSpaceDE/>
              <w:autoSpaceDN/>
              <w:bidi w:val="0"/>
              <w:adjustRightInd/>
              <w:snapToGrid/>
              <w:spacing w:before="1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称</w:t>
            </w:r>
          </w:p>
        </w:tc>
        <w:tc>
          <w:tcPr>
            <w:tcW w:w="113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171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公务用车购置及运行费</w:t>
            </w:r>
          </w:p>
        </w:tc>
        <w:tc>
          <w:tcPr>
            <w:tcW w:w="113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公务车辆购置费</w:t>
            </w:r>
          </w:p>
        </w:tc>
        <w:tc>
          <w:tcPr>
            <w:tcW w:w="1706"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公车运行维护费</w:t>
            </w:r>
          </w:p>
        </w:tc>
        <w:tc>
          <w:tcPr>
            <w:tcW w:w="56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4"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科目名称</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7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科目名称</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7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w:t>
            </w: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7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13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7"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7"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A.1.1.10</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预算10表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平罗县2018年部门政府性基金预算支出表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sz w:val="28"/>
          <w:szCs w:val="28"/>
          <w:lang w:val="en-US" w:eastAsia="zh-CN"/>
        </w:rPr>
        <w:t>公开部门：</w:t>
      </w:r>
    </w:p>
    <w:tbl>
      <w:tblPr>
        <w:tblStyle w:val="13"/>
        <w:tblW w:w="13640" w:type="dxa"/>
        <w:jc w:val="center"/>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380"/>
        <w:gridCol w:w="456"/>
        <w:gridCol w:w="1508"/>
        <w:gridCol w:w="2"/>
        <w:gridCol w:w="1163"/>
        <w:gridCol w:w="2"/>
        <w:gridCol w:w="1037"/>
        <w:gridCol w:w="1047"/>
        <w:gridCol w:w="1043"/>
        <w:gridCol w:w="1043"/>
        <w:gridCol w:w="1046"/>
        <w:gridCol w:w="1048"/>
        <w:gridCol w:w="1066"/>
        <w:gridCol w:w="1376"/>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2724" w:type="dxa"/>
            <w:gridSpan w:val="5"/>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功能能分类科目</w:t>
            </w:r>
          </w:p>
        </w:tc>
        <w:tc>
          <w:tcPr>
            <w:tcW w:w="1165"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20" w:line="240" w:lineRule="exact"/>
              <w:ind w:left="0" w:right="0" w:firstLine="0"/>
              <w:jc w:val="center"/>
              <w:textAlignment w:val="auto"/>
              <w:outlineLvl w:val="9"/>
              <w:rPr>
                <w:rFonts w:hint="eastAsia" w:ascii="仿宋_GB2312" w:hAnsi="仿宋_GB2312" w:eastAsia="仿宋_GB2312" w:cs="仿宋_GB2312"/>
                <w:color w:val="auto"/>
                <w:sz w:val="21"/>
                <w:szCs w:val="21"/>
              </w:rPr>
            </w:pPr>
          </w:p>
          <w:p>
            <w:pPr>
              <w:pStyle w:val="53"/>
              <w:keepNext w:val="0"/>
              <w:keepLines w:val="0"/>
              <w:pageBreakBefore w:val="0"/>
              <w:widowControl w:val="0"/>
              <w:kinsoku/>
              <w:wordWrap/>
              <w:overflowPunct/>
              <w:topLinePunct w:val="0"/>
              <w:autoSpaceDE/>
              <w:autoSpaceDN/>
              <w:bidi w:val="0"/>
              <w:adjustRightInd/>
              <w:snapToGrid/>
              <w:spacing w:before="12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2018年预算安排总计</w:t>
            </w:r>
          </w:p>
        </w:tc>
        <w:tc>
          <w:tcPr>
            <w:tcW w:w="8706" w:type="dxa"/>
            <w:gridSpan w:val="8"/>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1045" w:type="dxa"/>
            <w:vMerge w:val="restart"/>
            <w:vAlign w:val="center"/>
          </w:tcPr>
          <w:tbl>
            <w:tblPr>
              <w:tblStyle w:val="13"/>
              <w:tblW w:w="1382" w:type="dxa"/>
              <w:tblInd w:w="61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7" w:hRule="atLeast"/>
              </w:trPr>
              <w:tc>
                <w:tcPr>
                  <w:tcW w:w="1382" w:type="dxa"/>
                </w:tcPr>
                <w:tbl>
                  <w:tblPr>
                    <w:tblStyle w:val="13"/>
                    <w:tblW w:w="1382" w:type="dxa"/>
                    <w:tblInd w:w="61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7" w:hRule="atLeast"/>
                    </w:trPr>
                    <w:tc>
                      <w:tcPr>
                        <w:tcW w:w="1382" w:type="dxa"/>
                      </w:tcPr>
                      <w:p>
                        <w:pPr>
                          <w:pStyle w:val="53"/>
                          <w:keepNext w:val="0"/>
                          <w:keepLines w:val="0"/>
                          <w:pageBreakBefore w:val="0"/>
                          <w:widowControl w:val="0"/>
                          <w:kinsoku/>
                          <w:wordWrap/>
                          <w:overflowPunct/>
                          <w:topLinePunct w:val="0"/>
                          <w:autoSpaceDE/>
                          <w:autoSpaceDN/>
                          <w:bidi w:val="0"/>
                          <w:adjustRightInd/>
                          <w:snapToGrid/>
                          <w:spacing w:before="2"/>
                          <w:ind w:left="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ind w:lef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项目支出</w:t>
                        </w:r>
                      </w:p>
                    </w:tc>
                  </w:tr>
                </w:tbl>
                <w:p>
                  <w:pPr>
                    <w:pStyle w:val="53"/>
                    <w:keepNext w:val="0"/>
                    <w:keepLines w:val="0"/>
                    <w:pageBreakBefore w:val="0"/>
                    <w:widowControl w:val="0"/>
                    <w:kinsoku/>
                    <w:wordWrap/>
                    <w:overflowPunct/>
                    <w:topLinePunct w:val="0"/>
                    <w:autoSpaceDE/>
                    <w:autoSpaceDN/>
                    <w:bidi w:val="0"/>
                    <w:adjustRightInd/>
                    <w:snapToGrid/>
                    <w:ind w:left="0"/>
                    <w:jc w:val="center"/>
                    <w:textAlignment w:val="auto"/>
                    <w:outlineLvl w:val="9"/>
                    <w:rPr>
                      <w:rFonts w:hint="eastAsia" w:ascii="仿宋_GB2312" w:hAnsi="仿宋_GB2312" w:eastAsia="仿宋_GB2312" w:cs="仿宋_GB2312"/>
                      <w:color w:val="auto"/>
                      <w:sz w:val="22"/>
                    </w:rPr>
                  </w:pPr>
                </w:p>
              </w:tc>
            </w:tr>
          </w:tbl>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5" w:hRule="atLeast"/>
          <w:jc w:val="center"/>
        </w:trPr>
        <w:tc>
          <w:tcPr>
            <w:tcW w:w="1214"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9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科目编码</w:t>
            </w:r>
          </w:p>
        </w:tc>
        <w:tc>
          <w:tcPr>
            <w:tcW w:w="1508" w:type="dxa"/>
            <w:vAlign w:val="center"/>
          </w:tcPr>
          <w:p>
            <w:pPr>
              <w:pStyle w:val="53"/>
              <w:keepNext w:val="0"/>
              <w:keepLines w:val="0"/>
              <w:pageBreakBefore w:val="0"/>
              <w:widowControl w:val="0"/>
              <w:kinsoku/>
              <w:wordWrap/>
              <w:overflowPunct/>
              <w:topLinePunct w:val="0"/>
              <w:autoSpaceDE/>
              <w:autoSpaceDN/>
              <w:bidi w:val="0"/>
              <w:adjustRightInd/>
              <w:snapToGrid/>
              <w:spacing w:before="10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科目名称</w:t>
            </w:r>
          </w:p>
        </w:tc>
        <w:tc>
          <w:tcPr>
            <w:tcW w:w="116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工资福利支</w:t>
            </w:r>
            <w:r>
              <w:rPr>
                <w:rFonts w:hint="eastAsia" w:ascii="仿宋_GB2312" w:hAnsi="仿宋_GB2312" w:eastAsia="仿宋_GB2312" w:cs="仿宋_GB2312"/>
                <w:color w:val="auto"/>
                <w:w w:val="100"/>
                <w:sz w:val="21"/>
                <w:szCs w:val="21"/>
              </w:rPr>
              <w:t>出</w:t>
            </w: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商品和服务支出</w:t>
            </w: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对个人和家庭的补助</w:t>
            </w: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对企事业单位的补助</w:t>
            </w: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债务福利支</w:t>
            </w:r>
            <w:r>
              <w:rPr>
                <w:rFonts w:hint="eastAsia" w:ascii="仿宋_GB2312" w:hAnsi="仿宋_GB2312" w:eastAsia="仿宋_GB2312" w:cs="仿宋_GB2312"/>
                <w:color w:val="auto"/>
                <w:w w:val="100"/>
                <w:sz w:val="21"/>
                <w:szCs w:val="21"/>
              </w:rPr>
              <w:t>出</w:t>
            </w: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其他资本性</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w:t>
            </w: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2"/>
              </w:rPr>
              <w:t>其他支出</w:t>
            </w:r>
          </w:p>
        </w:tc>
        <w:tc>
          <w:tcPr>
            <w:tcW w:w="1045" w:type="dxa"/>
            <w:vMerge w:val="continue"/>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款</w:t>
            </w: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类</w:t>
            </w: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before="89"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项</w:t>
            </w: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备注：没有政府性基金拨款预算，也没有使用政府性基金安排支出，故本表无数据</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color w:val="auto"/>
          <w:sz w:val="36"/>
          <w:szCs w:val="36"/>
        </w:rPr>
        <w:t>行政事业单位人员基础信息表</w:t>
      </w:r>
    </w:p>
    <w:tbl>
      <w:tblPr>
        <w:tblStyle w:val="13"/>
        <w:tblW w:w="135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7"/>
        <w:gridCol w:w="1127"/>
        <w:gridCol w:w="1133"/>
        <w:gridCol w:w="1131"/>
        <w:gridCol w:w="1132"/>
        <w:gridCol w:w="1131"/>
        <w:gridCol w:w="1132"/>
        <w:gridCol w:w="1131"/>
        <w:gridCol w:w="1131"/>
        <w:gridCol w:w="1132"/>
        <w:gridCol w:w="1132"/>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5" w:hRule="atLeast"/>
        </w:trPr>
        <w:tc>
          <w:tcPr>
            <w:tcW w:w="113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47"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单位名称</w:t>
            </w:r>
          </w:p>
        </w:tc>
        <w:tc>
          <w:tcPr>
            <w:tcW w:w="4523"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编 制 人 数</w:t>
            </w:r>
          </w:p>
        </w:tc>
        <w:tc>
          <w:tcPr>
            <w:tcW w:w="4525"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在 职 有 人 数</w:t>
            </w:r>
          </w:p>
        </w:tc>
        <w:tc>
          <w:tcPr>
            <w:tcW w:w="3395"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离退休干部人数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56" w:hRule="atLeast"/>
        </w:trPr>
        <w:tc>
          <w:tcPr>
            <w:tcW w:w="1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编制总人数总计</w:t>
            </w: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行政编制</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参照公务员管理的事业编制</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事业编制</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编制内实有人数总计</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行政实有</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参照公务员管理的事业</w:t>
            </w:r>
            <w:r>
              <w:rPr>
                <w:rFonts w:hint="eastAsia" w:ascii="仿宋_GB2312" w:hAnsi="仿宋_GB2312" w:eastAsia="仿宋_GB2312" w:cs="仿宋_GB2312"/>
                <w:color w:val="auto"/>
                <w:sz w:val="21"/>
                <w:szCs w:val="21"/>
              </w:rPr>
              <w:t>实有人数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事业实有</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离退休人员总计</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离休人员</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退休人员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2018年社会保险基金预算表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left"/>
        <w:textAlignment w:val="auto"/>
        <w:outlineLvl w:val="2"/>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zh-CN"/>
        </w:rPr>
        <w:t>平罗县                                                                                 单位：元</w:t>
      </w:r>
    </w:p>
    <w:tbl>
      <w:tblPr>
        <w:tblStyle w:val="13"/>
        <w:tblW w:w="136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2"/>
        <w:gridCol w:w="1197"/>
        <w:gridCol w:w="1347"/>
        <w:gridCol w:w="1348"/>
        <w:gridCol w:w="1408"/>
        <w:gridCol w:w="1274"/>
        <w:gridCol w:w="1261"/>
        <w:gridCol w:w="1259"/>
        <w:gridCol w:w="1246"/>
        <w:gridCol w:w="1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3"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 目</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before="21"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企业职工基本养老保险基金</w:t>
            </w: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城乡居民基本养老保险基金</w:t>
            </w: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机关事业单位基本养老保险基金</w:t>
            </w: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职工基本医疗保险基金</w:t>
            </w: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城乡居民基本医疗保险基金</w:t>
            </w: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工伤保险基金</w:t>
            </w: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失业保险基金</w:t>
            </w: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生育保险基金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其中： 1、保险费收入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2、利息收入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3、财政补贴收入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4、委托投资收益</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5、其他收入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6、转移收入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6"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1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2"/>
                <w:w w:val="105"/>
                <w:sz w:val="21"/>
                <w:szCs w:val="21"/>
              </w:rPr>
              <w:t>其中：</w:t>
            </w:r>
            <w:r>
              <w:rPr>
                <w:rFonts w:hint="eastAsia" w:ascii="仿宋_GB2312" w:hAnsi="仿宋_GB2312" w:eastAsia="仿宋_GB2312" w:cs="仿宋_GB2312"/>
                <w:color w:val="auto"/>
                <w:w w:val="105"/>
                <w:sz w:val="21"/>
                <w:szCs w:val="21"/>
              </w:rPr>
              <w:t>1、社会保险待遇支出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3、转移支出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三、本年收支结余</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四、年末滚存结余</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2018年社会保险基金预算表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right"/>
        <w:textAlignment w:val="auto"/>
        <w:outlineLvl w:val="2"/>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zh-CN"/>
        </w:rPr>
        <w:t>单位：万元</w:t>
      </w:r>
    </w:p>
    <w:tbl>
      <w:tblPr>
        <w:tblStyle w:val="13"/>
        <w:tblpPr w:leftFromText="180" w:rightFromText="180" w:vertAnchor="text" w:horzAnchor="page" w:tblpX="1372" w:tblpY="373"/>
        <w:tblOverlap w:val="never"/>
        <w:tblW w:w="14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2"/>
        <w:gridCol w:w="986"/>
        <w:gridCol w:w="778"/>
        <w:gridCol w:w="500"/>
        <w:gridCol w:w="625"/>
        <w:gridCol w:w="695"/>
        <w:gridCol w:w="541"/>
        <w:gridCol w:w="875"/>
        <w:gridCol w:w="514"/>
        <w:gridCol w:w="695"/>
        <w:gridCol w:w="583"/>
        <w:gridCol w:w="639"/>
        <w:gridCol w:w="583"/>
        <w:gridCol w:w="446"/>
        <w:gridCol w:w="526"/>
        <w:gridCol w:w="506"/>
        <w:gridCol w:w="517"/>
        <w:gridCol w:w="515"/>
        <w:gridCol w:w="516"/>
        <w:gridCol w:w="515"/>
        <w:gridCol w:w="516"/>
        <w:gridCol w:w="516"/>
        <w:gridCol w:w="516"/>
        <w:gridCol w:w="5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5"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编号</w:t>
            </w: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单位名称</w:t>
            </w: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合 计</w:t>
            </w: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w:t>
            </w:r>
          </w:p>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通用设备</w:t>
            </w: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办公设备</w:t>
            </w: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A020310</w:t>
            </w:r>
          </w:p>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电动车</w:t>
            </w: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A030307</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专用车辆</w:t>
            </w: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A020401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图书档案装具</w:t>
            </w: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A0205</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机械设备</w:t>
            </w: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A02052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3</w:t>
            </w:r>
            <w:r>
              <w:rPr>
                <w:rFonts w:hint="eastAsia" w:ascii="仿宋_GB2312" w:hAnsi="仿宋_GB2312" w:eastAsia="仿宋_GB2312" w:cs="仿宋_GB2312"/>
                <w:b w:val="0"/>
                <w:bCs/>
                <w:color w:val="auto"/>
                <w:spacing w:val="-5"/>
                <w:sz w:val="18"/>
                <w:szCs w:val="18"/>
              </w:rPr>
              <w:t>制冷空</w:t>
            </w:r>
            <w:r>
              <w:rPr>
                <w:rFonts w:hint="eastAsia" w:ascii="仿宋_GB2312" w:hAnsi="仿宋_GB2312" w:eastAsia="仿宋_GB2312" w:cs="仿宋_GB2312"/>
                <w:b w:val="0"/>
                <w:bCs/>
                <w:color w:val="auto"/>
                <w:sz w:val="18"/>
                <w:szCs w:val="18"/>
              </w:rPr>
              <w:t>调设备</w:t>
            </w: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A0206-</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电气设备</w:t>
            </w: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A0208-</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通信设备</w:t>
            </w: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A0209-</w:t>
            </w:r>
          </w:p>
          <w:p>
            <w:pPr>
              <w:pStyle w:val="53"/>
              <w:keepNext w:val="0"/>
              <w:keepLines w:val="0"/>
              <w:pageBreakBefore w:val="0"/>
              <w:widowControl w:val="0"/>
              <w:kinsoku/>
              <w:wordWrap/>
              <w:overflowPunct/>
              <w:topLinePunct w:val="0"/>
              <w:autoSpaceDE/>
              <w:autoSpaceDN/>
              <w:bidi w:val="0"/>
              <w:adjustRightInd/>
              <w:snapToGrid/>
              <w:spacing w:before="2"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广播电影电视设备</w:t>
            </w: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A0210</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仪器仪表</w:t>
            </w: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A03</w:t>
            </w:r>
            <w:r>
              <w:rPr>
                <w:rFonts w:hint="eastAsia" w:ascii="仿宋_GB2312" w:hAnsi="仿宋_GB2312" w:eastAsia="仿宋_GB2312" w:cs="仿宋_GB2312"/>
                <w:b w:val="0"/>
                <w:bCs/>
                <w:color w:val="auto"/>
                <w:sz w:val="18"/>
                <w:szCs w:val="18"/>
              </w:rPr>
              <w:t>专用设备</w:t>
            </w: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A0501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图书</w:t>
            </w: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A06</w:t>
            </w:r>
            <w:r>
              <w:rPr>
                <w:rFonts w:hint="eastAsia" w:ascii="仿宋_GB2312" w:hAnsi="仿宋_GB2312" w:eastAsia="仿宋_GB2312" w:cs="仿宋_GB2312"/>
                <w:b w:val="0"/>
                <w:bCs/>
                <w:color w:val="auto"/>
                <w:sz w:val="18"/>
                <w:szCs w:val="18"/>
              </w:rPr>
              <w:t>家具用具</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A07030101</w:t>
            </w:r>
            <w:r>
              <w:rPr>
                <w:rFonts w:hint="eastAsia" w:ascii="仿宋_GB2312" w:hAnsi="仿宋_GB2312" w:eastAsia="仿宋_GB2312" w:cs="仿宋_GB2312"/>
                <w:b w:val="0"/>
                <w:bCs/>
                <w:color w:val="auto"/>
                <w:sz w:val="18"/>
                <w:szCs w:val="18"/>
              </w:rPr>
              <w:t>制服</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A0322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5"/>
                <w:sz w:val="18"/>
                <w:szCs w:val="18"/>
              </w:rPr>
              <w:t>安全生产设备</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A1301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5"/>
                <w:sz w:val="18"/>
                <w:szCs w:val="18"/>
              </w:rPr>
              <w:t>煤炭采选产品</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B07</w:t>
            </w:r>
            <w:r>
              <w:rPr>
                <w:rFonts w:hint="eastAsia" w:ascii="仿宋_GB2312" w:hAnsi="仿宋_GB2312" w:eastAsia="仿宋_GB2312" w:cs="仿宋_GB2312"/>
                <w:b w:val="0"/>
                <w:bCs/>
                <w:color w:val="auto"/>
                <w:spacing w:val="-5"/>
                <w:sz w:val="18"/>
                <w:szCs w:val="18"/>
              </w:rPr>
              <w:t>装修</w:t>
            </w:r>
            <w:r>
              <w:rPr>
                <w:rFonts w:hint="eastAsia" w:ascii="仿宋_GB2312" w:hAnsi="仿宋_GB2312" w:eastAsia="仿宋_GB2312" w:cs="仿宋_GB2312"/>
                <w:b w:val="0"/>
                <w:bCs/>
                <w:color w:val="auto"/>
                <w:sz w:val="18"/>
                <w:szCs w:val="18"/>
              </w:rPr>
              <w:t>工程</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B08</w:t>
            </w:r>
            <w:r>
              <w:rPr>
                <w:rFonts w:hint="eastAsia" w:ascii="仿宋_GB2312" w:hAnsi="仿宋_GB2312" w:eastAsia="仿宋_GB2312" w:cs="仿宋_GB2312"/>
                <w:b w:val="0"/>
                <w:bCs/>
                <w:color w:val="auto"/>
                <w:spacing w:val="-6"/>
                <w:sz w:val="18"/>
                <w:szCs w:val="18"/>
              </w:rPr>
              <w:t>修缮</w:t>
            </w:r>
            <w:r>
              <w:rPr>
                <w:rFonts w:hint="eastAsia" w:ascii="仿宋_GB2312" w:hAnsi="仿宋_GB2312" w:eastAsia="仿宋_GB2312" w:cs="仿宋_GB2312"/>
                <w:b w:val="0"/>
                <w:bCs/>
                <w:color w:val="auto"/>
                <w:sz w:val="18"/>
                <w:szCs w:val="18"/>
              </w:rPr>
              <w:t>工程</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c服务</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部门其他采购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9"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全县总计</w:t>
            </w: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bl>
    <w:p>
      <w:pPr>
        <w:rPr>
          <w:rFonts w:hint="eastAsia" w:ascii="仿宋_GB2312" w:hAnsi="仿宋_GB2312" w:eastAsia="仿宋_GB2312" w:cs="仿宋_GB2312"/>
          <w:color w:val="auto"/>
          <w:sz w:val="28"/>
          <w:szCs w:val="28"/>
          <w:lang w:eastAsia="zh-CN"/>
        </w:rPr>
        <w:sectPr>
          <w:headerReference r:id="rId9" w:type="default"/>
          <w:footerReference r:id="rId10" w:type="even"/>
          <w:pgSz w:w="16838" w:h="11906" w:orient="landscape"/>
          <w:pgMar w:top="1701" w:right="1417" w:bottom="1701" w:left="1417" w:header="1134"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平罗县＊＊＊＊＊2018 年度部门预算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目</w:t>
      </w:r>
      <w:r>
        <w:rPr>
          <w:rFonts w:hint="eastAsia" w:ascii="方正大标宋简体" w:hAnsi="方正大标宋简体" w:eastAsia="方正大标宋简体" w:cs="方正大标宋简体"/>
          <w:b w:val="0"/>
          <w:bCs/>
          <w:color w:val="auto"/>
          <w:sz w:val="36"/>
          <w:szCs w:val="36"/>
          <w:lang w:val="en-US" w:eastAsia="zh-CN"/>
        </w:rPr>
        <w:t xml:space="preserve">  </w:t>
      </w:r>
      <w:r>
        <w:rPr>
          <w:rFonts w:hint="eastAsia" w:ascii="方正大标宋简体" w:hAnsi="方正大标宋简体" w:eastAsia="方正大标宋简体" w:cs="方正大标宋简体"/>
          <w:b w:val="0"/>
          <w:bCs/>
          <w:color w:val="auto"/>
          <w:sz w:val="36"/>
          <w:szCs w:val="36"/>
        </w:rPr>
        <w:t>录</w:t>
      </w:r>
    </w:p>
    <w:p>
      <w:pPr>
        <w:pStyle w:val="5"/>
        <w:keepNext w:val="0"/>
        <w:keepLines w:val="0"/>
        <w:pageBreakBefore w:val="0"/>
        <w:widowControl w:val="0"/>
        <w:tabs>
          <w:tab w:val="left" w:pos="1871"/>
        </w:tabs>
        <w:kinsoku/>
        <w:wordWrap/>
        <w:overflowPunct/>
        <w:topLinePunct w:val="0"/>
        <w:autoSpaceDE/>
        <w:autoSpaceDN/>
        <w:bidi w:val="0"/>
        <w:adjustRightInd/>
        <w:snapToGrid/>
        <w:spacing w:before="263" w:line="480" w:lineRule="exact"/>
        <w:ind w:left="0" w:right="0" w:firstLine="0" w:firstLineChars="0"/>
        <w:jc w:val="left"/>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第一部分 单位概况</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一、主要职能</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二、部门预算单位构成</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0" w:firstLineChars="0"/>
        <w:jc w:val="left"/>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第二部分</w:t>
      </w:r>
      <w:r>
        <w:rPr>
          <w:rFonts w:hint="eastAsia" w:cs="黑体"/>
          <w:color w:val="auto"/>
          <w:sz w:val="28"/>
          <w:szCs w:val="28"/>
          <w:lang w:val="en-US" w:eastAsia="zh-CN"/>
        </w:rPr>
        <w:t xml:space="preserve"> </w:t>
      </w:r>
      <w:r>
        <w:rPr>
          <w:rFonts w:hint="eastAsia" w:ascii="黑体" w:hAnsi="黑体" w:eastAsia="黑体" w:cs="黑体"/>
          <w:color w:val="auto"/>
          <w:sz w:val="28"/>
          <w:szCs w:val="28"/>
        </w:rPr>
        <w:t>2018 年度部门预算表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一、预算收支总表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二、预算收入总表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三、支出预算总表</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四、财政拨款收支总表</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五、财政拨款支出总表 </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六、一般公共预算支出表</w:t>
      </w:r>
    </w:p>
    <w:p>
      <w:pPr>
        <w:pStyle w:val="5"/>
        <w:keepNext w:val="0"/>
        <w:keepLines w:val="0"/>
        <w:pageBreakBefore w:val="0"/>
        <w:widowControl w:val="0"/>
        <w:kinsoku/>
        <w:wordWrap/>
        <w:overflowPunct/>
        <w:topLinePunct w:val="0"/>
        <w:autoSpaceDE/>
        <w:autoSpaceDN/>
        <w:bidi w:val="0"/>
        <w:adjustRightInd/>
        <w:snapToGrid/>
        <w:spacing w:before="12"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七、一般公共预算基本支出明细表</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1120" w:firstLineChars="4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一般公共预算基本支出表</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2"/>
          <w:sz w:val="28"/>
          <w:szCs w:val="28"/>
        </w:rPr>
        <w:t>按经济分类</w:t>
      </w:r>
      <w:r>
        <w:rPr>
          <w:rFonts w:hint="eastAsia" w:ascii="仿宋_GB2312" w:hAnsi="仿宋_GB2312" w:eastAsia="仿宋_GB2312" w:cs="仿宋_GB2312"/>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1120" w:firstLineChars="4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一般公共预算基本支出表</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1"/>
          <w:sz w:val="28"/>
          <w:szCs w:val="28"/>
        </w:rPr>
        <w:t>政府经济分类</w:t>
      </w:r>
      <w:r>
        <w:rPr>
          <w:rFonts w:hint="eastAsia" w:ascii="仿宋_GB2312" w:hAnsi="仿宋_GB2312" w:eastAsia="仿宋_GB2312" w:cs="仿宋_GB2312"/>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before="1"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八、项目预算明细表（财政核定）</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九、一般公共预算“三公”经费支出表</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十、政府性基金预算支出表</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pacing w:val="-12"/>
          <w:sz w:val="28"/>
          <w:szCs w:val="28"/>
        </w:rPr>
      </w:pPr>
      <w:r>
        <w:rPr>
          <w:rFonts w:hint="eastAsia" w:ascii="仿宋_GB2312" w:hAnsi="仿宋_GB2312" w:eastAsia="仿宋_GB2312" w:cs="仿宋_GB2312"/>
          <w:color w:val="auto"/>
          <w:sz w:val="28"/>
          <w:szCs w:val="28"/>
        </w:rPr>
        <w:t>十一</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z w:val="28"/>
          <w:szCs w:val="28"/>
        </w:rPr>
        <w:t>行</w:t>
      </w:r>
      <w:r>
        <w:rPr>
          <w:rFonts w:hint="eastAsia" w:ascii="仿宋_GB2312" w:hAnsi="仿宋_GB2312" w:eastAsia="仿宋_GB2312" w:cs="仿宋_GB2312"/>
          <w:color w:val="auto"/>
          <w:spacing w:val="6"/>
          <w:sz w:val="28"/>
          <w:szCs w:val="28"/>
        </w:rPr>
        <w:t>政</w:t>
      </w:r>
      <w:r>
        <w:rPr>
          <w:rFonts w:hint="eastAsia" w:ascii="仿宋_GB2312" w:hAnsi="仿宋_GB2312" w:eastAsia="仿宋_GB2312" w:cs="仿宋_GB2312"/>
          <w:color w:val="auto"/>
          <w:sz w:val="28"/>
          <w:szCs w:val="28"/>
        </w:rPr>
        <w:t>事</w:t>
      </w:r>
      <w:r>
        <w:rPr>
          <w:rFonts w:hint="eastAsia" w:ascii="仿宋_GB2312" w:hAnsi="仿宋_GB2312" w:eastAsia="仿宋_GB2312" w:cs="仿宋_GB2312"/>
          <w:color w:val="auto"/>
          <w:spacing w:val="6"/>
          <w:sz w:val="28"/>
          <w:szCs w:val="28"/>
        </w:rPr>
        <w:t>业</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spacing w:val="6"/>
          <w:sz w:val="28"/>
          <w:szCs w:val="28"/>
        </w:rPr>
        <w:t>人</w:t>
      </w:r>
      <w:r>
        <w:rPr>
          <w:rFonts w:hint="eastAsia" w:ascii="仿宋_GB2312" w:hAnsi="仿宋_GB2312" w:eastAsia="仿宋_GB2312" w:cs="仿宋_GB2312"/>
          <w:color w:val="auto"/>
          <w:sz w:val="28"/>
          <w:szCs w:val="28"/>
        </w:rPr>
        <w:t>员</w:t>
      </w:r>
      <w:r>
        <w:rPr>
          <w:rFonts w:hint="eastAsia" w:ascii="仿宋_GB2312" w:hAnsi="仿宋_GB2312" w:eastAsia="仿宋_GB2312" w:cs="仿宋_GB2312"/>
          <w:color w:val="auto"/>
          <w:spacing w:val="6"/>
          <w:sz w:val="28"/>
          <w:szCs w:val="28"/>
        </w:rPr>
        <w:t>基</w:t>
      </w:r>
      <w:r>
        <w:rPr>
          <w:rFonts w:hint="eastAsia" w:ascii="仿宋_GB2312" w:hAnsi="仿宋_GB2312" w:eastAsia="仿宋_GB2312" w:cs="仿宋_GB2312"/>
          <w:color w:val="auto"/>
          <w:sz w:val="28"/>
          <w:szCs w:val="28"/>
        </w:rPr>
        <w:t>础</w:t>
      </w:r>
      <w:r>
        <w:rPr>
          <w:rFonts w:hint="eastAsia" w:ascii="仿宋_GB2312" w:hAnsi="仿宋_GB2312" w:eastAsia="仿宋_GB2312" w:cs="仿宋_GB2312"/>
          <w:color w:val="auto"/>
          <w:spacing w:val="6"/>
          <w:sz w:val="28"/>
          <w:szCs w:val="28"/>
        </w:rPr>
        <w:t>信</w:t>
      </w:r>
      <w:r>
        <w:rPr>
          <w:rFonts w:hint="eastAsia" w:ascii="仿宋_GB2312" w:hAnsi="仿宋_GB2312" w:eastAsia="仿宋_GB2312" w:cs="仿宋_GB2312"/>
          <w:color w:val="auto"/>
          <w:sz w:val="28"/>
          <w:szCs w:val="28"/>
        </w:rPr>
        <w:t>息</w:t>
      </w:r>
      <w:r>
        <w:rPr>
          <w:rFonts w:hint="eastAsia" w:ascii="仿宋_GB2312" w:hAnsi="仿宋_GB2312" w:eastAsia="仿宋_GB2312" w:cs="仿宋_GB2312"/>
          <w:color w:val="auto"/>
          <w:spacing w:val="-12"/>
          <w:sz w:val="28"/>
          <w:szCs w:val="28"/>
        </w:rPr>
        <w:t>表</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黑体" w:hAnsi="黑体" w:eastAsia="黑体" w:cs="黑体"/>
          <w:color w:val="auto"/>
          <w:kern w:val="2"/>
          <w:sz w:val="28"/>
          <w:szCs w:val="28"/>
          <w:lang w:val="zh-CN" w:eastAsia="zh-CN" w:bidi="zh-CN"/>
        </w:rPr>
      </w:pPr>
      <w:r>
        <w:rPr>
          <w:rFonts w:hint="eastAsia" w:ascii="黑体" w:hAnsi="黑体" w:eastAsia="黑体" w:cs="黑体"/>
          <w:color w:val="auto"/>
          <w:kern w:val="2"/>
          <w:sz w:val="28"/>
          <w:szCs w:val="28"/>
          <w:lang w:val="zh-CN" w:eastAsia="zh-CN" w:bidi="zh-CN"/>
        </w:rPr>
        <w:t>第三部分</w:t>
      </w:r>
      <w:r>
        <w:rPr>
          <w:rFonts w:hint="eastAsia" w:ascii="黑体" w:hAnsi="黑体" w:eastAsia="黑体" w:cs="黑体"/>
          <w:color w:val="auto"/>
          <w:kern w:val="2"/>
          <w:sz w:val="28"/>
          <w:szCs w:val="28"/>
          <w:lang w:val="en-US" w:eastAsia="zh-CN" w:bidi="zh-CN"/>
        </w:rPr>
        <w:t xml:space="preserve"> </w:t>
      </w:r>
      <w:r>
        <w:rPr>
          <w:rFonts w:hint="eastAsia" w:ascii="黑体" w:hAnsi="黑体" w:eastAsia="黑体" w:cs="黑体"/>
          <w:color w:val="auto"/>
          <w:kern w:val="2"/>
          <w:sz w:val="28"/>
          <w:szCs w:val="28"/>
          <w:lang w:val="zh-CN" w:eastAsia="zh-CN" w:bidi="zh-CN"/>
        </w:rPr>
        <w:t>2018年度部门预算情况说明</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黑体" w:hAnsi="黑体" w:eastAsia="黑体" w:cs="黑体"/>
          <w:color w:val="auto"/>
          <w:kern w:val="2"/>
          <w:sz w:val="28"/>
          <w:szCs w:val="28"/>
          <w:lang w:val="zh-CN" w:eastAsia="zh-CN" w:bidi="zh-CN"/>
        </w:rPr>
      </w:pPr>
      <w:r>
        <w:rPr>
          <w:rFonts w:hint="eastAsia" w:ascii="黑体" w:hAnsi="黑体" w:eastAsia="黑体" w:cs="黑体"/>
          <w:color w:val="auto"/>
          <w:kern w:val="2"/>
          <w:sz w:val="28"/>
          <w:szCs w:val="28"/>
          <w:lang w:val="zh-CN" w:eastAsia="zh-CN" w:bidi="zh-CN"/>
        </w:rPr>
        <w:t>第四部分</w:t>
      </w:r>
      <w:r>
        <w:rPr>
          <w:rFonts w:hint="eastAsia" w:ascii="黑体" w:hAnsi="黑体" w:eastAsia="黑体" w:cs="黑体"/>
          <w:color w:val="auto"/>
          <w:kern w:val="2"/>
          <w:sz w:val="28"/>
          <w:szCs w:val="28"/>
          <w:lang w:val="en-US" w:eastAsia="zh-CN" w:bidi="zh-CN"/>
        </w:rPr>
        <w:t xml:space="preserve"> </w:t>
      </w:r>
      <w:r>
        <w:rPr>
          <w:rFonts w:hint="eastAsia" w:ascii="黑体" w:hAnsi="黑体" w:eastAsia="黑体" w:cs="黑体"/>
          <w:color w:val="auto"/>
          <w:kern w:val="2"/>
          <w:sz w:val="28"/>
          <w:szCs w:val="28"/>
          <w:lang w:val="zh-CN" w:eastAsia="zh-CN" w:bidi="zh-CN"/>
        </w:rPr>
        <w:t>名词解释</w:t>
      </w:r>
    </w:p>
    <w:p>
      <w:pPr>
        <w:pStyle w:val="5"/>
        <w:keepNext w:val="0"/>
        <w:keepLines w:val="0"/>
        <w:pageBreakBefore w:val="0"/>
        <w:widowControl w:val="0"/>
        <w:tabs>
          <w:tab w:val="left" w:pos="4436"/>
        </w:tabs>
        <w:kinsoku/>
        <w:wordWrap/>
        <w:overflowPunct/>
        <w:topLinePunct w:val="0"/>
        <w:autoSpaceDE/>
        <w:autoSpaceDN/>
        <w:bidi w:val="0"/>
        <w:adjustRightInd/>
        <w:snapToGrid/>
        <w:spacing w:before="38" w:line="40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tabs>
          <w:tab w:val="left" w:pos="4436"/>
        </w:tabs>
        <w:kinsoku/>
        <w:wordWrap/>
        <w:overflowPunct/>
        <w:topLinePunct w:val="0"/>
        <w:autoSpaceDE/>
        <w:autoSpaceDN/>
        <w:bidi w:val="0"/>
        <w:adjustRightInd/>
        <w:snapToGrid/>
        <w:spacing w:before="38"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第一部分</w:t>
      </w:r>
      <w:r>
        <w:rPr>
          <w:rFonts w:hint="eastAsia" w:ascii="方正大标宋简体" w:hAnsi="方正大标宋简体" w:eastAsia="方正大标宋简体" w:cs="方正大标宋简体"/>
          <w:b w:val="0"/>
          <w:bCs w:val="0"/>
          <w:color w:val="auto"/>
          <w:spacing w:val="0"/>
          <w:sz w:val="36"/>
          <w:szCs w:val="36"/>
          <w:lang w:val="en-US" w:eastAsia="zh-CN"/>
        </w:rPr>
        <w:t xml:space="preserve"> </w:t>
      </w:r>
      <w:r>
        <w:rPr>
          <w:rFonts w:hint="eastAsia" w:ascii="方正大标宋简体" w:hAnsi="方正大标宋简体" w:eastAsia="方正大标宋简体" w:cs="方正大标宋简体"/>
          <w:b w:val="0"/>
          <w:bCs w:val="0"/>
          <w:color w:val="auto"/>
          <w:spacing w:val="0"/>
          <w:sz w:val="36"/>
          <w:szCs w:val="36"/>
        </w:rPr>
        <w:t>单位概况</w:t>
      </w:r>
    </w:p>
    <w:p>
      <w:pPr>
        <w:pStyle w:val="5"/>
        <w:keepNext w:val="0"/>
        <w:keepLines w:val="0"/>
        <w:pageBreakBefore w:val="0"/>
        <w:widowControl w:val="0"/>
        <w:kinsoku/>
        <w:wordWrap/>
        <w:overflowPunct/>
        <w:topLinePunct w:val="0"/>
        <w:autoSpaceDE/>
        <w:autoSpaceDN/>
        <w:bidi w:val="0"/>
        <w:adjustRightInd/>
        <w:snapToGrid/>
        <w:spacing w:before="179" w:line="540" w:lineRule="exact"/>
        <w:ind w:left="0" w:right="0" w:firstLine="560" w:firstLineChars="200"/>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一、主要职能</w:t>
      </w:r>
    </w:p>
    <w:p>
      <w:pPr>
        <w:pStyle w:val="5"/>
        <w:keepNext w:val="0"/>
        <w:keepLines w:val="0"/>
        <w:pageBreakBefore w:val="0"/>
        <w:widowControl w:val="0"/>
        <w:kinsoku/>
        <w:wordWrap/>
        <w:overflowPunct/>
        <w:topLinePunct w:val="0"/>
        <w:autoSpaceDE/>
        <w:autoSpaceDN/>
        <w:bidi w:val="0"/>
        <w:adjustRightInd/>
        <w:snapToGrid/>
        <w:spacing w:before="87"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(详细介绍本乡（镇）、部门工作职能)</w:t>
      </w:r>
    </w:p>
    <w:p>
      <w:pPr>
        <w:pStyle w:val="5"/>
        <w:keepNext w:val="0"/>
        <w:keepLines w:val="0"/>
        <w:pageBreakBefore w:val="0"/>
        <w:widowControl w:val="0"/>
        <w:kinsoku/>
        <w:wordWrap/>
        <w:overflowPunct/>
        <w:topLinePunct w:val="0"/>
        <w:autoSpaceDE/>
        <w:autoSpaceDN/>
        <w:bidi w:val="0"/>
        <w:adjustRightInd/>
        <w:snapToGrid/>
        <w:spacing w:before="5"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***单位属于平罗县人民政府职能部门，业务由自治区</w:t>
      </w:r>
    </w:p>
    <w:p>
      <w:pPr>
        <w:pStyle w:val="5"/>
        <w:keepNext w:val="0"/>
        <w:keepLines w:val="0"/>
        <w:pageBreakBefore w:val="0"/>
        <w:widowControl w:val="0"/>
        <w:kinsoku/>
        <w:wordWrap/>
        <w:overflowPunct/>
        <w:topLinePunct w:val="0"/>
        <w:autoSpaceDE/>
        <w:autoSpaceDN/>
        <w:bidi w:val="0"/>
        <w:adjustRightInd/>
        <w:snapToGrid/>
        <w:spacing w:before="12"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***厅管理、监督、检查指导。</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编办核定的机构职能 XXXXX</w:t>
      </w:r>
    </w:p>
    <w:p>
      <w:pPr>
        <w:pStyle w:val="5"/>
        <w:keepNext w:val="0"/>
        <w:keepLines w:val="0"/>
        <w:pageBreakBefore w:val="0"/>
        <w:widowControl w:val="0"/>
        <w:kinsoku/>
        <w:wordWrap/>
        <w:overflowPunct/>
        <w:topLinePunct w:val="0"/>
        <w:autoSpaceDE/>
        <w:autoSpaceDN/>
        <w:bidi w:val="0"/>
        <w:adjustRightInd/>
        <w:snapToGrid/>
        <w:spacing w:before="179" w:line="540" w:lineRule="exact"/>
        <w:ind w:left="0" w:right="0" w:firstLine="560" w:firstLineChars="200"/>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二、部门预算单位构成</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（对本单位及所属预算单位构成进行详细说明）</w:t>
      </w:r>
    </w:p>
    <w:p>
      <w:pPr>
        <w:keepNext w:val="0"/>
        <w:keepLines w:val="0"/>
        <w:pageBreakBefore w:val="0"/>
        <w:widowControl w:val="0"/>
        <w:kinsoku/>
        <w:wordWrap/>
        <w:overflowPunct/>
        <w:topLinePunct w:val="0"/>
        <w:autoSpaceDE/>
        <w:autoSpaceDN/>
        <w:bidi w:val="0"/>
        <w:adjustRightInd/>
        <w:snapToGrid/>
        <w:spacing w:before="74" w:line="540" w:lineRule="exact"/>
        <w:ind w:left="0" w:right="0"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例如：本单位内设办公室、财务室、****。从预算单位构成看，***部门预算包括：***纳入2018年度部门预算汇编范围的独立核算的行政（事业）单位共*个；纳入2018年度部门预算的二级预算单位**个，具体包括如下单位：</w:t>
      </w:r>
    </w:p>
    <w:p>
      <w:pPr>
        <w:keepNext w:val="0"/>
        <w:keepLines w:val="0"/>
        <w:pageBreakBefore w:val="0"/>
        <w:widowControl w:val="0"/>
        <w:kinsoku/>
        <w:wordWrap/>
        <w:overflowPunct/>
        <w:topLinePunct w:val="0"/>
        <w:autoSpaceDE/>
        <w:autoSpaceDN/>
        <w:bidi w:val="0"/>
        <w:adjustRightInd/>
        <w:snapToGrid/>
        <w:spacing w:before="0"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1.****</w:t>
      </w:r>
    </w:p>
    <w:p>
      <w:pPr>
        <w:keepNext w:val="0"/>
        <w:keepLines w:val="0"/>
        <w:pageBreakBefore w:val="0"/>
        <w:widowControl w:val="0"/>
        <w:kinsoku/>
        <w:wordWrap/>
        <w:overflowPunct/>
        <w:topLinePunct w:val="0"/>
        <w:autoSpaceDE/>
        <w:autoSpaceDN/>
        <w:bidi w:val="0"/>
        <w:adjustRightInd/>
        <w:snapToGrid/>
        <w:spacing w:before="7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2.****</w:t>
      </w: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第二部分</w:t>
      </w:r>
      <w:r>
        <w:rPr>
          <w:rFonts w:hint="eastAsia" w:ascii="方正大标宋简体" w:hAnsi="方正大标宋简体" w:eastAsia="方正大标宋简体" w:cs="方正大标宋简体"/>
          <w:b w:val="0"/>
          <w:bCs w:val="0"/>
          <w:color w:val="auto"/>
          <w:spacing w:val="0"/>
          <w:sz w:val="36"/>
          <w:szCs w:val="36"/>
        </w:rPr>
        <w:tab/>
      </w:r>
      <w:r>
        <w:rPr>
          <w:rFonts w:hint="eastAsia" w:ascii="方正大标宋简体" w:hAnsi="方正大标宋简体" w:eastAsia="方正大标宋简体" w:cs="方正大标宋简体"/>
          <w:b w:val="0"/>
          <w:bCs w:val="0"/>
          <w:color w:val="auto"/>
          <w:spacing w:val="0"/>
          <w:sz w:val="36"/>
          <w:szCs w:val="36"/>
        </w:rPr>
        <w:t>2018 年度部门预算表</w:t>
      </w: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（上传附件表格不涉及请上传空表）</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rPr>
          <w:rFonts w:hint="eastAsia" w:ascii="仿宋_GB2312" w:hAnsi="仿宋_GB2312" w:eastAsia="仿宋_GB2312" w:cs="仿宋_GB2312"/>
          <w:color w:val="auto"/>
          <w:spacing w:val="0"/>
          <w:sz w:val="28"/>
          <w:szCs w:val="28"/>
        </w:rPr>
      </w:pP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54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lang w:eastAsia="zh-CN"/>
        </w:rPr>
        <w:t>第三部分</w:t>
      </w:r>
      <w:r>
        <w:rPr>
          <w:rFonts w:hint="eastAsia" w:ascii="方正大标宋简体" w:hAnsi="方正大标宋简体" w:eastAsia="方正大标宋简体" w:cs="方正大标宋简体"/>
          <w:b w:val="0"/>
          <w:bCs w:val="0"/>
          <w:color w:val="auto"/>
          <w:spacing w:val="0"/>
          <w:sz w:val="36"/>
          <w:szCs w:val="36"/>
        </w:rPr>
        <w:t>**乡（镇）、</w:t>
      </w: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40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54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部门2018 年度部门预算情况说明</w:t>
      </w:r>
    </w:p>
    <w:p>
      <w:pPr>
        <w:pStyle w:val="3"/>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hint="eastAsia" w:ascii="黑体" w:hAnsi="黑体" w:eastAsia="黑体" w:cs="黑体"/>
          <w:b w:val="0"/>
          <w:bCs w:val="0"/>
          <w:i w:val="0"/>
          <w:iCs/>
          <w:color w:val="auto"/>
          <w:spacing w:val="0"/>
          <w:sz w:val="28"/>
          <w:szCs w:val="28"/>
        </w:rPr>
      </w:pPr>
      <w:r>
        <w:rPr>
          <w:rFonts w:hint="eastAsia" w:ascii="黑体" w:hAnsi="黑体" w:eastAsia="黑体" w:cs="黑体"/>
          <w:b w:val="0"/>
          <w:bCs w:val="0"/>
          <w:i w:val="0"/>
          <w:iCs/>
          <w:color w:val="auto"/>
          <w:spacing w:val="0"/>
          <w:sz w:val="28"/>
          <w:szCs w:val="28"/>
        </w:rPr>
        <w:t>一、关于**乡（镇）、部门2018年财政收支预算情况的总体说明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b w:val="0"/>
          <w:bCs w:val="0"/>
          <w:i w:val="0"/>
          <w:iCs/>
          <w:color w:val="auto"/>
          <w:spacing w:val="0"/>
          <w:sz w:val="28"/>
          <w:szCs w:val="28"/>
        </w:rPr>
        <w:t>按照全口径预算的原则，**乡（镇）、部门2018年财政拨款收支总预</w:t>
      </w:r>
      <w:r>
        <w:rPr>
          <w:rFonts w:hint="eastAsia" w:ascii="仿宋_GB2312" w:hAnsi="仿宋_GB2312" w:eastAsia="仿宋_GB2312" w:cs="仿宋_GB2312"/>
          <w:color w:val="auto"/>
          <w:spacing w:val="0"/>
          <w:sz w:val="28"/>
          <w:szCs w:val="28"/>
        </w:rPr>
        <w:t>算****元。收入预算包括：一般公共预算拨款****元，政府性基金预算拨款***元。支出预算包括：按政府收支分类功能科目包括：如：一般公共服务支出****元、公共安全支出*****元、社会保障支出支出****元。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二、关于**乡（镇）、部门2018年一般公共预算本年拨款情况说明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2"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（一）、政府预算支出经济分类说明。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按照《支出经济分类科目改革方案》设置类、款两级， 举例：** **乡（镇）、部门2018年一般公共预算拨款基本支出****元，其中：501机关工资福利支出 XX 元，502机关商品和服务支出 XX 元，505对事业单位经常性补助 XX 元，509对个人和家庭的补助 XX 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2" w:firstLineChars="200"/>
        <w:jc w:val="left"/>
        <w:textAlignment w:val="auto"/>
        <w:rPr>
          <w:rFonts w:hint="eastAsia" w:ascii="仿宋_GB2312" w:hAnsi="仿宋_GB2312" w:eastAsia="仿宋_GB2312" w:cs="仿宋_GB2312"/>
          <w:color w:val="auto"/>
          <w:spacing w:val="0"/>
          <w:sz w:val="28"/>
          <w:szCs w:val="28"/>
        </w:rPr>
      </w:pPr>
      <w:r>
        <w:rPr>
          <w:rFonts w:hint="eastAsia" w:ascii="华文楷体" w:hAnsi="华文楷体" w:eastAsia="华文楷体" w:cs="华文楷体"/>
          <w:b/>
          <w:bCs/>
          <w:color w:val="auto"/>
          <w:spacing w:val="0"/>
          <w:sz w:val="28"/>
          <w:szCs w:val="28"/>
        </w:rPr>
        <w:t>（二）、部门预算支出经济分类说明。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按照《预算法》要求设置类、款两级，举例：** **乡（镇）、部门2018年一般公共预算拨款基本支出****元，其中：301 工资福利支出 XX 元，302商品和服务支出 XX 元，303对个人和家庭的补助支出XX 元,307债务利息及费用支出 XX 元，310资本性支出 XX 元，312对企业补助 XX 元，399其他支出 XX 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2"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（三）基本支出情况说明。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**乡（镇）、部门2018年一般公共预算拨款基本支出**** 元，比上年执行数增加（减少）****元，增长（下降）***%。其中：</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人员经费***元，主要包括：基本工资、津贴补贴、奖金、社会保障缴费、伙食补助费、绩效工资、其他工资福利支出、离休费、退休费、抚恤金、生活补助、医疗费、助学金、奖 励金、住房公积金、提租补贴、购房补贴、其他对个人和家 庭的补助支出；</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公用经费****元，主要包括：办公费、印刷费、咨询费、手续费、水费、电费、邮电费、取暖费、物业管理费、差旅 费、因公出国（境）费、维修（护）费、租赁费、会议费、 培训费、公务接待费、专用材料费、劳务费、委托业务费、 工会经费、福利费、公务用车运行维护费、其他交通费、其 他商品和服务支出、办公设备购置、专用设备购置。</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2"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（四）项目支出情况说明。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**乡（镇）、部门2018年一般公共预算拨款项目支出***</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元，其中：按政府收支科目类、款、项，用途分项说明。   例如“1.一般公共服务（201类）宣传事务（33款）一</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般行政管理事务（02项）2018年预算安排**元，比2018年执行数据增加**元，增长***%。主要用于：理论武装工作和哲学社会科学管理；思想政治工作和精神文明建设工作；舆论引导对外宣传工作；新型智库建设等宣传业务工作。</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“2.无项目单位，请说明本单位无项目预算安排支出” 字样。</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黑体" w:hAnsi="黑体" w:eastAsia="黑体" w:cs="黑体"/>
          <w:b w:val="0"/>
          <w:bCs w:val="0"/>
          <w:i w:val="0"/>
          <w:iCs/>
          <w:color w:val="auto"/>
          <w:spacing w:val="0"/>
          <w:kern w:val="2"/>
          <w:sz w:val="28"/>
          <w:szCs w:val="28"/>
          <w:lang w:val="zh-CN" w:eastAsia="zh-CN" w:bidi="zh-CN"/>
        </w:rPr>
      </w:pPr>
      <w:r>
        <w:rPr>
          <w:rFonts w:hint="eastAsia" w:ascii="黑体" w:hAnsi="黑体" w:eastAsia="黑体" w:cs="黑体"/>
          <w:b w:val="0"/>
          <w:bCs w:val="0"/>
          <w:i w:val="0"/>
          <w:iCs/>
          <w:color w:val="auto"/>
          <w:spacing w:val="0"/>
          <w:kern w:val="2"/>
          <w:sz w:val="28"/>
          <w:szCs w:val="28"/>
          <w:lang w:val="zh-CN" w:eastAsia="zh-CN" w:bidi="zh-CN"/>
        </w:rPr>
        <w:t>三、关于**乡（镇）、部门2018年一般公共预算“三公”经费预算情况说明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**乡（镇）、部门2018年“三公”经费财政拨款预算为***元，其中：因公出国（境）费0元，公务用车购置费***元，公务用车运行费***元，公务接待费****元。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年“三公”经费财政拨款预算比上年增加（减少）***元，其中：（1）因公出国（境）费预算****元，增加（减少、与上年持平）主要原因…….。（2）公务车运行费预算****元增加（减少、与上年持平）①公务用车购置费***元增加（减少、与上年持平）②公务用车运行费***元增加（减少、与上年持平）；主要原因…….。（3）公务接待费预算算***元，增加（减少、与上年持平）主要原因…….。</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四、关于**乡（镇）、部门2018年政府性基金预算拨款情况说明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2" w:firstLineChars="200"/>
        <w:jc w:val="left"/>
        <w:textAlignment w:val="auto"/>
        <w:rPr>
          <w:rFonts w:hint="eastAsia" w:ascii="华文楷体" w:hAnsi="华文楷体" w:eastAsia="华文楷体" w:cs="华文楷体"/>
          <w:b/>
          <w:bCs/>
          <w:color w:val="auto"/>
          <w:spacing w:val="0"/>
          <w:sz w:val="28"/>
          <w:szCs w:val="28"/>
          <w:lang w:val="en-US" w:eastAsia="zh-CN"/>
        </w:rPr>
      </w:pPr>
      <w:r>
        <w:rPr>
          <w:rFonts w:hint="eastAsia" w:ascii="华文楷体" w:hAnsi="华文楷体" w:eastAsia="华文楷体" w:cs="华文楷体"/>
          <w:b/>
          <w:bCs/>
          <w:color w:val="auto"/>
          <w:spacing w:val="0"/>
          <w:sz w:val="28"/>
          <w:szCs w:val="28"/>
          <w:lang w:val="en-US" w:eastAsia="zh-CN"/>
        </w:rPr>
        <w:t>（一）基本支出情况说明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（未安排的乡（镇）、部门请说明本年未安排）2018年未安排政府性基金预算拨款基本支出。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华文楷体" w:hAnsi="华文楷体" w:eastAsia="华文楷体" w:cs="华文楷体"/>
          <w:b/>
          <w:bCs/>
          <w:color w:val="auto"/>
          <w:spacing w:val="0"/>
          <w:kern w:val="2"/>
          <w:sz w:val="28"/>
          <w:szCs w:val="28"/>
          <w:lang w:val="en-US" w:eastAsia="zh-CN" w:bidi="ar-SA"/>
        </w:rPr>
        <w:t>（二）项目支出情况说明其中：</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**乡（镇）、部门2018年政府性基金预算拨款项目支出***元，其中：按政府收支科目类、款、项，用途分项说明。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例如：1.其他支出（229类）彩票公益金及对应专项债务收入安排的支出（60款） 用于教育事业的彩票公益金支出（04项）2018年政府性基金预算拨款项目支出 xxx 元，其中：1.xxx 项目资金2018年预算 xxx 元。主要用于乡镇中心学校建设，计划三年达到贫困县乡镇中心学校全覆盖。</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2.（未安排的乡（镇）、部门请说明本年未安排）</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五、关于2018年收支预算情况的总体说明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按照全口径预算的原则，2018年所有收入和支出均纳入部门预算管理。收入总预算**元，支出总预算**元。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收入预算包括：财政拨款收入**万元，占**%；事业收入**元，占**%；事业单位经营收入**元，占0%；其他收入**元，占**%。</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支出预算包括：基本支出**元，占**%；项目支出**元,占**%。</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六、其他重要事项的情况说明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2"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（一）机关运行经费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年，****本级及所属……等**个行政单位和……等个参公管理事业单位的机关运行经费财政拨款预算**万元，比 2018 年预算增加（减少** 万元，增长（下降）** %。</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2"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（二）政府采购情况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年，****政府采购预算**元，其中：政府采购货物预算**万元，政府采购工程预算**万元，政府采购购买服务预算**万元；计划采购办公设备**件，其中：办公设备** ，家具……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2"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（三）国有资产占用使用情况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截至上年年末，****占用使用国有资产总体情况为房屋 平方米，价值**万元；土地 **平方米，价值**万元；车辆 **辆，价值**万元；办公家具价值**万元；其他资产价值** 万元。国有资产分布情况为：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本级部门房屋**平方米，价值 **万元；土地** 平方米，价值**万元；车辆 **辆，价值**万元；办公家具价值**万元；其他资产价值 **万元。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所属单位房屋 **平方米，价值 **万元；土地 **平方米，价值 **万元；车辆 **辆，价值** 万元；办公家具价值**万元；其他资产价值** 万元。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2"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（四）预算绩效情况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年****重点项目绩效评价……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2"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（五）其他需说明事项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名词解释</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1.一般公共预算：</w:t>
      </w:r>
      <w:r>
        <w:rPr>
          <w:rFonts w:hint="eastAsia" w:ascii="仿宋_GB2312" w:hAnsi="仿宋_GB2312" w:eastAsia="仿宋_GB2312" w:cs="仿宋_GB2312"/>
          <w:color w:val="auto"/>
          <w:spacing w:val="0"/>
          <w:sz w:val="28"/>
          <w:szCs w:val="28"/>
          <w:lang w:val="en-US" w:eastAsia="zh-CN"/>
        </w:rPr>
        <w:t>是国家凭借政治权力，以社会管理者身份筹集以税收为主体的财政收入，用于保障和改善民生、推动经济社会发展、维持国家机构正常运转、保障国家安全等方面的收支预算。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2.政府性基金预算：</w:t>
      </w:r>
      <w:r>
        <w:rPr>
          <w:rFonts w:hint="eastAsia" w:ascii="仿宋_GB2312" w:hAnsi="仿宋_GB2312" w:eastAsia="仿宋_GB2312" w:cs="仿宋_GB2312"/>
          <w:color w:val="auto"/>
          <w:spacing w:val="0"/>
          <w:sz w:val="28"/>
          <w:szCs w:val="28"/>
          <w:lang w:val="en-US" w:eastAsia="zh-CN"/>
        </w:rPr>
        <w:t>是对依照法律、行政法规的规定在一定期限内向特定对象征收、收取或者以其他方式筹集的资金，专项用于支持特定基础设施建设和社会事业发展等方面收支预算。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3.“三公”经费：</w:t>
      </w:r>
      <w:r>
        <w:rPr>
          <w:rFonts w:hint="eastAsia" w:ascii="仿宋_GB2312" w:hAnsi="仿宋_GB2312" w:eastAsia="仿宋_GB2312" w:cs="仿宋_GB2312"/>
          <w:color w:val="auto"/>
          <w:spacing w:val="0"/>
          <w:sz w:val="28"/>
          <w:szCs w:val="28"/>
          <w:lang w:val="en-US" w:eastAsia="zh-CN"/>
        </w:rPr>
        <w:t>是政府部门人员用财政拨款支出安排的出国（境）费、车辆购置及运行费、公务接待费这三项经费。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4.预算公开：</w:t>
      </w:r>
      <w:r>
        <w:rPr>
          <w:rFonts w:hint="eastAsia" w:ascii="仿宋_GB2312" w:hAnsi="仿宋_GB2312" w:eastAsia="仿宋_GB2312" w:cs="仿宋_GB2312"/>
          <w:color w:val="auto"/>
          <w:spacing w:val="0"/>
          <w:sz w:val="28"/>
          <w:szCs w:val="28"/>
          <w:lang w:val="en-US" w:eastAsia="zh-CN"/>
        </w:rPr>
        <w:t>是指政府和相关组织机构向公众公开或开放自己所拥有的财政预算信息，使其他组织机构和公众个人可以基于任何正当理由和采用尽可能简便的方法获得相关信息。</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5.基本支出：</w:t>
      </w:r>
      <w:r>
        <w:rPr>
          <w:rFonts w:hint="eastAsia" w:ascii="仿宋_GB2312" w:hAnsi="仿宋_GB2312" w:eastAsia="仿宋_GB2312" w:cs="仿宋_GB2312"/>
          <w:color w:val="auto"/>
          <w:spacing w:val="0"/>
          <w:sz w:val="28"/>
          <w:szCs w:val="28"/>
          <w:lang w:val="en-US" w:eastAsia="zh-CN"/>
        </w:rPr>
        <w:t>是行政事业单位为保障机构正常运转、完成日常工作任务而编制的年度基本支出计划，包括人员经费和日常公用经费两部分。</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6.项目支出：</w:t>
      </w:r>
      <w:r>
        <w:rPr>
          <w:rFonts w:hint="eastAsia" w:ascii="仿宋_GB2312" w:hAnsi="仿宋_GB2312" w:eastAsia="仿宋_GB2312" w:cs="仿宋_GB2312"/>
          <w:color w:val="auto"/>
          <w:spacing w:val="0"/>
          <w:sz w:val="28"/>
          <w:szCs w:val="28"/>
          <w:lang w:val="en-US" w:eastAsia="zh-CN"/>
        </w:rPr>
        <w:t>是行政事业单位为完成特定的工作任务或事业发展目标，在基本支出以外，财政预算专项安排的支出。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7.政府购买服务：</w:t>
      </w:r>
      <w:r>
        <w:rPr>
          <w:rFonts w:hint="eastAsia" w:ascii="仿宋_GB2312" w:hAnsi="仿宋_GB2312" w:eastAsia="仿宋_GB2312" w:cs="仿宋_GB2312"/>
          <w:color w:val="auto"/>
          <w:spacing w:val="0"/>
          <w:sz w:val="28"/>
          <w:szCs w:val="28"/>
          <w:lang w:val="en-US" w:eastAsia="zh-CN"/>
        </w:rPr>
        <w:t>是指将原来由政府直接提供的、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8.绩效评价：</w:t>
      </w:r>
      <w:r>
        <w:rPr>
          <w:rFonts w:hint="eastAsia" w:ascii="仿宋_GB2312" w:hAnsi="仿宋_GB2312" w:eastAsia="仿宋_GB2312" w:cs="仿宋_GB2312"/>
          <w:color w:val="auto"/>
          <w:spacing w:val="0"/>
          <w:sz w:val="28"/>
          <w:szCs w:val="28"/>
          <w:lang w:val="en-US" w:eastAsia="zh-CN"/>
        </w:rPr>
        <w:t>是指财政部门和预算部门(单位)根据设定的绩效目标，运用科学合理的绩效评价指标、评价标准和评价方法，对财政支出的经济性、效率性和效益性进行客观、公正的评价。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9.政府收支分类科目：</w:t>
      </w:r>
      <w:r>
        <w:rPr>
          <w:rFonts w:hint="eastAsia" w:ascii="仿宋_GB2312" w:hAnsi="仿宋_GB2312" w:eastAsia="仿宋_GB2312" w:cs="仿宋_GB2312"/>
          <w:color w:val="auto"/>
          <w:spacing w:val="0"/>
          <w:sz w:val="28"/>
          <w:szCs w:val="28"/>
          <w:lang w:val="en-US" w:eastAsia="zh-CN"/>
        </w:rPr>
        <w:t>是反映政府收支活动和分类体系，是各级政府预算和部门预算编制、执行、决算的基础和重要工具，包括收入经济分类科目、支出功能分类科目和支出经济分类科目。</w:t>
      </w:r>
    </w:p>
    <w:p>
      <w:pPr>
        <w:rPr>
          <w:rFonts w:hint="eastAsia" w:ascii="仿宋_GB2312" w:hAnsi="仿宋_GB2312" w:eastAsia="仿宋_GB2312" w:cs="仿宋_GB2312"/>
          <w:color w:val="auto"/>
          <w:sz w:val="28"/>
          <w:szCs w:val="28"/>
          <w:lang w:eastAsia="zh-CN"/>
        </w:rPr>
        <w:sectPr>
          <w:headerReference r:id="rId11" w:type="default"/>
          <w:footerReference r:id="rId12" w:type="default"/>
          <w:footerReference r:id="rId13" w:type="even"/>
          <w:pgSz w:w="11906" w:h="16838"/>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color w:val="auto"/>
          <w:w w:val="95"/>
          <w:sz w:val="36"/>
          <w:szCs w:val="36"/>
        </w:rPr>
      </w:pPr>
      <w:r>
        <w:rPr>
          <w:rFonts w:hint="eastAsia" w:ascii="方正大标宋简体" w:hAnsi="方正大标宋简体" w:eastAsia="方正大标宋简体" w:cs="方正大标宋简体"/>
          <w:color w:val="auto"/>
          <w:w w:val="95"/>
          <w:sz w:val="36"/>
          <w:szCs w:val="36"/>
        </w:rPr>
        <w:t>收入支出决算总表（公开表样）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160" w:type="dxa"/>
        <w:jc w:val="center"/>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62"/>
        <w:gridCol w:w="708"/>
        <w:gridCol w:w="1034"/>
        <w:gridCol w:w="4072"/>
        <w:gridCol w:w="674"/>
        <w:gridCol w:w="2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0" w:hRule="atLeast"/>
          <w:jc w:val="center"/>
        </w:trPr>
        <w:tc>
          <w:tcPr>
            <w:tcW w:w="7004" w:type="dxa"/>
            <w:gridSpan w:val="3"/>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收入</w:t>
            </w:r>
          </w:p>
        </w:tc>
        <w:tc>
          <w:tcPr>
            <w:tcW w:w="7156" w:type="dxa"/>
            <w:gridSpan w:val="3"/>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行次</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决算数</w:t>
            </w: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项目(按功能分类)</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行次</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栏次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栏次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一、财政拨款收入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一、一般公共服务支出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 其中：政府性基金预算财政拨款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二、外交支出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二、上级补助收入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三、国防支出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三、事业收入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四、公共安全支出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四、经营收入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五、教育支出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五、附属单位上缴收入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六、科学技术支出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9"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六、其他收入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七、文化体育与传媒支出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八、社会保障和就业支出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九、医疗卫生与计划生育支出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十、节能环保支出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37</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十一、城乡社区支出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十二、农林水支出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39</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十三、交通运输支出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十四、资源勘探信息等支出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十五、商业服务业等支出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十六、金融支出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43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十七、援助其他地区支出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44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十八、国土海洋气象等支出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45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十九、住房保障支出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46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二十、粮油物资储备支出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47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二十一、其他支出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48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二十二、债务还本支出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49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二十三、债务付息支出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50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b/>
                <w:color w:val="auto"/>
                <w:sz w:val="28"/>
                <w:szCs w:val="28"/>
              </w:rPr>
              <w:t>本年收入合计</w:t>
            </w:r>
            <w:r>
              <w:rPr>
                <w:rFonts w:hint="eastAsia" w:ascii="仿宋_GB2312" w:hAnsi="仿宋_GB2312" w:eastAsia="仿宋_GB2312" w:cs="仿宋_GB2312"/>
                <w:b/>
                <w:color w:val="auto"/>
                <w:w w:val="100"/>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本年支出合计</w:t>
            </w:r>
            <w:r>
              <w:rPr>
                <w:rFonts w:hint="eastAsia" w:ascii="仿宋_GB2312" w:hAnsi="仿宋_GB2312" w:eastAsia="仿宋_GB2312" w:cs="仿宋_GB2312"/>
                <w:b/>
                <w:color w:val="auto"/>
                <w:w w:val="100"/>
                <w:sz w:val="28"/>
                <w:szCs w:val="28"/>
              </w:rPr>
              <w:t xml:space="preserve">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51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w w:val="100"/>
                <w:sz w:val="28"/>
                <w:szCs w:val="28"/>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w w:val="10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用事业基金弥补收支差额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结余分配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52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年初结转和结余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年末结转和结余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53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rightChars="0"/>
              <w:jc w:val="center"/>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b/>
                <w:color w:val="auto"/>
                <w:sz w:val="28"/>
                <w:szCs w:val="28"/>
              </w:rPr>
              <w:t>总计</w:t>
            </w:r>
            <w:r>
              <w:rPr>
                <w:rFonts w:hint="eastAsia" w:ascii="仿宋_GB2312" w:hAnsi="仿宋_GB2312" w:eastAsia="仿宋_GB2312" w:cs="仿宋_GB2312"/>
                <w:b/>
                <w:color w:val="auto"/>
                <w:w w:val="100"/>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总计</w:t>
            </w:r>
            <w:r>
              <w:rPr>
                <w:rFonts w:hint="eastAsia" w:ascii="仿宋_GB2312" w:hAnsi="仿宋_GB2312" w:eastAsia="仿宋_GB2312" w:cs="仿宋_GB2312"/>
                <w:b/>
                <w:color w:val="auto"/>
                <w:w w:val="100"/>
                <w:sz w:val="28"/>
                <w:szCs w:val="28"/>
              </w:rPr>
              <w:t xml:space="preserve">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54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w w:val="100"/>
                <w:sz w:val="28"/>
                <w:szCs w:val="28"/>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w w:val="10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w w:val="101"/>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2"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w w:val="101"/>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both"/>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注：本表反映部门本年度的总收支和年末结余结转情况，数据取自财决 01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15"/>
          <w:sz w:val="36"/>
          <w:szCs w:val="36"/>
        </w:rPr>
      </w:pPr>
      <w:r>
        <w:rPr>
          <w:rFonts w:hint="eastAsia" w:ascii="方正大标宋简体" w:hAnsi="方正大标宋简体" w:eastAsia="方正大标宋简体" w:cs="方正大标宋简体"/>
          <w:color w:val="auto"/>
          <w:sz w:val="36"/>
          <w:szCs w:val="36"/>
        </w:rPr>
        <w:t>收入决算表（公开表样</w:t>
      </w:r>
      <w:r>
        <w:rPr>
          <w:rFonts w:hint="eastAsia" w:ascii="方正大标宋简体" w:hAnsi="方正大标宋简体" w:eastAsia="方正大标宋简体" w:cs="方正大标宋简体"/>
          <w:color w:val="auto"/>
          <w:spacing w:val="-15"/>
          <w:sz w:val="36"/>
          <w:szCs w:val="36"/>
        </w:rPr>
        <w:t>）</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263" w:type="dxa"/>
        <w:jc w:val="center"/>
        <w:tblInd w:w="6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439"/>
        <w:gridCol w:w="448"/>
        <w:gridCol w:w="1552"/>
        <w:gridCol w:w="1506"/>
        <w:gridCol w:w="1396"/>
        <w:gridCol w:w="1202"/>
        <w:gridCol w:w="1325"/>
        <w:gridCol w:w="1512"/>
        <w:gridCol w:w="1476"/>
        <w:gridCol w:w="2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2875"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5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本年收入</w:t>
            </w:r>
          </w:p>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39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财政拨款收入</w:t>
            </w:r>
          </w:p>
        </w:tc>
        <w:tc>
          <w:tcPr>
            <w:tcW w:w="120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上级补助收入</w:t>
            </w:r>
          </w:p>
        </w:tc>
        <w:tc>
          <w:tcPr>
            <w:tcW w:w="132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事业收入</w:t>
            </w:r>
          </w:p>
        </w:tc>
        <w:tc>
          <w:tcPr>
            <w:tcW w:w="151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经营收入</w:t>
            </w:r>
          </w:p>
        </w:tc>
        <w:tc>
          <w:tcPr>
            <w:tcW w:w="147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附属单位上缴收入</w:t>
            </w:r>
          </w:p>
        </w:tc>
        <w:tc>
          <w:tcPr>
            <w:tcW w:w="2971" w:type="dxa"/>
            <w:vMerge w:val="restart"/>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1"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5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436"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39"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44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43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3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4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8" w:hRule="atLeast"/>
          <w:jc w:val="center"/>
        </w:trPr>
        <w:tc>
          <w:tcPr>
            <w:tcW w:w="1323"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注：本表反映部门本年度取得的各项收入情况，数据取自财决 03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表A.2.3</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b w:val="0"/>
          <w:bCs w:val="0"/>
          <w:color w:val="auto"/>
          <w:kern w:val="2"/>
          <w:sz w:val="36"/>
          <w:szCs w:val="36"/>
          <w:lang w:val="en-US" w:eastAsia="zh-CN" w:bidi="ar-SA"/>
        </w:rPr>
      </w:pPr>
      <w:r>
        <w:rPr>
          <w:rFonts w:hint="eastAsia" w:ascii="方正大标宋简体" w:hAnsi="方正大标宋简体" w:eastAsia="方正大标宋简体" w:cs="方正大标宋简体"/>
          <w:b w:val="0"/>
          <w:bCs w:val="0"/>
          <w:color w:val="auto"/>
          <w:kern w:val="2"/>
          <w:sz w:val="36"/>
          <w:szCs w:val="36"/>
          <w:lang w:val="en-US" w:eastAsia="zh-CN" w:bidi="ar-SA"/>
        </w:rPr>
        <w:t>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公开03表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088" w:type="dxa"/>
        <w:jc w:val="center"/>
        <w:tblInd w:w="6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0"/>
        <w:gridCol w:w="460"/>
        <w:gridCol w:w="455"/>
        <w:gridCol w:w="1603"/>
        <w:gridCol w:w="1615"/>
        <w:gridCol w:w="1607"/>
        <w:gridCol w:w="1606"/>
        <w:gridCol w:w="1614"/>
        <w:gridCol w:w="1606"/>
        <w:gridCol w:w="3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2968"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61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本年支出合计</w:t>
            </w:r>
          </w:p>
        </w:tc>
        <w:tc>
          <w:tcPr>
            <w:tcW w:w="1607"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16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c>
          <w:tcPr>
            <w:tcW w:w="161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上缴上级支出</w:t>
            </w:r>
          </w:p>
        </w:tc>
        <w:tc>
          <w:tcPr>
            <w:tcW w:w="16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经营支出</w:t>
            </w:r>
          </w:p>
        </w:tc>
        <w:tc>
          <w:tcPr>
            <w:tcW w:w="3072" w:type="dxa"/>
            <w:vMerge w:val="restart"/>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8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61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50"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60"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455"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450"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5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1365"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注：本表反映部门本年度各项支出情况，数据取自财决 04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表A.2.4</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color w:val="auto"/>
          <w:spacing w:val="0"/>
          <w:w w:val="100"/>
          <w:sz w:val="36"/>
          <w:szCs w:val="36"/>
        </w:rPr>
      </w:pPr>
      <w:r>
        <w:rPr>
          <w:rFonts w:hint="eastAsia" w:ascii="方正大标宋简体" w:hAnsi="方正大标宋简体" w:eastAsia="方正大标宋简体" w:cs="方正大标宋简体"/>
          <w:color w:val="auto"/>
          <w:spacing w:val="0"/>
          <w:w w:val="100"/>
          <w:sz w:val="36"/>
          <w:szCs w:val="36"/>
        </w:rPr>
        <w:t>财政拨款收入支出决算总表（公开表样）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公开04表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4180" w:type="dxa"/>
        <w:jc w:val="center"/>
        <w:tblInd w:w="2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76"/>
        <w:gridCol w:w="497"/>
        <w:gridCol w:w="1450"/>
        <w:gridCol w:w="4097"/>
        <w:gridCol w:w="499"/>
        <w:gridCol w:w="661"/>
        <w:gridCol w:w="965"/>
        <w:gridCol w:w="1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6123" w:type="dxa"/>
            <w:gridSpan w:val="3"/>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5"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    入</w:t>
            </w:r>
          </w:p>
        </w:tc>
        <w:tc>
          <w:tcPr>
            <w:tcW w:w="8057" w:type="dxa"/>
            <w:gridSpan w:val="5"/>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5"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7" w:hRule="atLeast"/>
          <w:jc w:val="center"/>
        </w:trPr>
        <w:tc>
          <w:tcPr>
            <w:tcW w:w="4176"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   目</w:t>
            </w:r>
          </w:p>
        </w:tc>
        <w:tc>
          <w:tcPr>
            <w:tcW w:w="497"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行次</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决算数</w:t>
            </w:r>
          </w:p>
        </w:tc>
        <w:tc>
          <w:tcPr>
            <w:tcW w:w="4097"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499"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行次</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6" w:hRule="atLeast"/>
          <w:jc w:val="center"/>
        </w:trPr>
        <w:tc>
          <w:tcPr>
            <w:tcW w:w="417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4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9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一般公共预算财政拨款</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政府性基金预算财政拨款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栏   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栏   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一、一般公共预算财政拨款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一、一般公共服务支出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二、政府性基金预算财政拨款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二、外交支出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三、国防支出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四、公共安全支出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五、教育支出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六、科学技术支出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七、文化体育与传媒支出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八、社会保障和就业支出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九、医疗卫生与计划生育支出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十、节能环保支出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十一、城乡社区支出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十二、农林水支出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十三、交通运输支出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十四、资源勘探信息等支出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十五、商业服务业等支出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十六、金融支出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十七、援助其他地区支出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十八、国土海洋气象等支出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十九、住房保障支出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47</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二十、粮油物资储备支出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二十一、其他支出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二十二、债务还本支出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二十三、债务付息支出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en-US" w:bidi="ar-SA"/>
              </w:rPr>
              <w:t>本年收入合计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en-US" w:bidi="ar-SA"/>
              </w:rPr>
              <w:t>本年支出合计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年初财政拨款结转和结余</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年末财政拨款结转和结余</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一、一般公共预算财政拨款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二、政府性基金预算财政拨款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lang w:val="en-US" w:eastAsia="en-US" w:bidi="ar-SA"/>
              </w:rPr>
              <w:t>合计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lang w:val="en-US" w:eastAsia="en-US" w:bidi="ar-SA"/>
              </w:rPr>
              <w:t>合计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91" w:line="540" w:lineRule="exact"/>
        <w:textAlignment w:val="auto"/>
        <w:outlineLvl w:val="9"/>
        <w:rPr>
          <w:rFonts w:hint="eastAsia" w:ascii="仿宋_GB2312" w:hAnsi="仿宋_GB2312" w:eastAsia="仿宋_GB2312" w:cs="仿宋_GB2312"/>
          <w:color w:val="auto"/>
          <w:sz w:val="28"/>
          <w:szCs w:val="28"/>
          <w:lang w:val="en-US" w:eastAsia="en-US" w:bidi="ar-SA"/>
        </w:rPr>
      </w:pPr>
      <w:r>
        <w:rPr>
          <w:rFonts w:hint="eastAsia" w:ascii="仿宋_GB2312" w:hAnsi="仿宋_GB2312" w:eastAsia="仿宋_GB2312" w:cs="仿宋_GB2312"/>
          <w:color w:val="auto"/>
          <w:sz w:val="28"/>
          <w:szCs w:val="28"/>
          <w:lang w:val="en-US" w:eastAsia="en-US" w:bidi="ar-SA"/>
        </w:rPr>
        <w:t>注：本表反映部门本年度一般公共预算财政拨款和政府性基金预算财政拨款的总收支和年末结余结转情况，数据取自财决</w:t>
      </w:r>
      <w:r>
        <w:rPr>
          <w:rFonts w:hint="eastAsia" w:ascii="仿宋_GB2312" w:hAnsi="仿宋_GB2312" w:eastAsia="仿宋_GB2312" w:cs="仿宋_GB2312"/>
          <w:color w:val="auto"/>
          <w:spacing w:val="2"/>
          <w:sz w:val="28"/>
          <w:szCs w:val="28"/>
          <w:lang w:val="en-US" w:eastAsia="en-US" w:bidi="ar-SA"/>
        </w:rPr>
        <w:t xml:space="preserve"> </w:t>
      </w:r>
      <w:r>
        <w:rPr>
          <w:rFonts w:hint="eastAsia" w:ascii="仿宋_GB2312" w:hAnsi="仿宋_GB2312" w:eastAsia="仿宋_GB2312" w:cs="仿宋_GB2312"/>
          <w:color w:val="auto"/>
          <w:spacing w:val="-1"/>
          <w:sz w:val="28"/>
          <w:szCs w:val="28"/>
          <w:lang w:val="en-US" w:eastAsia="en-US" w:bidi="ar-SA"/>
        </w:rPr>
        <w:t>01-1</w:t>
      </w:r>
      <w:r>
        <w:rPr>
          <w:rFonts w:hint="eastAsia" w:ascii="仿宋_GB2312" w:hAnsi="仿宋_GB2312" w:eastAsia="仿宋_GB2312" w:cs="仿宋_GB2312"/>
          <w:color w:val="auto"/>
          <w:sz w:val="28"/>
          <w:szCs w:val="28"/>
          <w:lang w:val="en-US" w:eastAsia="en-US" w:bidi="ar-SA"/>
        </w:rPr>
        <w:t>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表A.2.5</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公开05表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580" w:type="dxa"/>
        <w:jc w:val="center"/>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8"/>
        <w:gridCol w:w="1108"/>
        <w:gridCol w:w="1108"/>
        <w:gridCol w:w="1618"/>
        <w:gridCol w:w="1949"/>
        <w:gridCol w:w="1881"/>
        <w:gridCol w:w="4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4942"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949"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本年支出合计</w:t>
            </w:r>
          </w:p>
        </w:tc>
        <w:tc>
          <w:tcPr>
            <w:tcW w:w="1881"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4808"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5"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94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1108"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1" w:hRule="atLeast"/>
          <w:jc w:val="center"/>
        </w:trPr>
        <w:tc>
          <w:tcPr>
            <w:tcW w:w="1108"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1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1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2"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1"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9" w:hRule="atLeast"/>
          <w:jc w:val="center"/>
        </w:trPr>
        <w:tc>
          <w:tcPr>
            <w:tcW w:w="3324"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before="91" w:line="540" w:lineRule="exact"/>
        <w:textAlignment w:val="auto"/>
        <w:outlineLvl w:val="9"/>
        <w:rPr>
          <w:rFonts w:hint="eastAsia" w:ascii="仿宋_GB2312" w:hAnsi="仿宋_GB2312" w:eastAsia="仿宋_GB2312" w:cs="仿宋_GB2312"/>
          <w:color w:val="auto"/>
          <w:sz w:val="28"/>
          <w:szCs w:val="28"/>
          <w:lang w:val="en-US" w:eastAsia="en-US" w:bidi="ar-SA"/>
        </w:rPr>
      </w:pPr>
      <w:r>
        <w:rPr>
          <w:rFonts w:hint="eastAsia" w:ascii="仿宋_GB2312" w:hAnsi="仿宋_GB2312" w:eastAsia="仿宋_GB2312" w:cs="仿宋_GB2312"/>
          <w:color w:val="auto"/>
          <w:sz w:val="28"/>
          <w:szCs w:val="28"/>
        </w:rPr>
        <w:t>注：本表反映部门本年度一般公共预算财政拨款实际支出情况，数据取自财决 07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表A.2.6</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一般公共预算财政拨款基本支出决算表(公开表样)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公开06表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640" w:type="dxa"/>
        <w:jc w:val="center"/>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4254"/>
        <w:gridCol w:w="2550"/>
        <w:gridCol w:w="2289"/>
        <w:gridCol w:w="2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634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255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本年支出合计</w:t>
            </w:r>
          </w:p>
        </w:tc>
        <w:tc>
          <w:tcPr>
            <w:tcW w:w="228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人员经费</w:t>
            </w:r>
          </w:p>
        </w:tc>
        <w:tc>
          <w:tcPr>
            <w:tcW w:w="245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经济分类科目编码</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科目名称</w:t>
            </w:r>
          </w:p>
        </w:tc>
        <w:tc>
          <w:tcPr>
            <w:tcW w:w="25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center"/>
              <w:textAlignment w:val="auto"/>
              <w:outlineLvl w:val="9"/>
              <w:rPr>
                <w:rFonts w:hint="eastAsia" w:ascii="仿宋_GB2312" w:hAnsi="仿宋_GB2312" w:eastAsia="仿宋_GB2312" w:cs="仿宋_GB2312"/>
                <w:b/>
                <w:color w:val="auto"/>
                <w:sz w:val="24"/>
                <w:szCs w:val="24"/>
              </w:rPr>
            </w:pP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合计：</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一、工资福利支出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基本工资</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津贴补贴</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奖金</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其他社会保障缴费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伙食补助费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绩效工资</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机关事业单位基本养老保险缴费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职业年金缴费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其他工资福利支出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302</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二、商品和服务支出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right="725"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印刷费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咨询费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手续费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水费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电费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邮电费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取暖费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物业管理费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差旅费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因公出国（境）费用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维修（护）费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租赁费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会议费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培训费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公务接待费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专用材料费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被装购置费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专用燃料费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劳务费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委托业务费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工会经费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tabs>
                <w:tab w:val="center" w:pos="1036"/>
                <w:tab w:val="right" w:pos="1696"/>
              </w:tabs>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福利费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公务用车运行维护费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税金及附加费用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其他商品和服务支出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三、对个人和家庭的补助</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离休费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退休费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退职（役）费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抚恤金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生活补助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救济费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医疗费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助学金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奖励金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生产补贴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住房公积金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提租补贴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购房补贴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采暖补贴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物业服务补贴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其他对个人和家庭的补助支出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四、基本建设支出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房屋建筑物购建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办公设备购置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基础设施建设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大型修缮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信息网络及软件购置更新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物资储备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其他交通工具购置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其他基本建设支出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五、其他资本性支出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房屋建筑物购建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办公设备购置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基础设施建设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大型修缮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信息网络及软件购置更新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物资储备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土地补偿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安置补助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地上附着物和青苗补偿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拆迁补偿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其他交通工具购置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产权参股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其他资本性支出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六、对企事业单位的补贴</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企业政策性补贴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事业单位补贴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财政贴息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其他对企事业单位的补贴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七、债务利息支出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国内债务付息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国外债务付息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八、其他支出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赠与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贷款转贷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其他支出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left"/>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注：本表反映部门本年度一般公共预算财政拨款基本支出情况，按经济分类填列到款级科目，数据取自财决</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ind w:firstLine="560" w:firstLineChars="200"/>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z w:val="28"/>
          <w:szCs w:val="28"/>
        </w:rPr>
        <w:t>08-1表</w:t>
      </w:r>
      <w:r>
        <w:rPr>
          <w:rFonts w:hint="eastAsia" w:ascii="仿宋_GB2312" w:hAnsi="仿宋_GB2312" w:eastAsia="仿宋_GB2312" w:cs="仿宋_GB2312"/>
          <w:color w:val="auto"/>
          <w:sz w:val="28"/>
          <w:szCs w:val="28"/>
          <w:lang w:eastAsia="zh-CN"/>
        </w:rPr>
        <w:t>。</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表A.2.7</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一般公共预算财政拨款“三公”经费支出决算表（公开表样）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公开07表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580" w:type="dxa"/>
        <w:jc w:val="center"/>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156"/>
        <w:gridCol w:w="644"/>
        <w:gridCol w:w="1503"/>
        <w:gridCol w:w="1531"/>
        <w:gridCol w:w="747"/>
        <w:gridCol w:w="1075"/>
        <w:gridCol w:w="982"/>
        <w:gridCol w:w="784"/>
        <w:gridCol w:w="1511"/>
        <w:gridCol w:w="150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6644"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2017 年度预算数</w:t>
            </w:r>
          </w:p>
        </w:tc>
        <w:tc>
          <w:tcPr>
            <w:tcW w:w="6936"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2017 年度决算数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jc w:val="center"/>
        </w:trPr>
        <w:tc>
          <w:tcPr>
            <w:tcW w:w="10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15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0"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应公出国</w:t>
            </w:r>
          </w:p>
          <w:p>
            <w:pPr>
              <w:pStyle w:val="53"/>
              <w:keepNext w:val="0"/>
              <w:keepLines w:val="0"/>
              <w:pageBreakBefore w:val="0"/>
              <w:widowControl w:val="0"/>
              <w:kinsoku/>
              <w:wordWrap/>
              <w:overflowPunct/>
              <w:topLinePunct w:val="0"/>
              <w:autoSpaceDE/>
              <w:autoSpaceDN/>
              <w:bidi w:val="0"/>
              <w:adjustRightInd/>
              <w:snapToGrid/>
              <w:spacing w:before="3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w:t>
            </w:r>
            <w:r>
              <w:rPr>
                <w:rFonts w:hint="eastAsia" w:ascii="仿宋_GB2312" w:hAnsi="仿宋_GB2312" w:eastAsia="仿宋_GB2312" w:cs="仿宋_GB2312"/>
                <w:color w:val="auto"/>
                <w:spacing w:val="-8"/>
                <w:sz w:val="28"/>
                <w:szCs w:val="28"/>
              </w:rPr>
              <w:t>）</w:t>
            </w:r>
            <w:r>
              <w:rPr>
                <w:rFonts w:hint="eastAsia" w:ascii="仿宋_GB2312" w:hAnsi="仿宋_GB2312" w:eastAsia="仿宋_GB2312" w:cs="仿宋_GB2312"/>
                <w:color w:val="auto"/>
                <w:spacing w:val="-7"/>
                <w:sz w:val="28"/>
                <w:szCs w:val="28"/>
              </w:rPr>
              <w:t>费</w:t>
            </w:r>
          </w:p>
        </w:tc>
        <w:tc>
          <w:tcPr>
            <w:tcW w:w="367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4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公务用车购置及运行费</w:t>
            </w:r>
          </w:p>
        </w:tc>
        <w:tc>
          <w:tcPr>
            <w:tcW w:w="74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公务接待费</w:t>
            </w:r>
          </w:p>
        </w:tc>
        <w:tc>
          <w:tcPr>
            <w:tcW w:w="107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9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应公出 国（境</w:t>
            </w:r>
            <w:r>
              <w:rPr>
                <w:rFonts w:hint="eastAsia" w:ascii="仿宋_GB2312" w:hAnsi="仿宋_GB2312" w:eastAsia="仿宋_GB2312" w:cs="仿宋_GB2312"/>
                <w:color w:val="auto"/>
                <w:spacing w:val="-17"/>
                <w:sz w:val="28"/>
                <w:szCs w:val="28"/>
              </w:rPr>
              <w:t xml:space="preserve">） </w:t>
            </w:r>
            <w:r>
              <w:rPr>
                <w:rFonts w:hint="eastAsia" w:ascii="仿宋_GB2312" w:hAnsi="仿宋_GB2312" w:eastAsia="仿宋_GB2312" w:cs="仿宋_GB2312"/>
                <w:color w:val="auto"/>
                <w:sz w:val="28"/>
                <w:szCs w:val="28"/>
              </w:rPr>
              <w:t>费</w:t>
            </w:r>
          </w:p>
        </w:tc>
        <w:tc>
          <w:tcPr>
            <w:tcW w:w="3797"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4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公务用车购置及运行费</w:t>
            </w:r>
          </w:p>
        </w:tc>
        <w:tc>
          <w:tcPr>
            <w:tcW w:w="10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jc w:val="center"/>
        </w:trPr>
        <w:tc>
          <w:tcPr>
            <w:tcW w:w="10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15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17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公务用车购置费</w:t>
            </w: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公务用车运行费</w:t>
            </w:r>
          </w:p>
        </w:tc>
        <w:tc>
          <w:tcPr>
            <w:tcW w:w="74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7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9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before="17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公务用车购置费</w:t>
            </w: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公务用车运行费</w:t>
            </w:r>
          </w:p>
        </w:tc>
        <w:tc>
          <w:tcPr>
            <w:tcW w:w="10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6" w:hRule="atLeast"/>
          <w:jc w:val="center"/>
        </w:trPr>
        <w:tc>
          <w:tcPr>
            <w:tcW w:w="106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156"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075"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98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108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4" w:hRule="atLeast"/>
          <w:jc w:val="center"/>
        </w:trPr>
        <w:tc>
          <w:tcPr>
            <w:tcW w:w="1063"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156"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75"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98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8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表A.2.8</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政府性基金预算财政拨款收入支出决算表（公开表样）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公开08表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600" w:type="dxa"/>
        <w:jc w:val="center"/>
        <w:tblInd w:w="9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444"/>
        <w:gridCol w:w="552"/>
        <w:gridCol w:w="1625"/>
        <w:gridCol w:w="1616"/>
        <w:gridCol w:w="1617"/>
        <w:gridCol w:w="1619"/>
        <w:gridCol w:w="1614"/>
        <w:gridCol w:w="1611"/>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3073"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61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年初结转和结余</w:t>
            </w:r>
          </w:p>
        </w:tc>
        <w:tc>
          <w:tcPr>
            <w:tcW w:w="161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本年收入</w:t>
            </w:r>
          </w:p>
        </w:tc>
        <w:tc>
          <w:tcPr>
            <w:tcW w:w="4844"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w:t>
            </w:r>
          </w:p>
        </w:tc>
        <w:tc>
          <w:tcPr>
            <w:tcW w:w="245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89"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61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c>
          <w:tcPr>
            <w:tcW w:w="24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4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4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5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4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4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5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color w:val="auto"/>
          <w:sz w:val="28"/>
          <w:szCs w:val="28"/>
          <w:lang w:val="en-US" w:eastAsia="zh-CN"/>
        </w:rPr>
        <w:sectPr>
          <w:headerReference r:id="rId14" w:type="default"/>
          <w:headerReference r:id="rId15" w:type="even"/>
          <w:footerReference r:id="rId16" w:type="even"/>
          <w:pgSz w:w="16838" w:h="11906" w:orient="landscape"/>
          <w:pgMar w:top="1701" w:right="1417" w:bottom="1701" w:left="1417" w:header="1134" w:footer="1134" w:gutter="0"/>
          <w:pgNumType w:fmt="numberInDash"/>
          <w:cols w:space="0" w:num="1"/>
          <w:rtlGutter w:val="0"/>
          <w:docGrid w:type="lines" w:linePitch="312" w:charSpace="0"/>
        </w:sectPr>
      </w:pPr>
      <w:r>
        <w:rPr>
          <w:rFonts w:hint="eastAsia" w:ascii="仿宋_GB2312" w:hAnsi="仿宋_GB2312" w:eastAsia="仿宋_GB2312" w:cs="仿宋_GB2312"/>
          <w:color w:val="auto"/>
          <w:sz w:val="28"/>
          <w:szCs w:val="28"/>
        </w:rPr>
        <w:t>注：本表反映部门本年度政府性基金预算财政拨款收入支出及结转结余情况,数据取自财决09表</w:t>
      </w:r>
    </w:p>
    <w:p>
      <w:pPr>
        <w:jc w:val="both"/>
        <w:rPr>
          <w:rFonts w:hint="eastAsia" w:ascii="仿宋_GB2312" w:hAnsi="仿宋_GB2312" w:eastAsia="仿宋_GB2312" w:cs="仿宋_GB2312"/>
          <w:color w:val="auto"/>
          <w:sz w:val="28"/>
          <w:szCs w:val="28"/>
          <w:lang w:eastAsia="zh-CN"/>
        </w:rPr>
      </w:pPr>
      <w:bookmarkStart w:id="0" w:name="_GoBack"/>
      <w:bookmarkEnd w:id="0"/>
    </w:p>
    <w:p>
      <w:pPr>
        <w:jc w:val="both"/>
        <w:rPr>
          <w:rFonts w:hint="eastAsia" w:ascii="仿宋_GB2312" w:hAnsi="仿宋_GB2312" w:eastAsia="仿宋_GB2312" w:cs="仿宋_GB2312"/>
          <w:color w:val="auto"/>
          <w:sz w:val="28"/>
          <w:szCs w:val="28"/>
          <w:lang w:eastAsia="zh-CN"/>
        </w:rPr>
      </w:pPr>
    </w:p>
    <w:p>
      <w:pPr>
        <w:jc w:val="both"/>
        <w:rPr>
          <w:rFonts w:hint="eastAsia" w:ascii="仿宋_GB2312" w:hAnsi="仿宋_GB2312" w:eastAsia="仿宋_GB2312" w:cs="仿宋_GB2312"/>
          <w:color w:val="auto"/>
          <w:sz w:val="28"/>
          <w:szCs w:val="28"/>
          <w:lang w:eastAsia="zh-CN"/>
        </w:rPr>
      </w:pPr>
    </w:p>
    <w:p>
      <w:pPr>
        <w:jc w:val="both"/>
        <w:rPr>
          <w:rFonts w:hint="eastAsia" w:ascii="仿宋_GB2312" w:hAnsi="仿宋_GB2312" w:eastAsia="仿宋_GB2312" w:cs="仿宋_GB2312"/>
          <w:color w:val="auto"/>
          <w:sz w:val="28"/>
          <w:szCs w:val="28"/>
          <w:lang w:eastAsia="zh-CN"/>
        </w:rPr>
      </w:pPr>
    </w:p>
    <w:p>
      <w:pPr>
        <w:jc w:val="both"/>
        <w:rPr>
          <w:rFonts w:hint="eastAsia" w:ascii="仿宋_GB2312" w:hAnsi="仿宋_GB2312" w:eastAsia="仿宋_GB2312" w:cs="仿宋_GB2312"/>
          <w:color w:val="auto"/>
          <w:sz w:val="28"/>
          <w:szCs w:val="28"/>
          <w:lang w:eastAsia="zh-CN"/>
        </w:rPr>
      </w:pPr>
    </w:p>
    <w:sectPr>
      <w:headerReference r:id="rId17" w:type="default"/>
      <w:footerReference r:id="rId19" w:type="default"/>
      <w:headerReference r:id="rId18" w:type="even"/>
      <w:footerReference r:id="rId20" w:type="even"/>
      <w:pgSz w:w="16838" w:h="11906" w:orient="landscape"/>
      <w:pgMar w:top="1417" w:right="1701" w:bottom="1417" w:left="1701" w:header="1134" w:footer="1134" w:gutter="0"/>
      <w:pgNumType w:fmt="numberInDash" w:start="505"/>
      <w:cols w:space="0" w:num="1"/>
      <w:formProt w:val="0"/>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1315687424" behindDoc="1" locked="0" layoutInCell="1" allowOverlap="1">
          <wp:simplePos x="0" y="0"/>
          <wp:positionH relativeFrom="column">
            <wp:posOffset>23495</wp:posOffset>
          </wp:positionH>
          <wp:positionV relativeFrom="paragraph">
            <wp:posOffset>92075</wp:posOffset>
          </wp:positionV>
          <wp:extent cx="5724525" cy="396240"/>
          <wp:effectExtent l="0" t="0" r="9525" b="3810"/>
          <wp:wrapNone/>
          <wp:docPr id="1106" name="图片 110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106"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r>
      <w:rPr>
        <w:rFonts w:hint="eastAsia" w:eastAsiaTheme="minorEastAsia"/>
        <w:lang w:eastAsia="zh-CN"/>
      </w:rPr>
      <w:drawing>
        <wp:anchor distT="0" distB="0" distL="114300" distR="114300" simplePos="0" relativeHeight="3830053888"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016" name="图片 101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图片 1016"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3830065152"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1017" name="文本框 10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464902144;mso-width-relative:page;mso-height-relative:page;" filled="f" stroked="f" coordsize="21600,21600" o:gfxdata="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tigG0wAAAAYBAAAPAAAAAAAA&#10;AAEAIAAAACIAAABkcnMvZG93bnJldi54bWxQSwECFAAUAAAACACHTuJAYEajhRcCAAAZBAAADgAA&#10;AAAAAAABACAAAAAiAQAAZHJzL2Uyb0RvYy54bWxQSwUGAAAAAAYABgBZAQAAq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451606528" behindDoc="1" locked="0" layoutInCell="1" allowOverlap="1">
          <wp:simplePos x="0" y="0"/>
          <wp:positionH relativeFrom="column">
            <wp:posOffset>2785110</wp:posOffset>
          </wp:positionH>
          <wp:positionV relativeFrom="paragraph">
            <wp:posOffset>64770</wp:posOffset>
          </wp:positionV>
          <wp:extent cx="5746115" cy="396240"/>
          <wp:effectExtent l="0" t="0" r="6985" b="3810"/>
          <wp:wrapNone/>
          <wp:docPr id="1107" name="图片 1107"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107"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303798579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14" name="文本框 10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1256981504;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AUNzM8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2371609600" behindDoc="1" locked="0" layoutInCell="1" allowOverlap="1">
          <wp:simplePos x="0" y="0"/>
          <wp:positionH relativeFrom="column">
            <wp:posOffset>-5080</wp:posOffset>
          </wp:positionH>
          <wp:positionV relativeFrom="paragraph">
            <wp:posOffset>64770</wp:posOffset>
          </wp:positionV>
          <wp:extent cx="5746115" cy="396240"/>
          <wp:effectExtent l="0" t="0" r="6985" b="3810"/>
          <wp:wrapNone/>
          <wp:docPr id="1109" name="图片 1109"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109"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66302156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110" name="文本框 1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663021568;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BiTJ3X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196594688" behindDoc="1" locked="0" layoutInCell="1" allowOverlap="1">
          <wp:simplePos x="0" y="0"/>
          <wp:positionH relativeFrom="column">
            <wp:posOffset>2743835</wp:posOffset>
          </wp:positionH>
          <wp:positionV relativeFrom="paragraph">
            <wp:posOffset>64770</wp:posOffset>
          </wp:positionV>
          <wp:extent cx="5746115" cy="396240"/>
          <wp:effectExtent l="0" t="0" r="6985" b="3810"/>
          <wp:wrapNone/>
          <wp:docPr id="1111" name="图片 1111"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111"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278297395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112" name="文本框 1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1511993344;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hJjadIAAAAFAQAADwAAAAAAAAAB&#10;ACAAAAAiAAAAZHJzL2Rvd25yZXYueG1sUEsBAhQAFAAAAAgAh07iQAUQUrAWAgAAGQQAAA4AAAAA&#10;AAAAAQAgAAAAIQEAAGRycy9lMm9Eb2MueG1sUEsFBgAAAAAGAAYAWQEAAK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sz w:val="18"/>
      </w:rPr>
      <mc:AlternateContent>
        <mc:Choice Requires="wps">
          <w:drawing>
            <wp:anchor distT="0" distB="0" distL="114300" distR="114300" simplePos="0" relativeHeight="3264978944" behindDoc="0" locked="0" layoutInCell="1" allowOverlap="1">
              <wp:simplePos x="0" y="0"/>
              <wp:positionH relativeFrom="margin">
                <wp:align>outside</wp:align>
              </wp:positionH>
              <wp:positionV relativeFrom="paragraph">
                <wp:posOffset>128270</wp:posOffset>
              </wp:positionV>
              <wp:extent cx="1828800" cy="1828800"/>
              <wp:effectExtent l="0" t="0" r="0" b="0"/>
              <wp:wrapNone/>
              <wp:docPr id="1118" name="文本框 1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1pt;height:144pt;width:144pt;mso-position-horizontal:outside;mso-position-horizontal-relative:margin;mso-wrap-style:none;z-index:-1029988352;mso-width-relative:page;mso-height-relative:page;" filled="f" stroked="f" coordsize="21600,21600" o:gfxdata="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RxXo1AAAAAcBAAAPAAAAAAAA&#10;AAEAIAAAACIAAABkcnMvZG93bnJldi54bWxQSwECFAAUAAAACACHTuJAvzvRkxYCAAAZBAAADgAA&#10;AAAAAAABACAAAAAjAQAAZHJzL2Uyb0RvYy54bWxQSwUGAAAAAAYABgBZAQAAq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eastAsiaTheme="minorEastAsia"/>
        <w:lang w:eastAsia="zh-CN"/>
      </w:rPr>
      <w:drawing>
        <wp:anchor distT="0" distB="0" distL="114300" distR="114300" simplePos="0" relativeHeight="750601216" behindDoc="1" locked="0" layoutInCell="1" allowOverlap="1">
          <wp:simplePos x="0" y="0"/>
          <wp:positionH relativeFrom="column">
            <wp:posOffset>23495</wp:posOffset>
          </wp:positionH>
          <wp:positionV relativeFrom="paragraph">
            <wp:posOffset>52070</wp:posOffset>
          </wp:positionV>
          <wp:extent cx="5724525" cy="396240"/>
          <wp:effectExtent l="0" t="0" r="9525" b="3810"/>
          <wp:wrapNone/>
          <wp:docPr id="1116" name="图片 111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116"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r>
      <w:rPr>
        <w:rFonts w:hint="eastAsia" w:eastAsiaTheme="minorEastAsia"/>
        <w:lang w:eastAsia="zh-CN"/>
      </w:rPr>
      <w:drawing>
        <wp:anchor distT="0" distB="0" distL="114300" distR="114300" simplePos="0" relativeHeight="3264967680"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117" name="图片 1117"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1117"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p>
  <w:p>
    <w:pPr>
      <w:pStyle w:val="7"/>
      <w:rPr>
        <w:rFonts w:hint="eastAsia" w:eastAsiaTheme="minorEastAsia"/>
        <w:lang w:eastAsia="zh-CN"/>
      </w:rPr>
    </w:pPr>
    <w:r>
      <w:rPr>
        <w:sz w:val="18"/>
      </w:rPr>
      <mc:AlternateContent>
        <mc:Choice Requires="wps">
          <w:drawing>
            <wp:anchor distT="0" distB="0" distL="114300" distR="114300" simplePos="0" relativeHeight="352803532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19" name="文本框 10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766931968;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AU1b5p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r>
      <w:rPr>
        <w:rFonts w:hint="eastAsia" w:eastAsiaTheme="minorEastAsia"/>
        <w:lang w:eastAsia="zh-CN"/>
      </w:rPr>
      <w:drawing>
        <wp:anchor distT="0" distB="0" distL="114300" distR="114300" simplePos="0" relativeHeight="3264979968" behindDoc="1" locked="0" layoutInCell="1" allowOverlap="1">
          <wp:simplePos x="0" y="0"/>
          <wp:positionH relativeFrom="column">
            <wp:posOffset>0</wp:posOffset>
          </wp:positionH>
          <wp:positionV relativeFrom="paragraph">
            <wp:posOffset>-260350</wp:posOffset>
          </wp:positionV>
          <wp:extent cx="5507990" cy="396240"/>
          <wp:effectExtent l="0" t="0" r="16510" b="3810"/>
          <wp:wrapNone/>
          <wp:docPr id="1120" name="图片 1120"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1120"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3763923968" behindDoc="1" locked="0" layoutInCell="1" allowOverlap="1">
          <wp:simplePos x="0" y="0"/>
          <wp:positionH relativeFrom="column">
            <wp:posOffset>2981960</wp:posOffset>
          </wp:positionH>
          <wp:positionV relativeFrom="paragraph">
            <wp:posOffset>81280</wp:posOffset>
          </wp:positionV>
          <wp:extent cx="5507990" cy="396240"/>
          <wp:effectExtent l="0" t="0" r="16510" b="3810"/>
          <wp:wrapNone/>
          <wp:docPr id="1122" name="图片 1122"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1122"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40180848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22" name="文本框 10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76882432;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hJjadIAAAAFAQAADwAAAAAAAAAB&#10;ACAAAAAiAAAAZHJzL2Rvd25yZXYueG1sUEsBAhQAFAAAAAgAh07iQOn2s8MWAgAAGQQAAA4AAAAA&#10;AAAAAQAgAAAAIQEAAGRycy9lMm9Eb2MueG1sUEsFBgAAAAAGAAYAWQEAAK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keepNext w:val="0"/>
      <w:keepLines w:val="0"/>
      <w:pageBreakBefore w:val="0"/>
      <w:widowControl/>
      <w:kinsoku/>
      <w:wordWrap/>
      <w:overflowPunct/>
      <w:topLinePunct w:val="0"/>
      <w:autoSpaceDE/>
      <w:autoSpaceDN/>
      <w:bidi w:val="0"/>
      <w:adjustRightInd/>
      <w:snapToGrid/>
      <w:spacing w:line="240" w:lineRule="exact"/>
      <w:ind w:right="198"/>
      <w:jc w:val="both"/>
      <w:textAlignment w:val="auto"/>
      <w:outlineLvl w:val="9"/>
    </w:pPr>
  </w:p>
  <w:p>
    <w:pPr>
      <w:pStyle w:val="40"/>
      <w:keepNext w:val="0"/>
      <w:keepLines w:val="0"/>
      <w:pageBreakBefore w:val="0"/>
      <w:widowControl/>
      <w:kinsoku/>
      <w:wordWrap/>
      <w:overflowPunct/>
      <w:topLinePunct w:val="0"/>
      <w:autoSpaceDE/>
      <w:autoSpaceDN/>
      <w:bidi w:val="0"/>
      <w:adjustRightInd/>
      <w:snapToGrid/>
      <w:spacing w:line="240" w:lineRule="exact"/>
      <w:ind w:right="198"/>
      <w:textAlignment w:val="auto"/>
      <w:outlineLvl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p>
  <w:p>
    <w:pPr>
      <w:pStyle w:val="7"/>
      <w:rPr>
        <w:rFonts w:hint="eastAsia" w:eastAsiaTheme="minorEastAsia"/>
        <w:lang w:eastAsia="zh-CN"/>
      </w:rPr>
    </w:pPr>
    <w:r>
      <w:rPr>
        <w:rFonts w:hint="eastAsia" w:eastAsiaTheme="minorEastAsia"/>
        <w:lang w:eastAsia="zh-CN"/>
      </w:rPr>
      <w:drawing>
        <wp:anchor distT="0" distB="0" distL="114300" distR="114300" simplePos="0" relativeHeight="1208290304" behindDoc="1" locked="0" layoutInCell="1" allowOverlap="1">
          <wp:simplePos x="0" y="0"/>
          <wp:positionH relativeFrom="column">
            <wp:posOffset>270510</wp:posOffset>
          </wp:positionH>
          <wp:positionV relativeFrom="paragraph">
            <wp:posOffset>40640</wp:posOffset>
          </wp:positionV>
          <wp:extent cx="5507990" cy="396240"/>
          <wp:effectExtent l="0" t="0" r="16510" b="3810"/>
          <wp:wrapNone/>
          <wp:docPr id="1280" name="图片 1280"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图片 1280"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971710976" behindDoc="1" locked="0" layoutInCell="1" allowOverlap="1">
          <wp:simplePos x="0" y="0"/>
          <wp:positionH relativeFrom="column">
            <wp:posOffset>3018790</wp:posOffset>
          </wp:positionH>
          <wp:positionV relativeFrom="paragraph">
            <wp:posOffset>137160</wp:posOffset>
          </wp:positionV>
          <wp:extent cx="5507990" cy="396240"/>
          <wp:effectExtent l="0" t="0" r="16510" b="3810"/>
          <wp:wrapNone/>
          <wp:docPr id="1101" name="图片 1101"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101"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3513859072" behindDoc="1" locked="0" layoutInCell="1" allowOverlap="1">
          <wp:simplePos x="0" y="0"/>
          <wp:positionH relativeFrom="column">
            <wp:posOffset>12065</wp:posOffset>
          </wp:positionH>
          <wp:positionV relativeFrom="paragraph">
            <wp:posOffset>148590</wp:posOffset>
          </wp:positionV>
          <wp:extent cx="5507990" cy="396240"/>
          <wp:effectExtent l="0" t="0" r="16510" b="3810"/>
          <wp:wrapNone/>
          <wp:docPr id="1099" name="图片 1099"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99"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pP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2171660288" behindDoc="1" locked="0" layoutInCell="1" allowOverlap="1">
          <wp:simplePos x="0" y="0"/>
          <wp:positionH relativeFrom="column">
            <wp:posOffset>226695</wp:posOffset>
          </wp:positionH>
          <wp:positionV relativeFrom="paragraph">
            <wp:posOffset>137160</wp:posOffset>
          </wp:positionV>
          <wp:extent cx="5507990" cy="396240"/>
          <wp:effectExtent l="0" t="0" r="16510" b="3810"/>
          <wp:wrapNone/>
          <wp:docPr id="1108" name="图片 1108"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108"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2116597760" behindDoc="1" locked="0" layoutInCell="1" allowOverlap="1">
          <wp:simplePos x="0" y="0"/>
          <wp:positionH relativeFrom="column">
            <wp:posOffset>3029585</wp:posOffset>
          </wp:positionH>
          <wp:positionV relativeFrom="paragraph">
            <wp:posOffset>137160</wp:posOffset>
          </wp:positionV>
          <wp:extent cx="5507990" cy="396240"/>
          <wp:effectExtent l="0" t="0" r="16510" b="3810"/>
          <wp:wrapNone/>
          <wp:docPr id="1113" name="图片 1113"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1113"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3981538304" behindDoc="1" locked="0" layoutInCell="1" allowOverlap="1">
          <wp:simplePos x="0" y="0"/>
          <wp:positionH relativeFrom="column">
            <wp:posOffset>226695</wp:posOffset>
          </wp:positionH>
          <wp:positionV relativeFrom="paragraph">
            <wp:posOffset>137160</wp:posOffset>
          </wp:positionV>
          <wp:extent cx="5507990" cy="396240"/>
          <wp:effectExtent l="0" t="0" r="16510" b="3810"/>
          <wp:wrapNone/>
          <wp:docPr id="1114" name="图片 1114"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1114"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85515008" behindDoc="1" locked="0" layoutInCell="1" allowOverlap="1">
          <wp:simplePos x="0" y="0"/>
          <wp:positionH relativeFrom="column">
            <wp:posOffset>3053715</wp:posOffset>
          </wp:positionH>
          <wp:positionV relativeFrom="paragraph">
            <wp:posOffset>60960</wp:posOffset>
          </wp:positionV>
          <wp:extent cx="5507990" cy="396240"/>
          <wp:effectExtent l="0" t="0" r="16510" b="3810"/>
          <wp:wrapNone/>
          <wp:docPr id="1124" name="图片 1124"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1124"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4012803072" behindDoc="1" locked="0" layoutInCell="1" allowOverlap="1">
          <wp:simplePos x="0" y="0"/>
          <wp:positionH relativeFrom="column">
            <wp:posOffset>12065</wp:posOffset>
          </wp:positionH>
          <wp:positionV relativeFrom="paragraph">
            <wp:posOffset>148590</wp:posOffset>
          </wp:positionV>
          <wp:extent cx="5507990" cy="396240"/>
          <wp:effectExtent l="0" t="0" r="16510" b="3810"/>
          <wp:wrapNone/>
          <wp:docPr id="1121" name="图片 1121"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1121"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pPr>
  </w:p>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keepNext w:val="0"/>
      <w:keepLines w:val="0"/>
      <w:pageBreakBefore w:val="0"/>
      <w:widowControl/>
      <w:kinsoku/>
      <w:wordWrap/>
      <w:overflowPunct/>
      <w:topLinePunct w:val="0"/>
      <w:autoSpaceDE/>
      <w:autoSpaceDN/>
      <w:bidi w:val="0"/>
      <w:adjustRightInd/>
      <w:snapToGrid/>
      <w:spacing w:after="0" w:line="240" w:lineRule="exact"/>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lang w:eastAsia="zh-CN"/>
      </w:rPr>
      <w:drawing>
        <wp:anchor distT="0" distB="0" distL="114300" distR="114300" simplePos="0" relativeHeight="1094218752" behindDoc="1" locked="0" layoutInCell="1" allowOverlap="1">
          <wp:simplePos x="0" y="0"/>
          <wp:positionH relativeFrom="column">
            <wp:posOffset>88900</wp:posOffset>
          </wp:positionH>
          <wp:positionV relativeFrom="paragraph">
            <wp:posOffset>76200</wp:posOffset>
          </wp:positionV>
          <wp:extent cx="5507990" cy="396240"/>
          <wp:effectExtent l="0" t="0" r="16510" b="3810"/>
          <wp:wrapNone/>
          <wp:docPr id="1277" name="图片 1277"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图片 1277"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55"/>
      <w:keepNext w:val="0"/>
      <w:keepLines w:val="0"/>
      <w:pageBreakBefore w:val="0"/>
      <w:widowControl/>
      <w:kinsoku/>
      <w:wordWrap/>
      <w:overflowPunct/>
      <w:topLinePunct w:val="0"/>
      <w:autoSpaceDE/>
      <w:autoSpaceDN/>
      <w:bidi w:val="0"/>
      <w:adjustRightInd/>
      <w:snapToGrid/>
      <w:spacing w:after="0" w:line="240" w:lineRule="exact"/>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T/PLZW 42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-2018 </w:t>
    </w:r>
  </w:p>
  <w:p>
    <w:pPr>
      <w:pStyle w:val="55"/>
      <w:keepNext w:val="0"/>
      <w:keepLines w:val="0"/>
      <w:pageBreakBefore w:val="0"/>
      <w:widowControl/>
      <w:kinsoku/>
      <w:wordWrap/>
      <w:overflowPunct/>
      <w:topLinePunct w:val="0"/>
      <w:autoSpaceDE/>
      <w:autoSpaceDN/>
      <w:bidi w:val="0"/>
      <w:adjustRightInd/>
      <w:snapToGrid/>
      <w:spacing w:after="0" w:line="240" w:lineRule="exact"/>
      <w:textAlignment w:val="auto"/>
      <w:outlineLvl w:val="9"/>
      <w:rPr>
        <w:rFonts w:hint="eastAsia" w:asciiTheme="minorEastAsia" w:hAnsiTheme="minorEastAsia" w:eastAsiaTheme="minorEastAsia" w:cstheme="minorEastAsia"/>
        <w:sz w:val="28"/>
        <w:szCs w:val="28"/>
      </w:rPr>
    </w:pPr>
  </w:p>
  <w:p>
    <w:pPr>
      <w:pStyle w:val="55"/>
      <w:keepNext w:val="0"/>
      <w:keepLines w:val="0"/>
      <w:pageBreakBefore w:val="0"/>
      <w:widowControl/>
      <w:kinsoku/>
      <w:wordWrap/>
      <w:overflowPunct/>
      <w:topLinePunct w:val="0"/>
      <w:autoSpaceDE/>
      <w:autoSpaceDN/>
      <w:bidi w:val="0"/>
      <w:adjustRightInd/>
      <w:snapToGrid/>
      <w:spacing w:after="0" w:line="240" w:lineRule="exact"/>
      <w:textAlignment w:val="auto"/>
      <w:outlineLvl w:val="9"/>
      <w:rPr>
        <w:rFonts w:hint="eastAsia" w:asciiTheme="minorEastAsia" w:hAnsiTheme="minorEastAsia" w:eastAsiaTheme="minorEastAsia" w:cstheme="minorEastAs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upperLetter"/>
      <w:pStyle w:val="41"/>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21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0"/>
      <w:suff w:val="nothing"/>
      <w:lvlText w:val="%1.%2.%3　"/>
      <w:lvlJc w:val="left"/>
      <w:pPr>
        <w:ind w:left="1418"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46"/>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43"/>
      <w:suff w:val="nothing"/>
      <w:lvlText w:val="%1——"/>
      <w:lvlJc w:val="left"/>
      <w:pPr>
        <w:ind w:left="833" w:hanging="408"/>
      </w:pPr>
      <w:rPr>
        <w:rFonts w:hint="eastAsia"/>
        <w:lang w:val="en-US"/>
      </w:rPr>
    </w:lvl>
    <w:lvl w:ilvl="1" w:tentative="0">
      <w:start w:val="1"/>
      <w:numFmt w:val="bullet"/>
      <w:pStyle w:val="3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4C50F90"/>
    <w:multiLevelType w:val="multilevel"/>
    <w:tmpl w:val="44C50F90"/>
    <w:lvl w:ilvl="0" w:tentative="0">
      <w:start w:val="1"/>
      <w:numFmt w:val="lowerLetter"/>
      <w:pStyle w:val="2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D3D07"/>
    <w:rsid w:val="004E663D"/>
    <w:rsid w:val="00961B21"/>
    <w:rsid w:val="013A13A6"/>
    <w:rsid w:val="02025464"/>
    <w:rsid w:val="024438B8"/>
    <w:rsid w:val="0291006B"/>
    <w:rsid w:val="02AC1B45"/>
    <w:rsid w:val="02AD3771"/>
    <w:rsid w:val="02F71981"/>
    <w:rsid w:val="03A540C0"/>
    <w:rsid w:val="03B50694"/>
    <w:rsid w:val="042602F0"/>
    <w:rsid w:val="04707C4F"/>
    <w:rsid w:val="04AF6218"/>
    <w:rsid w:val="06461BC2"/>
    <w:rsid w:val="076A11FE"/>
    <w:rsid w:val="077E5A10"/>
    <w:rsid w:val="07900E4B"/>
    <w:rsid w:val="07C01958"/>
    <w:rsid w:val="07E7104D"/>
    <w:rsid w:val="08031E36"/>
    <w:rsid w:val="08924CB4"/>
    <w:rsid w:val="08BF37B1"/>
    <w:rsid w:val="096B6A1F"/>
    <w:rsid w:val="0CA838DA"/>
    <w:rsid w:val="0DFE4F0E"/>
    <w:rsid w:val="0E9A6D75"/>
    <w:rsid w:val="0EA56DAE"/>
    <w:rsid w:val="0F0642CB"/>
    <w:rsid w:val="0FD12A33"/>
    <w:rsid w:val="13A62535"/>
    <w:rsid w:val="15D2634E"/>
    <w:rsid w:val="161A2288"/>
    <w:rsid w:val="16416416"/>
    <w:rsid w:val="168A20F0"/>
    <w:rsid w:val="1695678F"/>
    <w:rsid w:val="17125662"/>
    <w:rsid w:val="17747FCB"/>
    <w:rsid w:val="17C84D99"/>
    <w:rsid w:val="17FB5507"/>
    <w:rsid w:val="18135D31"/>
    <w:rsid w:val="19AB3B6C"/>
    <w:rsid w:val="1A075280"/>
    <w:rsid w:val="1AA417AE"/>
    <w:rsid w:val="1B6B37A8"/>
    <w:rsid w:val="1B9B7C85"/>
    <w:rsid w:val="1BE36DDE"/>
    <w:rsid w:val="1C6B2F1E"/>
    <w:rsid w:val="1C8F6012"/>
    <w:rsid w:val="1D0F5A6E"/>
    <w:rsid w:val="1D4247E9"/>
    <w:rsid w:val="1D461B10"/>
    <w:rsid w:val="1F672D01"/>
    <w:rsid w:val="1F785C47"/>
    <w:rsid w:val="1F82288B"/>
    <w:rsid w:val="202634C0"/>
    <w:rsid w:val="21175893"/>
    <w:rsid w:val="22E9209D"/>
    <w:rsid w:val="230056CA"/>
    <w:rsid w:val="25501FF2"/>
    <w:rsid w:val="270B40FD"/>
    <w:rsid w:val="27591392"/>
    <w:rsid w:val="27E95FBA"/>
    <w:rsid w:val="2910662E"/>
    <w:rsid w:val="2A250689"/>
    <w:rsid w:val="2A5F5454"/>
    <w:rsid w:val="2AD134C7"/>
    <w:rsid w:val="2CA21903"/>
    <w:rsid w:val="2CC12F64"/>
    <w:rsid w:val="2DE879E5"/>
    <w:rsid w:val="2EDD4253"/>
    <w:rsid w:val="2EFF3AF0"/>
    <w:rsid w:val="2F556590"/>
    <w:rsid w:val="30410472"/>
    <w:rsid w:val="30713BAA"/>
    <w:rsid w:val="312D1BD6"/>
    <w:rsid w:val="32214624"/>
    <w:rsid w:val="337B35C5"/>
    <w:rsid w:val="339D04B8"/>
    <w:rsid w:val="33A9120A"/>
    <w:rsid w:val="34A7055C"/>
    <w:rsid w:val="353C4432"/>
    <w:rsid w:val="354C1D3F"/>
    <w:rsid w:val="35880BB8"/>
    <w:rsid w:val="359E7A8D"/>
    <w:rsid w:val="39185A80"/>
    <w:rsid w:val="39A35F64"/>
    <w:rsid w:val="39E638A2"/>
    <w:rsid w:val="3B601A04"/>
    <w:rsid w:val="3B6B420D"/>
    <w:rsid w:val="3C4416E9"/>
    <w:rsid w:val="3C8273EC"/>
    <w:rsid w:val="3D424314"/>
    <w:rsid w:val="3E211B5A"/>
    <w:rsid w:val="3E342AC5"/>
    <w:rsid w:val="3E712659"/>
    <w:rsid w:val="3F4D1691"/>
    <w:rsid w:val="3F80406F"/>
    <w:rsid w:val="3FC60431"/>
    <w:rsid w:val="40CA5F15"/>
    <w:rsid w:val="419C3D8E"/>
    <w:rsid w:val="41C35B64"/>
    <w:rsid w:val="422C3163"/>
    <w:rsid w:val="431E564A"/>
    <w:rsid w:val="4364155A"/>
    <w:rsid w:val="451E128D"/>
    <w:rsid w:val="45643AD1"/>
    <w:rsid w:val="45912C1A"/>
    <w:rsid w:val="45E43A4F"/>
    <w:rsid w:val="46452642"/>
    <w:rsid w:val="466635B8"/>
    <w:rsid w:val="46930E09"/>
    <w:rsid w:val="469C28B9"/>
    <w:rsid w:val="47474408"/>
    <w:rsid w:val="49510FCF"/>
    <w:rsid w:val="4AEC0ACE"/>
    <w:rsid w:val="4BA20097"/>
    <w:rsid w:val="4DA44ED7"/>
    <w:rsid w:val="4F8C70AF"/>
    <w:rsid w:val="50AE229B"/>
    <w:rsid w:val="50C5614A"/>
    <w:rsid w:val="50CD588E"/>
    <w:rsid w:val="51002EBC"/>
    <w:rsid w:val="515743C4"/>
    <w:rsid w:val="517A43CC"/>
    <w:rsid w:val="51A410AC"/>
    <w:rsid w:val="52101DF9"/>
    <w:rsid w:val="5302393E"/>
    <w:rsid w:val="53266B44"/>
    <w:rsid w:val="54105216"/>
    <w:rsid w:val="546152B3"/>
    <w:rsid w:val="54DB7507"/>
    <w:rsid w:val="55A27906"/>
    <w:rsid w:val="56C00629"/>
    <w:rsid w:val="58314664"/>
    <w:rsid w:val="59B65015"/>
    <w:rsid w:val="59B86901"/>
    <w:rsid w:val="59FB13B6"/>
    <w:rsid w:val="5A044AFC"/>
    <w:rsid w:val="5A362725"/>
    <w:rsid w:val="5A9F4FA8"/>
    <w:rsid w:val="5BBE2735"/>
    <w:rsid w:val="5BF873B5"/>
    <w:rsid w:val="5D367767"/>
    <w:rsid w:val="5D3830E4"/>
    <w:rsid w:val="5D7F7277"/>
    <w:rsid w:val="5D8223F5"/>
    <w:rsid w:val="5DE06E89"/>
    <w:rsid w:val="5E4D43FB"/>
    <w:rsid w:val="5E637448"/>
    <w:rsid w:val="5EA31CE6"/>
    <w:rsid w:val="6101103A"/>
    <w:rsid w:val="615554C1"/>
    <w:rsid w:val="61917BE5"/>
    <w:rsid w:val="620201A8"/>
    <w:rsid w:val="6299506B"/>
    <w:rsid w:val="62B925D9"/>
    <w:rsid w:val="62FB6E59"/>
    <w:rsid w:val="63130C72"/>
    <w:rsid w:val="63A1765A"/>
    <w:rsid w:val="63A44819"/>
    <w:rsid w:val="63E50E18"/>
    <w:rsid w:val="66DF1F7A"/>
    <w:rsid w:val="670F7B56"/>
    <w:rsid w:val="68085B11"/>
    <w:rsid w:val="68191B53"/>
    <w:rsid w:val="69D04334"/>
    <w:rsid w:val="69E208FD"/>
    <w:rsid w:val="69F93CD6"/>
    <w:rsid w:val="6A512D0A"/>
    <w:rsid w:val="6B445C69"/>
    <w:rsid w:val="6BB224AE"/>
    <w:rsid w:val="6C242D99"/>
    <w:rsid w:val="6C3673FE"/>
    <w:rsid w:val="6CE26A07"/>
    <w:rsid w:val="6D535020"/>
    <w:rsid w:val="6D8841EA"/>
    <w:rsid w:val="6FF31CC3"/>
    <w:rsid w:val="701B4707"/>
    <w:rsid w:val="718A5DB1"/>
    <w:rsid w:val="71A743BB"/>
    <w:rsid w:val="71B606F7"/>
    <w:rsid w:val="722B65F5"/>
    <w:rsid w:val="72B51C2D"/>
    <w:rsid w:val="733C1AE2"/>
    <w:rsid w:val="735E2048"/>
    <w:rsid w:val="74265B6C"/>
    <w:rsid w:val="74A218BA"/>
    <w:rsid w:val="74B819AF"/>
    <w:rsid w:val="74E92F0E"/>
    <w:rsid w:val="7576236A"/>
    <w:rsid w:val="757857DD"/>
    <w:rsid w:val="76D8144B"/>
    <w:rsid w:val="77A341D8"/>
    <w:rsid w:val="77ED5715"/>
    <w:rsid w:val="77F37144"/>
    <w:rsid w:val="78425F19"/>
    <w:rsid w:val="78CF59F4"/>
    <w:rsid w:val="7A345ECA"/>
    <w:rsid w:val="7AB52327"/>
    <w:rsid w:val="7ADC558A"/>
    <w:rsid w:val="7ADF20F3"/>
    <w:rsid w:val="7B8B3CDC"/>
    <w:rsid w:val="7BB366C0"/>
    <w:rsid w:val="7D29693A"/>
    <w:rsid w:val="7D5A28D5"/>
    <w:rsid w:val="7D5C3012"/>
    <w:rsid w:val="7D8D3D07"/>
    <w:rsid w:val="7DCA3D09"/>
    <w:rsid w:val="7E49467C"/>
    <w:rsid w:val="7E571798"/>
    <w:rsid w:val="7E916202"/>
    <w:rsid w:val="7FB1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25"/>
      <w:ind w:left="2490" w:right="2629"/>
      <w:jc w:val="center"/>
      <w:outlineLvl w:val="1"/>
    </w:pPr>
    <w:rPr>
      <w:rFonts w:ascii="微软雅黑" w:hAnsi="微软雅黑" w:eastAsia="微软雅黑" w:cs="微软雅黑"/>
      <w:b/>
      <w:bCs/>
      <w:sz w:val="44"/>
      <w:szCs w:val="44"/>
      <w:lang w:val="mt" w:eastAsia="mt" w:bidi="mt"/>
    </w:rPr>
  </w:style>
  <w:style w:type="paragraph" w:styleId="3">
    <w:name w:val="heading 2"/>
    <w:basedOn w:val="1"/>
    <w:next w:val="1"/>
    <w:qFormat/>
    <w:uiPriority w:val="1"/>
    <w:pPr>
      <w:ind w:left="120"/>
      <w:outlineLvl w:val="2"/>
    </w:pPr>
    <w:rPr>
      <w:rFonts w:ascii="微软雅黑" w:hAnsi="微软雅黑" w:eastAsia="微软雅黑" w:cs="微软雅黑"/>
      <w:b/>
      <w:bCs/>
      <w:i/>
      <w:sz w:val="31"/>
      <w:szCs w:val="31"/>
      <w:lang w:val="zh-CN" w:eastAsia="zh-CN" w:bidi="zh-CN"/>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link w:val="11"/>
    <w:semiHidden/>
    <w:qFormat/>
    <w:uiPriority w:val="0"/>
    <w:rPr>
      <w:rFonts w:ascii="Verdana" w:hAnsi="Verdana" w:eastAsia="仿宋_GB2312"/>
      <w:kern w:val="0"/>
      <w:sz w:val="30"/>
      <w:szCs w:val="30"/>
      <w:lang w:eastAsia="en-US"/>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pPr>
  </w:style>
  <w:style w:type="paragraph" w:styleId="6">
    <w:name w:val="Block Text"/>
    <w:basedOn w:val="1"/>
    <w:qFormat/>
    <w:uiPriority w:val="0"/>
    <w:rPr>
      <w:i/>
      <w:iCs/>
      <w:color w:val="000000"/>
      <w:kern w:val="2"/>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kern w:val="0"/>
      <w:sz w:val="24"/>
    </w:rPr>
  </w:style>
  <w:style w:type="paragraph" w:customStyle="1" w:styleId="11">
    <w:name w:val="Char Char Char Char Char Char1 Char"/>
    <w:basedOn w:val="1"/>
    <w:link w:val="10"/>
    <w:qFormat/>
    <w:uiPriority w:val="0"/>
    <w:pPr>
      <w:widowControl/>
      <w:spacing w:after="160" w:line="240" w:lineRule="exact"/>
      <w:jc w:val="left"/>
    </w:pPr>
    <w:rPr>
      <w:rFonts w:ascii="Verdana" w:hAnsi="Verdana" w:eastAsia="仿宋_GB2312"/>
      <w:kern w:val="0"/>
      <w:sz w:val="30"/>
      <w:szCs w:val="30"/>
      <w:lang w:eastAsia="en-US"/>
    </w:rPr>
  </w:style>
  <w:style w:type="character" w:styleId="12">
    <w:name w:val="Hyperlink"/>
    <w:basedOn w:val="10"/>
    <w:qFormat/>
    <w:uiPriority w:val="0"/>
    <w:rPr>
      <w:color w:val="0000FF"/>
      <w:spacing w:val="0"/>
      <w:w w:val="100"/>
      <w:szCs w:val="21"/>
      <w:u w:val="single"/>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其他标准标志"/>
    <w:basedOn w:val="16"/>
    <w:qFormat/>
    <w:uiPriority w:val="0"/>
    <w:rPr>
      <w:w w:val="130"/>
    </w:rPr>
  </w:style>
  <w:style w:type="paragraph" w:customStyle="1" w:styleId="16">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其他发布部门"/>
    <w:basedOn w:val="21"/>
    <w:qFormat/>
    <w:uiPriority w:val="0"/>
    <w:pPr>
      <w:spacing w:line="0" w:lineRule="atLeast"/>
    </w:pPr>
    <w:rPr>
      <w:rFonts w:ascii="黑体" w:eastAsia="黑体"/>
      <w:b w:val="0"/>
    </w:rPr>
  </w:style>
  <w:style w:type="paragraph" w:customStyle="1" w:styleId="21">
    <w:name w:val="发布部门"/>
    <w:next w:val="22"/>
    <w:qFormat/>
    <w:uiPriority w:val="0"/>
    <w:pPr>
      <w:jc w:val="center"/>
    </w:pPr>
    <w:rPr>
      <w:rFonts w:ascii="宋体" w:hAnsi="Times New Roman" w:eastAsia="宋体" w:cs="Times New Roman"/>
      <w:b/>
      <w:spacing w:val="20"/>
      <w:w w:val="135"/>
      <w:sz w:val="28"/>
      <w:lang w:val="en-US" w:eastAsia="zh-CN" w:bidi="ar-SA"/>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
    <w:name w:val="发布"/>
    <w:basedOn w:val="10"/>
    <w:qFormat/>
    <w:uiPriority w:val="0"/>
    <w:rPr>
      <w:rFonts w:ascii="黑体" w:eastAsia="黑体"/>
      <w:spacing w:val="85"/>
      <w:w w:val="100"/>
      <w:position w:val="3"/>
      <w:sz w:val="28"/>
      <w:szCs w:val="28"/>
    </w:rPr>
  </w:style>
  <w:style w:type="paragraph" w:customStyle="1" w:styleId="24">
    <w:name w:val="章标题"/>
    <w:next w:val="2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5">
    <w:name w:val="一级无"/>
    <w:basedOn w:val="26"/>
    <w:qFormat/>
    <w:uiPriority w:val="0"/>
    <w:pPr>
      <w:spacing w:before="0" w:beforeLines="0" w:after="0" w:afterLines="0"/>
    </w:pPr>
    <w:rPr>
      <w:rFonts w:ascii="宋体" w:eastAsia="宋体"/>
    </w:rPr>
  </w:style>
  <w:style w:type="paragraph" w:customStyle="1" w:styleId="26">
    <w:name w:val="一级条标题"/>
    <w:next w:val="22"/>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7">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8">
    <w:name w:val="样式 一级无 + (符号) 宋体"/>
    <w:basedOn w:val="25"/>
    <w:qFormat/>
    <w:uiPriority w:val="0"/>
    <w:pPr>
      <w:ind w:left="0"/>
    </w:pPr>
  </w:style>
  <w:style w:type="paragraph" w:customStyle="1" w:styleId="29">
    <w:name w:val="二级无"/>
    <w:basedOn w:val="30"/>
    <w:qFormat/>
    <w:uiPriority w:val="0"/>
    <w:pPr>
      <w:spacing w:before="0" w:beforeLines="0" w:after="0" w:afterLines="0"/>
      <w:ind w:left="0"/>
    </w:pPr>
    <w:rPr>
      <w:rFonts w:ascii="宋体" w:eastAsia="宋体"/>
    </w:rPr>
  </w:style>
  <w:style w:type="paragraph" w:customStyle="1" w:styleId="30">
    <w:name w:val="二级条标题"/>
    <w:basedOn w:val="26"/>
    <w:next w:val="22"/>
    <w:qFormat/>
    <w:uiPriority w:val="0"/>
    <w:pPr>
      <w:numPr>
        <w:ilvl w:val="2"/>
        <w:numId w:val="1"/>
      </w:numPr>
      <w:spacing w:before="50" w:after="50"/>
      <w:outlineLvl w:val="3"/>
    </w:pPr>
  </w:style>
  <w:style w:type="paragraph" w:customStyle="1" w:styleId="31">
    <w:name w:val="三级无"/>
    <w:basedOn w:val="32"/>
    <w:qFormat/>
    <w:uiPriority w:val="0"/>
    <w:pPr>
      <w:spacing w:before="0" w:beforeLines="0" w:after="0" w:afterLines="0"/>
    </w:pPr>
    <w:rPr>
      <w:rFonts w:ascii="宋体" w:eastAsia="宋体"/>
    </w:rPr>
  </w:style>
  <w:style w:type="paragraph" w:customStyle="1" w:styleId="32">
    <w:name w:val="三级条标题"/>
    <w:basedOn w:val="30"/>
    <w:next w:val="22"/>
    <w:qFormat/>
    <w:uiPriority w:val="0"/>
    <w:pPr>
      <w:numPr>
        <w:ilvl w:val="3"/>
        <w:numId w:val="1"/>
      </w:numPr>
      <w:outlineLvl w:val="4"/>
    </w:pPr>
  </w:style>
  <w:style w:type="paragraph" w:customStyle="1" w:styleId="3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4">
    <w:name w:val="bh"/>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tgaozhengwentxet1"/>
    <w:basedOn w:val="10"/>
    <w:qFormat/>
    <w:uiPriority w:val="0"/>
    <w:rPr>
      <w:rFonts w:hint="eastAsia" w:ascii="微软雅黑" w:hAnsi="微软雅黑" w:eastAsia="微软雅黑"/>
      <w:sz w:val="39"/>
      <w:szCs w:val="39"/>
    </w:rPr>
  </w:style>
  <w:style w:type="paragraph" w:customStyle="1" w:styleId="36">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前言、引言标题"/>
    <w:next w:val="22"/>
    <w:qFormat/>
    <w:uiPriority w:val="0"/>
    <w:pPr>
      <w:keepNext/>
      <w:pageBreakBefore/>
      <w:shd w:val="clear" w:color="FFFFFF" w:fill="FFFFFF"/>
      <w:spacing w:before="640" w:beforeLines="0" w:after="560" w:afterLines="0"/>
      <w:jc w:val="center"/>
      <w:outlineLvl w:val="0"/>
    </w:pPr>
    <w:rPr>
      <w:rFonts w:ascii="黑体" w:hAnsi="Times New Roman" w:eastAsia="黑体" w:cs="Times New Roman"/>
      <w:sz w:val="32"/>
      <w:lang w:val="en-US" w:eastAsia="zh-CN" w:bidi="ar-SA"/>
    </w:rPr>
  </w:style>
  <w:style w:type="paragraph" w:customStyle="1" w:styleId="38">
    <w:name w:val="附录标识"/>
    <w:basedOn w:val="1"/>
    <w:next w:val="22"/>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9">
    <w:name w:val="标准书眉_奇数页"/>
    <w:next w:val="1"/>
    <w:qFormat/>
    <w:uiPriority w:val="0"/>
    <w:pPr>
      <w:tabs>
        <w:tab w:val="center" w:pos="4154"/>
        <w:tab w:val="right" w:pos="8306"/>
      </w:tabs>
      <w:spacing w:after="220" w:afterLines="0"/>
      <w:jc w:val="right"/>
    </w:pPr>
    <w:rPr>
      <w:rFonts w:ascii="黑体" w:hAnsi="Times New Roman" w:eastAsia="黑体" w:cs="Times New Roman"/>
      <w:kern w:val="0"/>
      <w:szCs w:val="21"/>
    </w:rPr>
  </w:style>
  <w:style w:type="paragraph" w:customStyle="1" w:styleId="40">
    <w:name w:val="标准书脚_奇数页"/>
    <w:qFormat/>
    <w:uiPriority w:val="0"/>
    <w:pPr>
      <w:spacing w:before="120" w:beforeLines="0"/>
      <w:ind w:right="198"/>
      <w:jc w:val="right"/>
    </w:pPr>
    <w:rPr>
      <w:rFonts w:ascii="宋体" w:hAnsi="Times New Roman" w:eastAsia="宋体" w:cs="Times New Roman"/>
      <w:sz w:val="18"/>
      <w:szCs w:val="18"/>
      <w:lang w:val="en-US" w:eastAsia="zh-CN"/>
    </w:rPr>
  </w:style>
  <w:style w:type="paragraph" w:customStyle="1" w:styleId="41">
    <w:name w:val="附录表标号"/>
    <w:basedOn w:val="1"/>
    <w:next w:val="22"/>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42">
    <w:name w:val="终结线"/>
    <w:basedOn w:val="1"/>
    <w:qFormat/>
    <w:uiPriority w:val="0"/>
    <w:pPr>
      <w:framePr w:hSpace="181" w:vSpace="181" w:wrap="around" w:vAnchor="text" w:hAnchor="margin" w:xAlign="center" w:y="285"/>
    </w:pPr>
  </w:style>
  <w:style w:type="paragraph" w:customStyle="1" w:styleId="4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4">
    <w:name w:val="样式 二级条标题 + 段前: 0.5 行 段后: 0.5 行"/>
    <w:basedOn w:val="30"/>
    <w:qFormat/>
    <w:uiPriority w:val="0"/>
    <w:pPr>
      <w:ind w:left="0"/>
    </w:pPr>
    <w:rPr>
      <w:rFonts w:cs="宋体"/>
      <w:szCs w:val="20"/>
    </w:rPr>
  </w:style>
  <w:style w:type="paragraph" w:customStyle="1" w:styleId="45">
    <w:name w:val="样式 二级条标题 + 段前: 0.5 行 段后: 0.5 行1"/>
    <w:basedOn w:val="30"/>
    <w:qFormat/>
    <w:uiPriority w:val="0"/>
    <w:pPr>
      <w:ind w:left="0"/>
    </w:pPr>
    <w:rPr>
      <w:rFonts w:cs="宋体"/>
      <w:szCs w:val="20"/>
    </w:rPr>
  </w:style>
  <w:style w:type="paragraph" w:customStyle="1" w:styleId="46">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character" w:customStyle="1" w:styleId="47">
    <w:name w:val="font41"/>
    <w:basedOn w:val="10"/>
    <w:qFormat/>
    <w:uiPriority w:val="0"/>
    <w:rPr>
      <w:rFonts w:hint="eastAsia" w:ascii="宋体" w:hAnsi="宋体" w:eastAsia="宋体" w:cs="宋体"/>
      <w:color w:val="000000"/>
      <w:sz w:val="18"/>
      <w:szCs w:val="18"/>
      <w:u w:val="none"/>
    </w:rPr>
  </w:style>
  <w:style w:type="character" w:customStyle="1" w:styleId="48">
    <w:name w:val="font21"/>
    <w:basedOn w:val="10"/>
    <w:qFormat/>
    <w:uiPriority w:val="0"/>
    <w:rPr>
      <w:rFonts w:hint="default" w:ascii="Courier New" w:hAnsi="Courier New" w:cs="Courier New"/>
      <w:color w:val="000000"/>
      <w:sz w:val="18"/>
      <w:szCs w:val="18"/>
      <w:u w:val="none"/>
    </w:rPr>
  </w:style>
  <w:style w:type="character" w:customStyle="1" w:styleId="49">
    <w:name w:val="font51"/>
    <w:basedOn w:val="10"/>
    <w:qFormat/>
    <w:uiPriority w:val="0"/>
    <w:rPr>
      <w:rFonts w:hint="eastAsia" w:ascii="宋体" w:hAnsi="宋体" w:eastAsia="宋体" w:cs="宋体"/>
      <w:color w:val="000000"/>
      <w:sz w:val="22"/>
      <w:szCs w:val="22"/>
      <w:u w:val="none"/>
    </w:rPr>
  </w:style>
  <w:style w:type="character" w:customStyle="1" w:styleId="50">
    <w:name w:val="font31"/>
    <w:basedOn w:val="10"/>
    <w:qFormat/>
    <w:uiPriority w:val="0"/>
    <w:rPr>
      <w:rFonts w:hint="eastAsia" w:ascii="宋体" w:hAnsi="宋体" w:eastAsia="宋体" w:cs="宋体"/>
      <w:color w:val="000000"/>
      <w:sz w:val="18"/>
      <w:szCs w:val="18"/>
      <w:u w:val="none"/>
    </w:rPr>
  </w:style>
  <w:style w:type="character" w:customStyle="1" w:styleId="51">
    <w:name w:val="font11"/>
    <w:basedOn w:val="10"/>
    <w:qFormat/>
    <w:uiPriority w:val="0"/>
    <w:rPr>
      <w:rFonts w:hint="default" w:ascii="Courier New" w:hAnsi="Courier New" w:cs="Courier New"/>
      <w:color w:val="000000"/>
      <w:sz w:val="18"/>
      <w:szCs w:val="18"/>
      <w:u w:val="none"/>
    </w:rPr>
  </w:style>
  <w:style w:type="character" w:customStyle="1" w:styleId="52">
    <w:name w:val="font81"/>
    <w:basedOn w:val="10"/>
    <w:qFormat/>
    <w:uiPriority w:val="0"/>
    <w:rPr>
      <w:rFonts w:hint="eastAsia" w:ascii="宋体" w:hAnsi="宋体" w:eastAsia="宋体" w:cs="宋体"/>
      <w:color w:val="000000"/>
      <w:sz w:val="18"/>
      <w:szCs w:val="18"/>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List Paragraph"/>
    <w:basedOn w:val="1"/>
    <w:qFormat/>
    <w:uiPriority w:val="1"/>
    <w:pPr>
      <w:spacing w:line="564" w:lineRule="exact"/>
      <w:ind w:left="984" w:hanging="324"/>
    </w:pPr>
    <w:rPr>
      <w:rFonts w:ascii="微软雅黑" w:hAnsi="微软雅黑" w:eastAsia="微软雅黑" w:cs="微软雅黑"/>
      <w:lang w:val="zh-CN" w:eastAsia="zh-CN" w:bidi="zh-CN"/>
    </w:rPr>
  </w:style>
  <w:style w:type="paragraph" w:customStyle="1" w:styleId="55">
    <w:name w:val="标准书眉_偶数页"/>
    <w:basedOn w:val="39"/>
    <w:next w:val="1"/>
    <w:uiPriority w:val="0"/>
    <w:pPr>
      <w:jc w:val="left"/>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1" Type="http://schemas.openxmlformats.org/officeDocument/2006/relationships/image" Target="media/image4.tiff"/></Relationships>
</file>

<file path=word/_rels/footer4.xml.rels><?xml version="1.0" encoding="UTF-8" standalone="yes"?>
<Relationships xmlns="http://schemas.openxmlformats.org/package/2006/relationships"><Relationship Id="rId1" Type="http://schemas.openxmlformats.org/officeDocument/2006/relationships/image" Target="media/image4.tiff"/></Relationships>
</file>

<file path=word/_rels/footer5.xml.rels><?xml version="1.0" encoding="UTF-8" standalone="yes"?>
<Relationships xmlns="http://schemas.openxmlformats.org/package/2006/relationships"><Relationship Id="rId1" Type="http://schemas.openxmlformats.org/officeDocument/2006/relationships/image" Target="media/image3.tiff"/></Relationships>
</file>

<file path=word/_rels/footer6.xml.rels><?xml version="1.0" encoding="UTF-8" standalone="yes"?>
<Relationships xmlns="http://schemas.openxmlformats.org/package/2006/relationships"><Relationship Id="rId1" Type="http://schemas.openxmlformats.org/officeDocument/2006/relationships/image" Target="media/image4.tiff"/></Relationships>
</file>

<file path=word/_rels/footer7.xml.rels><?xml version="1.0" encoding="UTF-8" standalone="yes"?>
<Relationships xmlns="http://schemas.openxmlformats.org/package/2006/relationships"><Relationship Id="rId1" Type="http://schemas.openxmlformats.org/officeDocument/2006/relationships/image" Target="media/image4.tiff"/></Relationships>
</file>

<file path=word/_rels/footer9.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1.tiff"/></Relationships>
</file>

<file path=word/_rels/header7.xml.rels><?xml version="1.0" encoding="UTF-8" standalone="yes"?>
<Relationships xmlns="http://schemas.openxmlformats.org/package/2006/relationships"><Relationship Id="rId1" Type="http://schemas.openxmlformats.org/officeDocument/2006/relationships/image" Target="media/image2.tiff"/></Relationships>
</file>

<file path=word/_rels/header9.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ln>
      </a:spPr>
      <a:bodyPr lIns="0" tIns="0" rIns="0" bIns="0" upright="1"/>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2018-08-20T01:38:00Z</dcterms:created>
  <dc:creator>世纪电脑</dc:creator>
  <cp:lastModifiedBy>Administrator</cp:lastModifiedBy>
  <cp:lastPrinted>2018-08-28T12:31:00Z</cp:lastPrinted>
  <dcterms:modified xsi:type="dcterms:W3CDTF">2018-08-29T02:05:28Z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