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eastAsia="方正小标宋_GBK"/>
          <w:color w:val="auto"/>
          <w:sz w:val="44"/>
          <w:szCs w:val="44"/>
        </w:rPr>
      </w:pPr>
      <w:r>
        <w:rPr>
          <w:rFonts w:hint="eastAsia" w:ascii="方正小标宋_GBK" w:hAnsi="方正小标宋_GBK" w:eastAsia="方正小标宋_GBK" w:cs="方正小标宋_GBK"/>
          <w:color w:val="auto"/>
          <w:sz w:val="36"/>
          <w:szCs w:val="36"/>
          <w:lang w:val="en-US" w:eastAsia="zh-CN"/>
        </w:rPr>
        <w:t xml:space="preserve">  </w:t>
      </w:r>
    </w:p>
    <w:p>
      <w:pPr>
        <w:spacing w:line="600" w:lineRule="exact"/>
        <w:jc w:val="center"/>
        <w:rPr>
          <w:rFonts w:hint="eastAsia" w:ascii="方正小标宋_GBK" w:eastAsia="方正小标宋_GBK"/>
          <w:color w:val="auto"/>
          <w:sz w:val="44"/>
          <w:szCs w:val="44"/>
        </w:rPr>
      </w:pPr>
    </w:p>
    <w:p>
      <w:pPr>
        <w:spacing w:line="600" w:lineRule="exact"/>
        <w:jc w:val="center"/>
        <w:rPr>
          <w:rFonts w:hint="eastAsia" w:ascii="方正小标宋_GBK" w:eastAsia="方正小标宋_GBK"/>
          <w:color w:val="auto"/>
          <w:sz w:val="44"/>
          <w:szCs w:val="44"/>
        </w:rPr>
      </w:pPr>
    </w:p>
    <w:p>
      <w:pPr>
        <w:spacing w:line="600" w:lineRule="exact"/>
        <w:jc w:val="center"/>
        <w:rPr>
          <w:rFonts w:hint="eastAsia" w:ascii="方正小标宋_GBK" w:eastAsia="方正小标宋_GBK"/>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平罗县退役军人事务局优抚对象医疗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保障2019年度绩效自评报告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sz w:val="32"/>
          <w:szCs w:val="32"/>
          <w:lang w:eastAsia="zh-CN"/>
        </w:rPr>
      </w:pPr>
    </w:p>
    <w:p>
      <w:pPr>
        <w:pStyle w:val="2"/>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color w:val="auto"/>
          <w:lang w:val="en-US" w:eastAsia="zh-CN"/>
        </w:rPr>
      </w:pPr>
      <w:r>
        <w:rPr>
          <w:rFonts w:hint="eastAsia" w:ascii="仿宋_GB2312" w:hAnsi="仿宋_GB2312" w:eastAsia="仿宋_GB2312" w:cs="仿宋_GB2312"/>
          <w:b w:val="0"/>
          <w:bCs w:val="0"/>
          <w:color w:val="auto"/>
          <w:sz w:val="32"/>
          <w:szCs w:val="32"/>
          <w:lang w:val="en-US" w:eastAsia="zh-CN"/>
        </w:rPr>
        <w:t>根据《自治区财政厅关于开展2019年度中央对地方转移支付预算执行情况绩效自评工作的通知》</w:t>
      </w:r>
      <w:r>
        <w:rPr>
          <w:rFonts w:hint="eastAsia" w:ascii="仿宋_GB2312" w:hAnsi="仿宋_GB2312" w:eastAsia="仿宋_GB2312" w:cs="仿宋_GB2312"/>
          <w:b w:val="0"/>
          <w:bCs w:val="0"/>
          <w:color w:val="auto"/>
          <w:sz w:val="32"/>
          <w:szCs w:val="32"/>
          <w:lang w:eastAsia="zh-CN"/>
        </w:rPr>
        <w:t>要求，</w:t>
      </w:r>
      <w:r>
        <w:rPr>
          <w:rFonts w:hint="eastAsia" w:ascii="仿宋_GB2312" w:eastAsia="仿宋_GB2312"/>
          <w:b w:val="0"/>
          <w:bCs w:val="0"/>
          <w:color w:val="auto"/>
          <w:sz w:val="32"/>
          <w:szCs w:val="32"/>
          <w:lang w:val="en-US" w:eastAsia="zh-CN"/>
        </w:rPr>
        <w:t>我局对</w:t>
      </w:r>
      <w:r>
        <w:rPr>
          <w:rFonts w:hint="eastAsia" w:ascii="仿宋_GB2312" w:hAnsi="仿宋_GB2312" w:eastAsia="仿宋_GB2312" w:cs="仿宋_GB2312"/>
          <w:b w:val="0"/>
          <w:bCs w:val="0"/>
          <w:color w:val="auto"/>
          <w:sz w:val="32"/>
          <w:szCs w:val="32"/>
          <w:lang w:eastAsia="zh-CN"/>
        </w:rPr>
        <w:t>平罗县</w:t>
      </w:r>
      <w:r>
        <w:rPr>
          <w:rFonts w:hint="eastAsia" w:ascii="仿宋_GB2312" w:hAnsi="仿宋_GB2312" w:eastAsia="仿宋_GB2312" w:cs="仿宋_GB2312"/>
          <w:b w:val="0"/>
          <w:bCs w:val="0"/>
          <w:color w:val="auto"/>
          <w:sz w:val="32"/>
          <w:szCs w:val="32"/>
          <w:lang w:val="en-US" w:eastAsia="zh-CN"/>
        </w:rPr>
        <w:t>2019年医疗保障经费发放</w:t>
      </w:r>
      <w:r>
        <w:rPr>
          <w:rFonts w:hint="eastAsia" w:ascii="仿宋_GB2312" w:hAnsi="仿宋_GB2312" w:eastAsia="仿宋_GB2312" w:cs="仿宋_GB2312"/>
          <w:b w:val="0"/>
          <w:bCs w:val="0"/>
          <w:color w:val="auto"/>
          <w:sz w:val="32"/>
          <w:szCs w:val="32"/>
          <w:lang w:eastAsia="zh-CN"/>
        </w:rPr>
        <w:t>项目</w:t>
      </w:r>
      <w:r>
        <w:rPr>
          <w:rFonts w:hint="eastAsia" w:ascii="仿宋_GB2312" w:hAnsi="仿宋_GB2312" w:eastAsia="仿宋_GB2312" w:cs="仿宋_GB2312"/>
          <w:b w:val="0"/>
          <w:bCs w:val="0"/>
          <w:color w:val="auto"/>
          <w:sz w:val="32"/>
          <w:szCs w:val="32"/>
          <w:lang w:val="en-US" w:eastAsia="zh-CN"/>
        </w:rPr>
        <w:t>进行全面自查，</w:t>
      </w:r>
      <w:r>
        <w:rPr>
          <w:rFonts w:hint="eastAsia" w:ascii="仿宋_GB2312" w:hAnsi="仿宋_GB2312" w:eastAsia="仿宋_GB2312" w:cs="仿宋_GB2312"/>
          <w:b w:val="0"/>
          <w:bCs w:val="0"/>
          <w:color w:val="auto"/>
          <w:sz w:val="32"/>
          <w:szCs w:val="32"/>
        </w:rPr>
        <w:t>现将自查情况报告如下：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color w:val="auto"/>
        </w:rPr>
      </w:pPr>
      <w:r>
        <w:rPr>
          <w:rFonts w:hint="eastAsia" w:ascii="仿宋" w:hAnsi="仿宋" w:eastAsia="仿宋" w:cs="仿宋"/>
          <w:i w:val="0"/>
          <w:caps w:val="0"/>
          <w:color w:val="auto"/>
          <w:spacing w:val="0"/>
          <w:kern w:val="0"/>
          <w:sz w:val="32"/>
          <w:szCs w:val="32"/>
          <w:lang w:val="en-US" w:eastAsia="zh-CN" w:bidi="ar"/>
        </w:rPr>
        <w:t>享受对象为享受国家抚恤补助和医疗保障的残疾军人、烈士遗属、因公牺牲军人遗属、病故军人遗属、在乡复员军人、带病回乡退伍军人和参战退役人员。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绩效自评工作开展情况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前期准备。根据自治区财政厅下发的《自治区财政厅关于开展2019年度中央对地方转移支付预算执行情况绩效自评工作的通知》要求，我局及时研究部署，层层落实责任，将任务分解到相关业务科室，并进一步明确责任主体，形成“一把手”负总则，分管领导主抓，相关科室具体抓的工作格局，确保工作落到实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三、绩效目标实现情况分析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（一）资金情况分析。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1．项目资金到位情况分析。</w:t>
      </w:r>
    </w:p>
    <w:p>
      <w:pPr>
        <w:pStyle w:val="2"/>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2019年，中央下达医保障经费7万元，全部到账。</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jc w:val="both"/>
        <w:textAlignment w:val="auto"/>
        <w:rPr>
          <w:rFonts w:hint="eastAsia"/>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项目资金执行情况分析。</w:t>
      </w:r>
      <w:r>
        <w:rPr>
          <w:rFonts w:hint="eastAsia" w:ascii="仿宋_GB2312" w:hAnsi="仿宋_GB2312" w:eastAsia="仿宋_GB2312" w:cs="仿宋_GB2312"/>
          <w:b w:val="0"/>
          <w:bCs w:val="0"/>
          <w:color w:val="auto"/>
          <w:sz w:val="32"/>
          <w:szCs w:val="32"/>
          <w:lang w:val="en-US" w:eastAsia="zh-CN"/>
        </w:rPr>
        <w:t>2019年，我局及时落实中央优抚对象医疗保障专项补助经费共计7万元，支付0万元，支付率0%。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3.项目资金管理情况分析。</w:t>
      </w:r>
      <w:r>
        <w:rPr>
          <w:rFonts w:hint="eastAsia" w:ascii="仿宋_GB2312" w:hAnsi="仿宋_GB2312" w:eastAsia="仿宋_GB2312" w:cs="仿宋_GB2312"/>
          <w:color w:val="auto"/>
          <w:sz w:val="32"/>
          <w:szCs w:val="32"/>
          <w:lang w:val="en-US" w:eastAsia="zh-CN"/>
        </w:rPr>
        <w:t>严格按照优抚对象资金管理办法规定执行，严格按上级文件规定受理重点优抚对象医疗补助申请，并按规定档次分档补助，受理完成后于月底及时完成转帐；年底视项目资金结余情况给予重点优抚对象门诊补助及体检费补助，资金的使用符合国家财经法规和财务管理制度以及有关专项资金管理办法的规定，资金使用审批规范，手续齐全。项目资金做到按年度预算用途使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绩效指标完成情况分析。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1.产出指标完成情况分析。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（1）项目完成数量</w:t>
      </w:r>
      <w:r>
        <w:rPr>
          <w:rFonts w:hint="eastAsia" w:ascii="仿宋_GB2312" w:hAnsi="仿宋_GB2312" w:eastAsia="仿宋_GB2312" w:cs="仿宋_GB2312"/>
          <w:b w:val="0"/>
          <w:bCs w:val="0"/>
          <w:color w:val="auto"/>
          <w:sz w:val="32"/>
          <w:szCs w:val="32"/>
          <w:lang w:val="en-US" w:eastAsia="zh-CN"/>
        </w:rPr>
        <w:t>。每个抚恤对象享受到医疗保障政策；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2" w:firstLineChars="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（2）项目完成质量。</w:t>
      </w:r>
      <w:r>
        <w:rPr>
          <w:rFonts w:hint="eastAsia" w:ascii="仿宋_GB2312" w:hAnsi="仿宋_GB2312" w:eastAsia="仿宋_GB2312" w:cs="仿宋_GB2312"/>
          <w:b w:val="0"/>
          <w:bCs w:val="0"/>
          <w:color w:val="auto"/>
          <w:sz w:val="32"/>
          <w:szCs w:val="32"/>
          <w:lang w:val="en-US" w:eastAsia="zh-CN"/>
        </w:rPr>
        <w:t>优抚医疗补助对象审批准确率和医疗补助金发放准确率。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2"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（3）项目实施进度。</w:t>
      </w:r>
      <w:r>
        <w:rPr>
          <w:rFonts w:hint="eastAsia" w:ascii="仿宋_GB2312" w:hAnsi="仿宋_GB2312" w:eastAsia="仿宋_GB2312" w:cs="仿宋_GB2312"/>
          <w:b w:val="0"/>
          <w:bCs w:val="0"/>
          <w:color w:val="auto"/>
          <w:sz w:val="32"/>
          <w:szCs w:val="32"/>
          <w:lang w:val="en-US" w:eastAsia="zh-CN"/>
        </w:rPr>
        <w:t>于2019年12月底完成发放总资金结余7万元，</w:t>
      </w:r>
      <w:r>
        <w:rPr>
          <w:rFonts w:hint="eastAsia" w:ascii="仿宋_GB2312" w:hAnsi="仿宋_GB2312" w:eastAsia="仿宋_GB2312" w:cs="仿宋_GB2312"/>
          <w:b w:val="0"/>
          <w:bCs w:val="0"/>
          <w:color w:val="auto"/>
          <w:sz w:val="32"/>
          <w:szCs w:val="32"/>
          <w:lang w:val="en-US" w:eastAsia="zh-CN"/>
        </w:rPr>
        <w:t>支付率0%。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2"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（4）项目成本节约情况。</w:t>
      </w:r>
      <w:r>
        <w:rPr>
          <w:rFonts w:hint="eastAsia" w:ascii="仿宋_GB2312" w:hAnsi="仿宋_GB2312" w:eastAsia="仿宋_GB2312" w:cs="仿宋_GB2312"/>
          <w:b w:val="0"/>
          <w:bCs w:val="0"/>
          <w:color w:val="auto"/>
          <w:sz w:val="32"/>
          <w:szCs w:val="32"/>
          <w:lang w:val="en-US" w:eastAsia="zh-CN"/>
        </w:rPr>
        <w:t>及时发放优抚对象医疗保障经费，有效解决医疗困难。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2.效益指标完成情况分析。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（1）项目实施的经济效益分析。</w:t>
      </w:r>
      <w:r>
        <w:rPr>
          <w:rFonts w:hint="eastAsia" w:ascii="仿宋_GB2312" w:hAnsi="仿宋_GB2312" w:eastAsia="仿宋_GB2312" w:cs="仿宋_GB2312"/>
          <w:b w:val="0"/>
          <w:bCs w:val="0"/>
          <w:color w:val="auto"/>
          <w:sz w:val="32"/>
          <w:szCs w:val="32"/>
          <w:lang w:val="en-US" w:eastAsia="zh-CN"/>
        </w:rPr>
        <w:t>及时落实优抚对象医疗保障经费，保障医疗困难得到改善。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（2）项目实施的社会效益分析。</w:t>
      </w:r>
      <w:r>
        <w:rPr>
          <w:rFonts w:hint="eastAsia" w:ascii="仿宋_GB2312" w:hAnsi="仿宋_GB2312" w:eastAsia="仿宋_GB2312" w:cs="仿宋_GB2312"/>
          <w:b w:val="0"/>
          <w:bCs w:val="0"/>
          <w:color w:val="auto"/>
          <w:sz w:val="32"/>
          <w:szCs w:val="32"/>
          <w:lang w:val="en-US" w:eastAsia="zh-CN"/>
        </w:rPr>
        <w:t>及时落实优抚对象医疗保障经费，有效解决家庭经济困难，严格落实优抚政策。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（3）项目实施的生态效益分析。</w:t>
      </w:r>
      <w:r>
        <w:rPr>
          <w:rFonts w:hint="eastAsia" w:ascii="仿宋_GB2312" w:hAnsi="仿宋_GB2312" w:eastAsia="仿宋_GB2312" w:cs="仿宋_GB2312"/>
          <w:b w:val="0"/>
          <w:bCs w:val="0"/>
          <w:color w:val="auto"/>
          <w:sz w:val="32"/>
          <w:szCs w:val="32"/>
          <w:lang w:val="en-US" w:eastAsia="zh-CN"/>
        </w:rPr>
        <w:t>无</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（4）项目实施的可持续影响分析。</w:t>
      </w:r>
      <w:r>
        <w:rPr>
          <w:rFonts w:hint="eastAsia" w:ascii="仿宋_GB2312" w:hAnsi="仿宋_GB2312" w:eastAsia="仿宋_GB2312" w:cs="仿宋_GB2312"/>
          <w:b w:val="0"/>
          <w:bCs w:val="0"/>
          <w:color w:val="auto"/>
          <w:sz w:val="32"/>
          <w:szCs w:val="32"/>
          <w:lang w:val="en-US" w:eastAsia="zh-CN"/>
        </w:rPr>
        <w:t>重点优抚对象医疗困难得到解决。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3.满意度指标完成情况。</w:t>
      </w:r>
      <w:r>
        <w:rPr>
          <w:rFonts w:hint="eastAsia" w:ascii="仿宋_GB2312" w:hAnsi="仿宋_GB2312" w:eastAsia="仿宋_GB2312" w:cs="仿宋_GB2312"/>
          <w:b w:val="0"/>
          <w:bCs w:val="0"/>
          <w:color w:val="auto"/>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黑体" w:hAnsi="黑体" w:eastAsia="黑体" w:cs="黑体"/>
          <w:b w:val="0"/>
          <w:bCs w:val="0"/>
          <w:color w:val="auto"/>
          <w:sz w:val="32"/>
          <w:szCs w:val="32"/>
          <w:lang w:val="en-US" w:eastAsia="zh-CN"/>
        </w:rPr>
        <w:t>四、发现问题和改进措施</w:t>
      </w:r>
    </w:p>
    <w:p>
      <w:pPr>
        <w:pStyle w:val="2"/>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b w:val="0"/>
          <w:bCs w:val="0"/>
          <w:color w:val="auto"/>
          <w:lang w:val="en-US" w:eastAsia="zh-CN"/>
        </w:rPr>
      </w:pPr>
      <w:r>
        <w:rPr>
          <w:rFonts w:hint="eastAsia" w:ascii="仿宋_GB2312" w:hAnsi="仿宋_GB2312" w:eastAsia="仿宋_GB2312" w:cs="仿宋_GB2312"/>
          <w:b w:val="0"/>
          <w:bCs w:val="0"/>
          <w:color w:val="auto"/>
          <w:sz w:val="32"/>
          <w:szCs w:val="32"/>
          <w:lang w:val="en-US" w:eastAsia="zh-CN"/>
        </w:rPr>
        <w:t>2019年，平罗县中央优抚对象医疗保障经费资资金结余7万元，在今后工作中，确保优抚医疗对象满意度达100%。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val="0"/>
          <w:bCs w:val="0"/>
          <w:color w:val="auto"/>
          <w:sz w:val="32"/>
          <w:szCs w:val="32"/>
          <w:lang w:val="en-US" w:eastAsia="zh-CN"/>
        </w:rPr>
        <w:t>五、绩效自评结果拟应用和公开情况</w:t>
      </w:r>
    </w:p>
    <w:p>
      <w:pPr>
        <w:pStyle w:val="2"/>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(一）绩效自评结果拟应用情况。</w:t>
      </w:r>
      <w:r>
        <w:rPr>
          <w:rFonts w:hint="eastAsia" w:ascii="仿宋_GB2312" w:hAnsi="仿宋_GB2312" w:eastAsia="仿宋_GB2312" w:cs="仿宋_GB2312"/>
          <w:b w:val="0"/>
          <w:bCs w:val="0"/>
          <w:color w:val="auto"/>
          <w:sz w:val="32"/>
          <w:szCs w:val="32"/>
          <w:lang w:val="en-US" w:eastAsia="zh-CN"/>
        </w:rPr>
        <w:t>将次项目绩效自评结果作为今后工作依据，针对项目完成较好的方面，继续保持，针对项目未完成的方面，及时查找未完成原因，积极改造措施，争取全面完成。</w:t>
      </w:r>
    </w:p>
    <w:p>
      <w:pPr>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color w:val="auto"/>
          <w:lang w:val="en-US" w:eastAsia="zh-CN"/>
        </w:rPr>
      </w:pPr>
      <w:r>
        <w:rPr>
          <w:rFonts w:hint="eastAsia" w:ascii="楷体_GB2312" w:hAnsi="楷体_GB2312" w:eastAsia="楷体_GB2312" w:cs="楷体_GB2312"/>
          <w:b/>
          <w:bCs/>
          <w:color w:val="auto"/>
          <w:kern w:val="0"/>
          <w:sz w:val="32"/>
          <w:szCs w:val="32"/>
          <w:lang w:val="en-US" w:eastAsia="zh-CN"/>
        </w:rPr>
        <w:t>（二）绩效自评结果公开情况。</w:t>
      </w:r>
      <w:r>
        <w:rPr>
          <w:rFonts w:hint="eastAsia" w:ascii="仿宋_GB2312" w:hAnsi="仿宋_GB2312" w:eastAsia="仿宋_GB2312" w:cs="仿宋_GB2312"/>
          <w:b w:val="0"/>
          <w:bCs w:val="0"/>
          <w:color w:val="auto"/>
          <w:kern w:val="0"/>
          <w:sz w:val="32"/>
          <w:szCs w:val="32"/>
          <w:lang w:val="en-US" w:eastAsia="zh-CN"/>
        </w:rPr>
        <w:t>我县将此次项目实施情况及时予以公开，接受群众监督。</w:t>
      </w:r>
    </w:p>
    <w:p>
      <w:pPr>
        <w:pStyle w:val="2"/>
        <w:ind w:firstLine="4480" w:firstLineChars="1400"/>
        <w:rPr>
          <w:rFonts w:hint="eastAsia" w:ascii="仿宋_GB2312" w:hAnsi="仿宋_GB2312" w:eastAsia="仿宋_GB2312" w:cs="仿宋_GB2312"/>
          <w:b w:val="0"/>
          <w:bCs w:val="0"/>
          <w:color w:val="auto"/>
          <w:kern w:val="0"/>
          <w:sz w:val="32"/>
          <w:szCs w:val="32"/>
          <w:lang w:val="en-US" w:eastAsia="zh-CN"/>
        </w:rPr>
      </w:pPr>
    </w:p>
    <w:p>
      <w:pPr>
        <w:rPr>
          <w:rFonts w:hint="eastAsia" w:ascii="仿宋_GB2312" w:hAnsi="仿宋_GB2312" w:eastAsia="仿宋_GB2312" w:cs="仿宋_GB2312"/>
          <w:b w:val="0"/>
          <w:bCs w:val="0"/>
          <w:color w:val="auto"/>
          <w:kern w:val="0"/>
          <w:sz w:val="32"/>
          <w:szCs w:val="32"/>
          <w:lang w:val="en-US" w:eastAsia="zh-CN"/>
        </w:rPr>
      </w:pPr>
    </w:p>
    <w:p>
      <w:pPr>
        <w:pStyle w:val="2"/>
        <w:rPr>
          <w:rFonts w:hint="eastAsia"/>
          <w:color w:val="auto"/>
          <w:lang w:val="en-US" w:eastAsia="zh-CN"/>
        </w:rPr>
      </w:pPr>
    </w:p>
    <w:p>
      <w:pPr>
        <w:pStyle w:val="2"/>
        <w:ind w:firstLine="4480" w:firstLineChars="1400"/>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平罗县退役军人事务局</w:t>
      </w:r>
    </w:p>
    <w:p>
      <w:pPr>
        <w:ind w:firstLine="5760" w:firstLineChars="1800"/>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2020年8月18日</w:t>
      </w:r>
    </w:p>
    <w:p>
      <w:pPr>
        <w:pStyle w:val="2"/>
        <w:rPr>
          <w:rFonts w:hint="eastAsia" w:ascii="仿宋_GB2312" w:hAnsi="仿宋_GB2312" w:eastAsia="仿宋_GB2312" w:cs="仿宋_GB2312"/>
          <w:b w:val="0"/>
          <w:bCs w:val="0"/>
          <w:color w:val="auto"/>
          <w:kern w:val="0"/>
          <w:sz w:val="32"/>
          <w:szCs w:val="32"/>
          <w:lang w:val="en-US" w:eastAsia="zh-CN"/>
        </w:rPr>
      </w:pPr>
    </w:p>
    <w:p>
      <w:pPr>
        <w:rPr>
          <w:rFonts w:hint="eastAsia" w:ascii="仿宋_GB2312" w:hAnsi="仿宋_GB2312" w:eastAsia="仿宋_GB2312" w:cs="仿宋_GB2312"/>
          <w:b w:val="0"/>
          <w:bCs w:val="0"/>
          <w:color w:val="auto"/>
          <w:kern w:val="0"/>
          <w:sz w:val="32"/>
          <w:szCs w:val="32"/>
          <w:lang w:val="en-US" w:eastAsia="zh-CN"/>
        </w:rPr>
      </w:pPr>
    </w:p>
    <w:p>
      <w:pPr>
        <w:pStyle w:val="2"/>
        <w:rPr>
          <w:rFonts w:hint="eastAsia" w:ascii="仿宋_GB2312" w:hAnsi="仿宋_GB2312" w:eastAsia="仿宋_GB2312" w:cs="仿宋_GB2312"/>
          <w:b w:val="0"/>
          <w:bCs w:val="0"/>
          <w:color w:val="auto"/>
          <w:kern w:val="0"/>
          <w:sz w:val="32"/>
          <w:szCs w:val="32"/>
          <w:lang w:val="en-US" w:eastAsia="zh-CN"/>
        </w:rPr>
      </w:pPr>
    </w:p>
    <w:p>
      <w:pPr>
        <w:rPr>
          <w:rFonts w:hint="eastAsia" w:ascii="仿宋_GB2312" w:hAnsi="仿宋_GB2312" w:eastAsia="仿宋_GB2312" w:cs="仿宋_GB2312"/>
          <w:b w:val="0"/>
          <w:bCs w:val="0"/>
          <w:color w:val="auto"/>
          <w:kern w:val="0"/>
          <w:sz w:val="32"/>
          <w:szCs w:val="32"/>
          <w:lang w:val="en-US" w:eastAsia="zh-CN"/>
        </w:rPr>
      </w:pPr>
    </w:p>
    <w:p>
      <w:pPr>
        <w:pStyle w:val="2"/>
        <w:rPr>
          <w:rFonts w:hint="eastAsia" w:ascii="仿宋_GB2312" w:hAnsi="仿宋_GB2312" w:eastAsia="仿宋_GB2312" w:cs="仿宋_GB2312"/>
          <w:b w:val="0"/>
          <w:bCs w:val="0"/>
          <w:color w:val="auto"/>
          <w:kern w:val="0"/>
          <w:sz w:val="32"/>
          <w:szCs w:val="32"/>
          <w:lang w:val="en-US" w:eastAsia="zh-CN"/>
        </w:rPr>
      </w:pPr>
    </w:p>
    <w:p>
      <w:pPr>
        <w:rPr>
          <w:rFonts w:hint="eastAsia" w:ascii="仿宋_GB2312" w:hAnsi="仿宋_GB2312" w:eastAsia="仿宋_GB2312" w:cs="仿宋_GB2312"/>
          <w:b w:val="0"/>
          <w:bCs w:val="0"/>
          <w:color w:val="auto"/>
          <w:kern w:val="0"/>
          <w:sz w:val="32"/>
          <w:szCs w:val="32"/>
          <w:lang w:val="en-US" w:eastAsia="zh-CN"/>
        </w:rPr>
      </w:pPr>
    </w:p>
    <w:p>
      <w:pPr>
        <w:pStyle w:val="2"/>
        <w:rPr>
          <w:rFonts w:hint="eastAsia" w:ascii="仿宋_GB2312" w:hAnsi="仿宋_GB2312" w:eastAsia="仿宋_GB2312" w:cs="仿宋_GB2312"/>
          <w:b w:val="0"/>
          <w:bCs w:val="0"/>
          <w:color w:val="auto"/>
          <w:kern w:val="0"/>
          <w:sz w:val="32"/>
          <w:szCs w:val="32"/>
          <w:lang w:val="en-US" w:eastAsia="zh-CN"/>
        </w:rPr>
      </w:pPr>
    </w:p>
    <w:p>
      <w:pPr>
        <w:rPr>
          <w:rFonts w:hint="eastAsia" w:ascii="仿宋_GB2312" w:hAnsi="仿宋_GB2312" w:eastAsia="仿宋_GB2312" w:cs="仿宋_GB2312"/>
          <w:b w:val="0"/>
          <w:bCs w:val="0"/>
          <w:color w:val="auto"/>
          <w:kern w:val="0"/>
          <w:sz w:val="32"/>
          <w:szCs w:val="32"/>
          <w:lang w:val="en-US" w:eastAsia="zh-CN"/>
        </w:rPr>
      </w:pPr>
    </w:p>
    <w:p>
      <w:pPr>
        <w:pStyle w:val="2"/>
        <w:rPr>
          <w:rFonts w:hint="eastAsia" w:ascii="仿宋_GB2312" w:hAnsi="仿宋_GB2312" w:eastAsia="仿宋_GB2312" w:cs="仿宋_GB2312"/>
          <w:b w:val="0"/>
          <w:bCs w:val="0"/>
          <w:color w:val="auto"/>
          <w:kern w:val="0"/>
          <w:sz w:val="32"/>
          <w:szCs w:val="32"/>
          <w:lang w:val="en-US" w:eastAsia="zh-CN"/>
        </w:rPr>
      </w:pPr>
    </w:p>
    <w:p>
      <w:pPr>
        <w:rPr>
          <w:rFonts w:hint="eastAsia" w:ascii="仿宋_GB2312" w:hAnsi="仿宋_GB2312" w:eastAsia="仿宋_GB2312" w:cs="仿宋_GB2312"/>
          <w:b w:val="0"/>
          <w:bCs w:val="0"/>
          <w:color w:val="auto"/>
          <w:kern w:val="0"/>
          <w:sz w:val="32"/>
          <w:szCs w:val="32"/>
          <w:lang w:val="en-US" w:eastAsia="zh-CN"/>
        </w:rPr>
      </w:pPr>
    </w:p>
    <w:p>
      <w:pPr>
        <w:pStyle w:val="2"/>
        <w:rPr>
          <w:rFonts w:hint="eastAsia" w:ascii="仿宋_GB2312" w:hAnsi="仿宋_GB2312" w:eastAsia="仿宋_GB2312" w:cs="仿宋_GB2312"/>
          <w:b w:val="0"/>
          <w:bCs w:val="0"/>
          <w:color w:val="auto"/>
          <w:kern w:val="0"/>
          <w:sz w:val="32"/>
          <w:szCs w:val="32"/>
          <w:lang w:val="en-US" w:eastAsia="zh-CN"/>
        </w:rPr>
      </w:pPr>
    </w:p>
    <w:p>
      <w:pPr>
        <w:rPr>
          <w:rFonts w:hint="eastAsia" w:ascii="仿宋_GB2312" w:hAnsi="仿宋_GB2312" w:eastAsia="仿宋_GB2312" w:cs="仿宋_GB2312"/>
          <w:b w:val="0"/>
          <w:bCs w:val="0"/>
          <w:color w:val="auto"/>
          <w:kern w:val="0"/>
          <w:sz w:val="32"/>
          <w:szCs w:val="32"/>
          <w:lang w:val="en-US" w:eastAsia="zh-CN"/>
        </w:rPr>
      </w:pPr>
    </w:p>
    <w:p>
      <w:pPr>
        <w:pStyle w:val="2"/>
        <w:rPr>
          <w:rFonts w:hint="eastAsia" w:ascii="仿宋_GB2312" w:hAnsi="仿宋_GB2312" w:eastAsia="仿宋_GB2312" w:cs="仿宋_GB2312"/>
          <w:b w:val="0"/>
          <w:bCs w:val="0"/>
          <w:color w:val="auto"/>
          <w:kern w:val="0"/>
          <w:sz w:val="32"/>
          <w:szCs w:val="32"/>
          <w:lang w:val="en-US" w:eastAsia="zh-CN"/>
        </w:rPr>
      </w:pPr>
    </w:p>
    <w:p>
      <w:pPr>
        <w:rPr>
          <w:rFonts w:hint="eastAsia" w:ascii="仿宋_GB2312" w:hAnsi="仿宋_GB2312" w:eastAsia="仿宋_GB2312" w:cs="仿宋_GB2312"/>
          <w:b w:val="0"/>
          <w:bCs w:val="0"/>
          <w:color w:val="auto"/>
          <w:kern w:val="0"/>
          <w:sz w:val="32"/>
          <w:szCs w:val="32"/>
          <w:lang w:val="en-US" w:eastAsia="zh-CN"/>
        </w:rPr>
      </w:pPr>
    </w:p>
    <w:p>
      <w:pPr>
        <w:pStyle w:val="2"/>
        <w:rPr>
          <w:rFonts w:hint="eastAsia" w:ascii="仿宋_GB2312" w:hAnsi="仿宋_GB2312" w:eastAsia="仿宋_GB2312" w:cs="仿宋_GB2312"/>
          <w:b w:val="0"/>
          <w:bCs w:val="0"/>
          <w:color w:val="auto"/>
          <w:kern w:val="0"/>
          <w:sz w:val="32"/>
          <w:szCs w:val="32"/>
          <w:lang w:val="en-US" w:eastAsia="zh-CN"/>
        </w:rPr>
      </w:pPr>
    </w:p>
    <w:p>
      <w:pPr>
        <w:rPr>
          <w:rFonts w:hint="eastAsia" w:ascii="仿宋_GB2312" w:hAnsi="仿宋_GB2312" w:eastAsia="仿宋_GB2312" w:cs="仿宋_GB2312"/>
          <w:b w:val="0"/>
          <w:bCs w:val="0"/>
          <w:color w:val="auto"/>
          <w:kern w:val="0"/>
          <w:sz w:val="32"/>
          <w:szCs w:val="32"/>
          <w:lang w:val="en-US" w:eastAsia="zh-CN"/>
        </w:rPr>
      </w:pPr>
    </w:p>
    <w:p>
      <w:pPr>
        <w:pStyle w:val="2"/>
        <w:rPr>
          <w:rFonts w:hint="eastAsia" w:ascii="仿宋_GB2312" w:hAnsi="仿宋_GB2312" w:eastAsia="仿宋_GB2312" w:cs="仿宋_GB2312"/>
          <w:b w:val="0"/>
          <w:bCs w:val="0"/>
          <w:color w:val="auto"/>
          <w:kern w:val="0"/>
          <w:sz w:val="32"/>
          <w:szCs w:val="32"/>
          <w:lang w:val="en-US" w:eastAsia="zh-CN"/>
        </w:rPr>
      </w:pPr>
    </w:p>
    <w:p>
      <w:pPr>
        <w:rPr>
          <w:rFonts w:hint="eastAsia" w:ascii="仿宋_GB2312" w:hAnsi="仿宋_GB2312" w:eastAsia="仿宋_GB2312" w:cs="仿宋_GB2312"/>
          <w:b w:val="0"/>
          <w:bCs w:val="0"/>
          <w:color w:val="auto"/>
          <w:kern w:val="0"/>
          <w:sz w:val="32"/>
          <w:szCs w:val="32"/>
          <w:lang w:val="en-US" w:eastAsia="zh-CN"/>
        </w:rPr>
      </w:pPr>
    </w:p>
    <w:p>
      <w:pPr>
        <w:pStyle w:val="2"/>
        <w:rPr>
          <w:rFonts w:hint="eastAsia" w:ascii="仿宋_GB2312" w:hAnsi="仿宋_GB2312" w:eastAsia="仿宋_GB2312" w:cs="仿宋_GB2312"/>
          <w:b w:val="0"/>
          <w:bCs w:val="0"/>
          <w:color w:val="auto"/>
          <w:kern w:val="0"/>
          <w:sz w:val="32"/>
          <w:szCs w:val="32"/>
          <w:lang w:val="en-US" w:eastAsia="zh-CN"/>
        </w:rPr>
      </w:pPr>
    </w:p>
    <w:p>
      <w:pPr>
        <w:rPr>
          <w:rFonts w:hint="eastAsia" w:ascii="仿宋_GB2312" w:hAnsi="仿宋_GB2312" w:eastAsia="仿宋_GB2312" w:cs="仿宋_GB2312"/>
          <w:b w:val="0"/>
          <w:bCs w:val="0"/>
          <w:color w:val="auto"/>
          <w:kern w:val="0"/>
          <w:sz w:val="32"/>
          <w:szCs w:val="32"/>
          <w:lang w:val="en-US" w:eastAsia="zh-CN"/>
        </w:rPr>
      </w:pPr>
    </w:p>
    <w:p>
      <w:pPr>
        <w:pStyle w:val="2"/>
        <w:rPr>
          <w:rFonts w:hint="eastAsia" w:ascii="仿宋_GB2312" w:hAnsi="仿宋_GB2312" w:eastAsia="仿宋_GB2312" w:cs="仿宋_GB2312"/>
          <w:b w:val="0"/>
          <w:bCs w:val="0"/>
          <w:color w:val="auto"/>
          <w:kern w:val="0"/>
          <w:sz w:val="32"/>
          <w:szCs w:val="32"/>
          <w:lang w:val="en-US" w:eastAsia="zh-CN"/>
        </w:rPr>
      </w:pPr>
    </w:p>
    <w:p>
      <w:pPr>
        <w:pStyle w:val="2"/>
        <w:ind w:left="0" w:leftChars="0" w:firstLine="0" w:firstLineChars="0"/>
        <w:rPr>
          <w:rFonts w:hint="eastAsia"/>
          <w:lang w:val="en-US" w:eastAsia="zh-CN"/>
        </w:rPr>
      </w:pPr>
    </w:p>
    <w:p>
      <w:pPr>
        <w:pStyle w:val="10"/>
        <w:rPr>
          <w:rFonts w:hint="default" w:ascii="仿宋_GB2312" w:hAnsi="仿宋_GB2312" w:eastAsia="仿宋_GB2312" w:cs="仿宋_GB2312"/>
          <w:color w:val="auto"/>
          <w:sz w:val="32"/>
          <w:szCs w:val="32"/>
          <w:lang w:val="en-US" w:eastAsia="zh-CN"/>
        </w:rPr>
      </w:pPr>
    </w:p>
    <w:p>
      <w:pPr>
        <w:pStyle w:val="10"/>
        <w:rPr>
          <w:rFonts w:hint="eastAsia" w:ascii="仿宋_GB2312" w:hAnsi="仿宋" w:eastAsia="仿宋_GB2312" w:cs="宋体"/>
          <w:color w:val="auto"/>
          <w:kern w:val="0"/>
          <w:sz w:val="10"/>
          <w:szCs w:val="10"/>
        </w:rPr>
      </w:pPr>
    </w:p>
    <w:p>
      <w:pPr>
        <w:keepNext w:val="0"/>
        <w:keepLines w:val="0"/>
        <w:pageBreakBefore w:val="0"/>
        <w:widowControl w:val="0"/>
        <w:kinsoku/>
        <w:wordWrap/>
        <w:overflowPunct/>
        <w:topLinePunct w:val="0"/>
        <w:autoSpaceDE/>
        <w:autoSpaceDN/>
        <w:bidi w:val="0"/>
        <w:adjustRightInd/>
        <w:spacing w:line="540" w:lineRule="exact"/>
        <w:jc w:val="both"/>
        <w:textAlignment w:val="auto"/>
        <w:rPr>
          <w:color w:val="auto"/>
        </w:rPr>
      </w:pPr>
      <w:r>
        <w:rPr>
          <w:rFonts w:hint="eastAsia" w:ascii="仿宋_GB2312" w:hAnsi="仿宋_GB2312" w:eastAsia="仿宋_GB2312" w:cs="仿宋_GB2312"/>
          <w:color w:val="auto"/>
          <w:sz w:val="28"/>
          <w:szCs w:val="28"/>
        </w:rPr>
        <mc:AlternateContent>
          <mc:Choice Requires="wps">
            <w:drawing>
              <wp:anchor distT="0" distB="0" distL="114300" distR="114300" simplePos="0" relativeHeight="251658240" behindDoc="0" locked="0" layoutInCell="1" allowOverlap="1">
                <wp:simplePos x="0" y="0"/>
                <wp:positionH relativeFrom="column">
                  <wp:posOffset>-13970</wp:posOffset>
                </wp:positionH>
                <wp:positionV relativeFrom="paragraph">
                  <wp:posOffset>363855</wp:posOffset>
                </wp:positionV>
                <wp:extent cx="5619115" cy="127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619115" cy="127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65pt;height:0.1pt;width:442.45pt;z-index:251658240;mso-width-relative:page;mso-height-relative:page;" filled="f" stroked="t" coordsize="21600,21600" o:gfxdata="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Mw231gAA&#10;AAgBAAAPAAAAAAAAAAEAIAAAACIAAABkcnMvZG93bnJldi54bWxQSwECFAAUAAAACACHTuJAjjGD&#10;4ucBAACkAwAADgAAAAAAAAABACAAAAAlAQAAZHJzL2Uyb0RvYy54bWxQSwUGAAAAAAYABgBZAQAA&#10;fgU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auto"/>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20955</wp:posOffset>
                </wp:positionV>
                <wp:extent cx="5595620" cy="63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956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6pt;margin-top:1.65pt;height:0.05pt;width:440.6pt;z-index:251659264;mso-width-relative:page;mso-height-relative:page;" filled="f" stroked="t" coordsize="21600,21600" o:gfxdata="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LL6GdIAAAAFAQAADwAA&#10;AAAAAAABACAAAAAiAAAAZHJzL2Rvd25yZXYueG1sUEsBAhQAFAAAAAgAh07iQGJwWY7jAQAAowMA&#10;AA4AAAAAAAAAAQAgAAAAIQEAAGRycy9lMm9Eb2MueG1sUEsFBgAAAAAGAAYAWQEAAHY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color w:val="auto"/>
          <w:sz w:val="28"/>
          <w:szCs w:val="28"/>
        </w:rPr>
        <w:t>平罗县</w:t>
      </w:r>
      <w:r>
        <w:rPr>
          <w:rFonts w:hint="eastAsia" w:ascii="仿宋_GB2312" w:hAnsi="仿宋_GB2312" w:eastAsia="仿宋_GB2312" w:cs="仿宋_GB2312"/>
          <w:color w:val="auto"/>
          <w:sz w:val="28"/>
          <w:szCs w:val="28"/>
          <w:lang w:eastAsia="zh-CN"/>
        </w:rPr>
        <w:t>退役军人事务局</w:t>
      </w:r>
      <w:r>
        <w:rPr>
          <w:rFonts w:hint="eastAsia" w:ascii="仿宋_GB2312" w:hAnsi="仿宋_GB2312" w:eastAsia="仿宋_GB2312" w:cs="仿宋_GB2312"/>
          <w:color w:val="auto"/>
          <w:sz w:val="28"/>
          <w:szCs w:val="28"/>
        </w:rPr>
        <w:t xml:space="preserve">办公室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2020</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18</w:t>
      </w:r>
      <w:r>
        <w:rPr>
          <w:rFonts w:hint="eastAsia" w:ascii="仿宋_GB2312" w:hAnsi="仿宋_GB2312" w:eastAsia="仿宋_GB2312" w:cs="仿宋_GB2312"/>
          <w:color w:val="auto"/>
          <w:sz w:val="28"/>
          <w:szCs w:val="28"/>
        </w:rPr>
        <w:t>日印发</w:t>
      </w:r>
    </w:p>
    <w:sectPr>
      <w:footerReference r:id="rId3" w:type="default"/>
      <w:pgSz w:w="11906" w:h="16838"/>
      <w:pgMar w:top="1440" w:right="1587"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FC3269"/>
    <w:multiLevelType w:val="singleLevel"/>
    <w:tmpl w:val="D4FC3269"/>
    <w:lvl w:ilvl="0" w:tentative="0">
      <w:start w:val="2"/>
      <w:numFmt w:val="decimal"/>
      <w:suff w:val="nothing"/>
      <w:lvlText w:val="%1．"/>
      <w:lvlJc w:val="left"/>
    </w:lvl>
  </w:abstractNum>
  <w:abstractNum w:abstractNumId="1">
    <w:nsid w:val="5463A47D"/>
    <w:multiLevelType w:val="singleLevel"/>
    <w:tmpl w:val="5463A47D"/>
    <w:lvl w:ilvl="0" w:tentative="0">
      <w:start w:val="2"/>
      <w:numFmt w:val="chineseCounting"/>
      <w:suff w:val="nothing"/>
      <w:lvlText w:val="（%1）"/>
      <w:lvlJc w:val="left"/>
      <w:rPr>
        <w:rFonts w:hint="eastAsia"/>
      </w:rPr>
    </w:lvl>
  </w:abstractNum>
  <w:abstractNum w:abstractNumId="2">
    <w:nsid w:val="5C73A794"/>
    <w:multiLevelType w:val="singleLevel"/>
    <w:tmpl w:val="5C73A794"/>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71C6E"/>
    <w:rsid w:val="008A6F73"/>
    <w:rsid w:val="0096482E"/>
    <w:rsid w:val="025C6B8A"/>
    <w:rsid w:val="03671CD8"/>
    <w:rsid w:val="042543F7"/>
    <w:rsid w:val="043C75A7"/>
    <w:rsid w:val="04B923D0"/>
    <w:rsid w:val="063A3D37"/>
    <w:rsid w:val="071A4A0E"/>
    <w:rsid w:val="084E14C4"/>
    <w:rsid w:val="08BF35CE"/>
    <w:rsid w:val="0A8C39CD"/>
    <w:rsid w:val="0BBD2704"/>
    <w:rsid w:val="14D739CD"/>
    <w:rsid w:val="14F30489"/>
    <w:rsid w:val="159D0F92"/>
    <w:rsid w:val="16400937"/>
    <w:rsid w:val="16EF5CC3"/>
    <w:rsid w:val="187B412D"/>
    <w:rsid w:val="18BB063A"/>
    <w:rsid w:val="18F3080A"/>
    <w:rsid w:val="1A2036CF"/>
    <w:rsid w:val="1AC156A6"/>
    <w:rsid w:val="23394A50"/>
    <w:rsid w:val="25286C87"/>
    <w:rsid w:val="26255303"/>
    <w:rsid w:val="269E059E"/>
    <w:rsid w:val="2A1A550C"/>
    <w:rsid w:val="2A49072C"/>
    <w:rsid w:val="2BCB46B4"/>
    <w:rsid w:val="2C064095"/>
    <w:rsid w:val="2C6600D9"/>
    <w:rsid w:val="2D901070"/>
    <w:rsid w:val="31876531"/>
    <w:rsid w:val="3284392E"/>
    <w:rsid w:val="335F3597"/>
    <w:rsid w:val="33ED4487"/>
    <w:rsid w:val="36743CDE"/>
    <w:rsid w:val="37714567"/>
    <w:rsid w:val="38467ED9"/>
    <w:rsid w:val="38BE503C"/>
    <w:rsid w:val="3C2E3055"/>
    <w:rsid w:val="401624CD"/>
    <w:rsid w:val="420B3737"/>
    <w:rsid w:val="42E800BB"/>
    <w:rsid w:val="46893092"/>
    <w:rsid w:val="46C11844"/>
    <w:rsid w:val="482C6693"/>
    <w:rsid w:val="4994713F"/>
    <w:rsid w:val="4A003FFF"/>
    <w:rsid w:val="4A7E5458"/>
    <w:rsid w:val="4DBA58E4"/>
    <w:rsid w:val="500B6965"/>
    <w:rsid w:val="51621C9B"/>
    <w:rsid w:val="538B515B"/>
    <w:rsid w:val="547E0197"/>
    <w:rsid w:val="568C0EB9"/>
    <w:rsid w:val="58056B1A"/>
    <w:rsid w:val="59B95B9F"/>
    <w:rsid w:val="5D471365"/>
    <w:rsid w:val="5E1D02D7"/>
    <w:rsid w:val="5E5065F2"/>
    <w:rsid w:val="5F265479"/>
    <w:rsid w:val="5F7F3E0D"/>
    <w:rsid w:val="61153A8D"/>
    <w:rsid w:val="6167019D"/>
    <w:rsid w:val="62763CE6"/>
    <w:rsid w:val="63F46703"/>
    <w:rsid w:val="64DF199A"/>
    <w:rsid w:val="65826FDB"/>
    <w:rsid w:val="65AB2546"/>
    <w:rsid w:val="65D52E4C"/>
    <w:rsid w:val="660870AC"/>
    <w:rsid w:val="677D7BBA"/>
    <w:rsid w:val="67A71923"/>
    <w:rsid w:val="67C47CC2"/>
    <w:rsid w:val="683B002F"/>
    <w:rsid w:val="691B797A"/>
    <w:rsid w:val="6A03632E"/>
    <w:rsid w:val="6A9307AB"/>
    <w:rsid w:val="6C2D1553"/>
    <w:rsid w:val="6E061F9D"/>
    <w:rsid w:val="6E1879D7"/>
    <w:rsid w:val="705A40FF"/>
    <w:rsid w:val="73902838"/>
    <w:rsid w:val="74937BBE"/>
    <w:rsid w:val="75536D05"/>
    <w:rsid w:val="778A3D0D"/>
    <w:rsid w:val="79255AFA"/>
    <w:rsid w:val="79BB01FA"/>
    <w:rsid w:val="7B8B436C"/>
    <w:rsid w:val="7B9A0BBE"/>
    <w:rsid w:val="7CD83857"/>
    <w:rsid w:val="7DF60F9C"/>
    <w:rsid w:val="7F593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widowControl/>
      <w:ind w:left="840" w:leftChars="400"/>
      <w:jc w:val="left"/>
      <w:outlineLvl w:val="1"/>
    </w:pPr>
    <w:rPr>
      <w:rFonts w:cs="宋体"/>
      <w:b/>
      <w:bCs/>
      <w:kern w:val="0"/>
      <w:sz w:val="30"/>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540" w:firstLineChars="180"/>
    </w:pPr>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spacing w:after="120"/>
      <w:ind w:left="200" w:leftChars="200" w:firstLine="420" w:firstLineChars="200"/>
    </w:pPr>
    <w:rPr>
      <w:rFonts w:ascii="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方正小标宋_GBK" w:hAnsi="方正小标宋_GBK" w:eastAsia="方正小标宋_GBK" w:cs="Times New Roman"/>
      <w:color w:val="000000"/>
      <w:kern w:val="0"/>
      <w:sz w:val="24"/>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hollow</cp:lastModifiedBy>
  <cp:lastPrinted>2020-08-19T03:52:54Z</cp:lastPrinted>
  <dcterms:modified xsi:type="dcterms:W3CDTF">2020-08-19T09:51:25Z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