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50" w:lineRule="exact"/>
        <w:rPr>
          <w:rFonts w:ascii="方正黑体_GBK" w:hAnsi="??" w:eastAsia="方正黑体_GBK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??" w:eastAsia="方正黑体_GBK" w:cs="方正黑体_GBK"/>
          <w:kern w:val="0"/>
          <w:sz w:val="32"/>
          <w:szCs w:val="32"/>
          <w:shd w:val="clear" w:color="auto" w:fill="FFFFFF"/>
        </w:rPr>
        <w:t>附件</w:t>
      </w:r>
      <w:r>
        <w:rPr>
          <w:rFonts w:ascii="方正黑体_GBK" w:hAnsi="??" w:eastAsia="方正黑体_GBK" w:cs="方正黑体_GBK"/>
          <w:kern w:val="0"/>
          <w:sz w:val="32"/>
          <w:szCs w:val="32"/>
          <w:shd w:val="clear" w:color="auto" w:fill="FFFFFF"/>
        </w:rPr>
        <w:t>3</w:t>
      </w:r>
    </w:p>
    <w:p>
      <w:pPr>
        <w:pStyle w:val="2"/>
        <w:ind w:left="0" w:leftChars="0" w:firstLine="0" w:firstLineChars="0"/>
        <w:rPr>
          <w:rFonts w:eastAsia="仿宋_GB2312"/>
        </w:rPr>
      </w:pPr>
    </w:p>
    <w:p>
      <w:pPr>
        <w:pStyle w:val="4"/>
        <w:shd w:val="clear" w:color="auto" w:fill="FFFFFF"/>
        <w:spacing w:beforeAutospacing="0" w:afterLines="100" w:afterAutospacing="0" w:line="550" w:lineRule="exact"/>
        <w:jc w:val="center"/>
        <w:rPr>
          <w:rFonts w:ascii="方正小标宋_GBK" w:hAnsi="方正小标宋简体" w:eastAsia="方正小标宋_GBK" w:cs="Times New Roman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简体" w:eastAsia="方正小标宋_GBK" w:cs="方正小标宋_GBK"/>
          <w:sz w:val="44"/>
          <w:szCs w:val="44"/>
          <w:shd w:val="clear" w:color="auto" w:fill="FFFFFF"/>
        </w:rPr>
        <w:t>原有农村客运班线利益方处置方案</w:t>
      </w:r>
    </w:p>
    <w:bookmarkEnd w:id="0"/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参照《石嘴山大武口至平罗班线车公交化改革车辆收购补偿办法》和平罗县</w:t>
      </w:r>
      <w:r>
        <w:rPr>
          <w:rFonts w:ascii="Times New Roman" w:hAnsi="Times New Roman" w:eastAsia="方正仿宋_GBK" w:cs="Times New Roman"/>
          <w:sz w:val="32"/>
          <w:szCs w:val="32"/>
        </w:rPr>
        <w:t>2020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年创建国家旅游示范县开通的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条旅游公交线路对原农村客运班线及车辆的收购补偿标准，制定本方案。</w:t>
      </w:r>
    </w:p>
    <w:p>
      <w:pPr>
        <w:spacing w:line="54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一、车辆收购补偿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车辆收购补偿由车辆现值、经营性补偿和创业基金三部分组成。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车辆现值。由专业资质评估机构按照国家相关政策规定，对被收购车辆现值进行评估定价。车辆现值以评估结果为准。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经营性补偿。现具有合法运营手续、正常运营车辆（含公安交管部门车辆未注销，相关手续齐全的且实际连续停歇业时间不超过</w:t>
      </w:r>
      <w:r>
        <w:rPr>
          <w:rFonts w:ascii="Times New Roman" w:hAnsi="Times New Roman" w:eastAsia="方正仿宋_GBK" w:cs="Times New Roman"/>
          <w:sz w:val="32"/>
          <w:szCs w:val="32"/>
        </w:rPr>
        <w:t>180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天车辆）以签订收购补偿合同正式退出线路经营之日起，截至车辆规定强制报废日的时间段，按照每车每月</w:t>
      </w:r>
      <w:r>
        <w:rPr>
          <w:rFonts w:ascii="Times New Roman" w:hAnsi="Times New Roman" w:eastAsia="方正仿宋_GBK" w:cs="Times New Roman"/>
          <w:sz w:val="32"/>
          <w:szCs w:val="32"/>
        </w:rPr>
        <w:t>700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元，合计给予一次性预期经营收益补偿。不足一月超过</w:t>
      </w: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天按月计算，</w:t>
      </w: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天以下不予计算。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创业基金。在改革中能够积极配合的车辆产权所有人，每辆车给予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万元一次性创业基金奖励。</w:t>
      </w:r>
    </w:p>
    <w:p>
      <w:pPr>
        <w:spacing w:line="54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二、车辆所属企业经营补偿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在改革中能够积极配合的客运企业，按照每辆车给予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万元一次性经营补偿。</w:t>
      </w:r>
    </w:p>
    <w:p>
      <w:pPr>
        <w:spacing w:line="54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三、人员安置</w:t>
      </w:r>
    </w:p>
    <w:p>
      <w:pPr>
        <w:spacing w:line="540" w:lineRule="exact"/>
        <w:ind w:firstLine="645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驾驶员符合条件的，按照自愿原则，由改革后的公交企业通过公开招聘，择优录用，按程序签订用工合同。</w:t>
      </w:r>
    </w:p>
    <w:p>
      <w:pPr>
        <w:spacing w:line="540" w:lineRule="exact"/>
        <w:ind w:firstLine="645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四、其他事宜</w:t>
      </w:r>
    </w:p>
    <w:p>
      <w:pPr>
        <w:spacing w:line="540" w:lineRule="exact"/>
        <w:ind w:firstLine="645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本着公开、自愿的原则，由车辆产权所有人向县交通运输局提出书面申请后，签订车辆收购协议。</w:t>
      </w:r>
    </w:p>
    <w:p>
      <w:pPr>
        <w:spacing w:line="540" w:lineRule="exact"/>
        <w:ind w:firstLine="645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被收购车辆涉及车辆产权所有人的车辆违章、债权债务及经营合同等事宜必须经由车辆产权所有人处理完毕，方可兑付车辆收购补偿资金。</w:t>
      </w:r>
    </w:p>
    <w:p>
      <w:pPr>
        <w:spacing w:line="540" w:lineRule="exact"/>
        <w:ind w:firstLine="645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车辆收购补偿资金兑付方式。签订协议后，备案报停车辆创业基金奖励于一月内一次性予以支付。在线运营车辆收购补偿资金分两次兑付。签订协议后，按照县交通运输局的下线时间要求，车辆产权所有人将车辆交付到指定地点并通过验收后，于一月内兑付补偿资金总额的</w:t>
      </w:r>
      <w:r>
        <w:rPr>
          <w:rFonts w:ascii="Times New Roman" w:hAnsi="Times New Roman" w:eastAsia="方正仿宋_GBK" w:cs="Times New Roman"/>
          <w:sz w:val="32"/>
          <w:szCs w:val="32"/>
        </w:rPr>
        <w:t>50%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，剩余</w:t>
      </w:r>
      <w:r>
        <w:rPr>
          <w:rFonts w:ascii="Times New Roman" w:hAnsi="Times New Roman" w:eastAsia="方正仿宋_GBK" w:cs="Times New Roman"/>
          <w:sz w:val="32"/>
          <w:szCs w:val="32"/>
        </w:rPr>
        <w:t>50%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补偿资金于四个月内予以兑付（车辆产权所有人配合办理完车辆过户、报废处置等手续后）。</w:t>
      </w:r>
    </w:p>
    <w:p>
      <w:pPr>
        <w:spacing w:line="540" w:lineRule="exact"/>
        <w:ind w:firstLine="645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客运企业经营补偿于一月内兑付补偿资金总额的</w:t>
      </w:r>
      <w:r>
        <w:rPr>
          <w:rFonts w:ascii="Times New Roman" w:hAnsi="Times New Roman" w:eastAsia="方正仿宋_GBK" w:cs="Times New Roman"/>
          <w:sz w:val="32"/>
          <w:szCs w:val="32"/>
        </w:rPr>
        <w:t>50%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，剩余</w:t>
      </w:r>
      <w:r>
        <w:rPr>
          <w:rFonts w:ascii="Times New Roman" w:hAnsi="Times New Roman" w:eastAsia="方正仿宋_GBK" w:cs="Times New Roman"/>
          <w:sz w:val="32"/>
          <w:szCs w:val="32"/>
        </w:rPr>
        <w:t>50%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补偿资金于四个月内予以兑付（待车辆产权所有人配合办理完车辆过户、报废处置等手续后）。</w:t>
      </w:r>
    </w:p>
    <w:p>
      <w:pPr>
        <w:pStyle w:val="2"/>
        <w:spacing w:after="0" w:line="540" w:lineRule="exact"/>
        <w:ind w:left="0" w:leftChars="0"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 w:cs="方正黑体_GBK"/>
          <w:sz w:val="32"/>
          <w:szCs w:val="32"/>
        </w:rPr>
        <w:t>五、资金概算及来源</w:t>
      </w:r>
    </w:p>
    <w:p>
      <w:pPr>
        <w:pStyle w:val="2"/>
        <w:spacing w:after="0" w:line="540" w:lineRule="exact"/>
        <w:ind w:left="0" w:leftChars="0" w:firstLine="31680"/>
        <w:rPr>
          <w:rFonts w:hAnsi="Times New Roman" w:eastAsia="方正仿宋_GBK"/>
          <w:sz w:val="32"/>
          <w:szCs w:val="32"/>
        </w:rPr>
      </w:pPr>
      <w:r>
        <w:rPr>
          <w:rFonts w:hint="eastAsia" w:hAnsi="Times New Roman" w:eastAsia="方正仿宋_GBK" w:cs="方正仿宋_GBK"/>
          <w:sz w:val="32"/>
          <w:szCs w:val="32"/>
        </w:rPr>
        <w:t>收购车辆包括灵沙至平罗线</w:t>
      </w:r>
      <w:r>
        <w:rPr>
          <w:rFonts w:hAnsi="Times New Roman" w:eastAsia="方正仿宋_GBK"/>
          <w:sz w:val="32"/>
          <w:szCs w:val="32"/>
        </w:rPr>
        <w:t>19</w:t>
      </w:r>
      <w:r>
        <w:rPr>
          <w:rFonts w:hint="eastAsia" w:hAnsi="Times New Roman" w:eastAsia="方正仿宋_GBK" w:cs="方正仿宋_GBK"/>
          <w:sz w:val="32"/>
          <w:szCs w:val="32"/>
        </w:rPr>
        <w:t>座客车</w:t>
      </w:r>
      <w:r>
        <w:rPr>
          <w:rFonts w:hAnsi="Times New Roman" w:eastAsia="方正仿宋_GBK"/>
          <w:sz w:val="32"/>
          <w:szCs w:val="32"/>
        </w:rPr>
        <w:t>8</w:t>
      </w:r>
      <w:r>
        <w:rPr>
          <w:rFonts w:hint="eastAsia" w:hAnsi="Times New Roman" w:eastAsia="方正仿宋_GBK" w:cs="方正仿宋_GBK"/>
          <w:sz w:val="32"/>
          <w:szCs w:val="32"/>
        </w:rPr>
        <w:t>辆和宝丰至平罗线</w:t>
      </w:r>
      <w:r>
        <w:rPr>
          <w:rFonts w:hAnsi="Times New Roman" w:eastAsia="方正仿宋_GBK"/>
          <w:sz w:val="32"/>
          <w:szCs w:val="32"/>
        </w:rPr>
        <w:t>19</w:t>
      </w:r>
      <w:r>
        <w:rPr>
          <w:rFonts w:hint="eastAsia" w:hAnsi="Times New Roman" w:eastAsia="方正仿宋_GBK" w:cs="方正仿宋_GBK"/>
          <w:sz w:val="32"/>
          <w:szCs w:val="32"/>
        </w:rPr>
        <w:t>座客车</w:t>
      </w:r>
      <w:r>
        <w:rPr>
          <w:rFonts w:hAnsi="Times New Roman" w:eastAsia="方正仿宋_GBK"/>
          <w:sz w:val="32"/>
          <w:szCs w:val="32"/>
        </w:rPr>
        <w:t>3</w:t>
      </w:r>
      <w:r>
        <w:rPr>
          <w:rFonts w:hint="eastAsia" w:hAnsi="Times New Roman" w:eastAsia="方正仿宋_GBK" w:cs="方正仿宋_GBK"/>
          <w:sz w:val="32"/>
          <w:szCs w:val="32"/>
        </w:rPr>
        <w:t>辆，共计</w:t>
      </w:r>
      <w:r>
        <w:rPr>
          <w:rFonts w:hAnsi="Times New Roman" w:eastAsia="方正仿宋_GBK"/>
          <w:sz w:val="32"/>
          <w:szCs w:val="32"/>
        </w:rPr>
        <w:t>11</w:t>
      </w:r>
      <w:r>
        <w:rPr>
          <w:rFonts w:hint="eastAsia" w:hAnsi="Times New Roman" w:eastAsia="方正仿宋_GBK" w:cs="方正仿宋_GBK"/>
          <w:sz w:val="32"/>
          <w:szCs w:val="32"/>
        </w:rPr>
        <w:t>辆客车，按照本方案标准进行收购补偿（时间截止到</w:t>
      </w:r>
      <w:r>
        <w:rPr>
          <w:rFonts w:hAnsi="Times New Roman" w:eastAsia="方正仿宋_GBK"/>
          <w:sz w:val="32"/>
          <w:szCs w:val="32"/>
        </w:rPr>
        <w:t>2022</w:t>
      </w:r>
      <w:r>
        <w:rPr>
          <w:rFonts w:hint="eastAsia" w:hAnsi="Times New Roman" w:eastAsia="方正仿宋_GBK" w:cs="方正仿宋_GBK"/>
          <w:sz w:val="32"/>
          <w:szCs w:val="32"/>
        </w:rPr>
        <w:t>年</w:t>
      </w:r>
      <w:r>
        <w:rPr>
          <w:rFonts w:hAnsi="Times New Roman" w:eastAsia="方正仿宋_GBK"/>
          <w:sz w:val="32"/>
          <w:szCs w:val="32"/>
        </w:rPr>
        <w:t>6</w:t>
      </w:r>
      <w:r>
        <w:rPr>
          <w:rFonts w:hint="eastAsia" w:hAnsi="Times New Roman" w:eastAsia="方正仿宋_GBK" w:cs="方正仿宋_GBK"/>
          <w:sz w:val="32"/>
          <w:szCs w:val="32"/>
        </w:rPr>
        <w:t>月</w:t>
      </w:r>
      <w:r>
        <w:rPr>
          <w:rFonts w:hAnsi="Times New Roman" w:eastAsia="方正仿宋_GBK"/>
          <w:sz w:val="32"/>
          <w:szCs w:val="32"/>
        </w:rPr>
        <w:t>1</w:t>
      </w:r>
      <w:r>
        <w:rPr>
          <w:rFonts w:hint="eastAsia" w:hAnsi="Times New Roman" w:eastAsia="方正仿宋_GBK" w:cs="方正仿宋_GBK"/>
          <w:sz w:val="32"/>
          <w:szCs w:val="32"/>
        </w:rPr>
        <w:t>日），概算资金</w:t>
      </w:r>
      <w:r>
        <w:rPr>
          <w:rFonts w:hAnsi="Times New Roman" w:eastAsia="方正仿宋_GBK"/>
          <w:sz w:val="32"/>
          <w:szCs w:val="32"/>
        </w:rPr>
        <w:t>77.86</w:t>
      </w:r>
      <w:r>
        <w:rPr>
          <w:rFonts w:hint="eastAsia" w:hAnsi="Times New Roman" w:eastAsia="方正仿宋_GBK" w:cs="方正仿宋_GBK"/>
          <w:sz w:val="32"/>
          <w:szCs w:val="32"/>
        </w:rPr>
        <w:t>万元，其中：车辆收购补偿资金</w:t>
      </w:r>
      <w:r>
        <w:rPr>
          <w:rFonts w:hAnsi="Times New Roman" w:eastAsia="方正仿宋_GBK"/>
          <w:sz w:val="32"/>
          <w:szCs w:val="32"/>
        </w:rPr>
        <w:t>66.86</w:t>
      </w:r>
      <w:r>
        <w:rPr>
          <w:rFonts w:hint="eastAsia" w:hAnsi="Times New Roman" w:eastAsia="方正仿宋_GBK" w:cs="方正仿宋_GBK"/>
          <w:sz w:val="32"/>
          <w:szCs w:val="32"/>
        </w:rPr>
        <w:t>万元，车辆所属企业经营补偿资金</w:t>
      </w:r>
      <w:r>
        <w:rPr>
          <w:rFonts w:hAnsi="Times New Roman" w:eastAsia="方正仿宋_GBK"/>
          <w:sz w:val="32"/>
          <w:szCs w:val="32"/>
        </w:rPr>
        <w:t>11</w:t>
      </w:r>
      <w:r>
        <w:rPr>
          <w:rFonts w:hint="eastAsia" w:hAnsi="Times New Roman" w:eastAsia="方正仿宋_GBK" w:cs="方正仿宋_GBK"/>
          <w:sz w:val="32"/>
          <w:szCs w:val="32"/>
        </w:rPr>
        <w:t>万元。资金来源为县财政拨付。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6C435640"/>
    <w:rsid w:val="6C4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200" w:leftChars="200"/>
    </w:pPr>
    <w:rPr>
      <w:rFonts w:ascii="Times New Roman" w:eastAsia="Times New Roman" w:cs="Times New Roman"/>
    </w:rPr>
  </w:style>
  <w:style w:type="paragraph" w:styleId="3">
    <w:name w:val="Body Text Indent"/>
    <w:basedOn w:val="1"/>
    <w:qFormat/>
    <w:uiPriority w:val="99"/>
    <w:pPr>
      <w:spacing w:line="360" w:lineRule="auto"/>
      <w:ind w:firstLine="420" w:firstLineChars="20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2023-01-05T08:50:00Z</dcterms:created>
  <dc:creator>糖果</dc:creator>
  <cp:lastModifiedBy>糖果</cp:lastModifiedBy>
  <dcterms:modified xsi:type="dcterms:W3CDTF">2023-01-05T08:53:32Z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8D5838BCF2284D17977C8B712E7EF0D1</vt:lpwstr>
  </property>
</Properties>
</file>