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ascii="方正黑体_GBK" w:hAnsi="方正小标宋简体" w:eastAsia="方正黑体_GBK" w:cs="Times New Roman"/>
          <w:sz w:val="44"/>
          <w:szCs w:val="44"/>
          <w:shd w:val="clear" w:color="auto" w:fill="FFFFFF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</w:rPr>
        <w:t>附件</w:t>
      </w:r>
      <w:r>
        <w:rPr>
          <w:rFonts w:ascii="方正黑体_GBK" w:eastAsia="方正黑体_GBK" w:cs="方正黑体_GBK"/>
          <w:kern w:val="0"/>
          <w:sz w:val="32"/>
          <w:szCs w:val="32"/>
        </w:rPr>
        <w:t>2</w:t>
      </w:r>
    </w:p>
    <w:p>
      <w:pPr>
        <w:pStyle w:val="4"/>
        <w:shd w:val="clear" w:color="auto" w:fill="FFFFFF"/>
        <w:spacing w:beforeAutospacing="0" w:afterAutospacing="0"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  <w:shd w:val="clear" w:color="auto" w:fill="FFFFFF"/>
        </w:rPr>
        <w:t>平罗县农村客运基本情况</w:t>
      </w:r>
    </w:p>
    <w:bookmarkEnd w:id="0"/>
    <w:p>
      <w:pPr>
        <w:pStyle w:val="4"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一、平罗县乡镇及客流情况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平罗县地处宁夏平原北部，距银川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58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公里、惠农区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48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公里、大武口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公里，县辖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13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个乡镇，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144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个行政村，全县总人口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310989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二、平罗县农村客运班线和公交企业基本情况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平罗县目前有农村客运班线企业五家，公交企业一家。具体为：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农村客运班线企业：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宁夏天豹交运集团有限公司石嘴山分公司（股份制）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宁夏平罗县龙升汽车运输有限公司（民营企业）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平罗县宏盛汽车出租有限公司（民营企业）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平罗县金通客运出租有限公司（民营企业）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宁夏石运汽车运输有限公司陶乐客运分公司（股份制）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公交企业：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平罗县锦涛公共交通运输有限公司（民营企业）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三、农村客运线路及运营情况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平罗县内已许可各乡镇（村）至平罗农村班线共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条、农村班线客车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135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辆，由于城镇化步伐加快及私家车普及，客流大幅下滑，大部分农村客运班线退出客运市场。目前，正常运行的农村班线为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条、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辆客车（不含协调应急运营的大武口通达公司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辆运行平罗至崇岗农村班线客车），其余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23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条农村班线、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124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辆客车处于申请歇业和停驶、报废状态。正常运营线路情况为：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灵沙至平罗，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辆中巴车运行正常。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宝丰至平罗，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辆中巴车运行正常。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连续停驶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180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天以上且《道路运输证》已被注销的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124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辆农村客运车辆情况</w:t>
      </w:r>
    </w:p>
    <w:tbl>
      <w:tblPr>
        <w:tblStyle w:val="5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155"/>
        <w:gridCol w:w="1156"/>
        <w:gridCol w:w="1155"/>
        <w:gridCol w:w="1156"/>
        <w:gridCol w:w="115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公司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注销年份</w:t>
            </w: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2016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</w:p>
        </w:tc>
        <w:tc>
          <w:tcPr>
            <w:tcW w:w="1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2017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2018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</w:p>
        </w:tc>
        <w:tc>
          <w:tcPr>
            <w:tcW w:w="1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2019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</w:p>
        </w:tc>
        <w:tc>
          <w:tcPr>
            <w:tcW w:w="1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龙升公司（辆）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23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金通公司（辆）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29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宏盛公司（辆）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陶乐公司（辆）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共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计（辆）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11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66</w:t>
            </w:r>
          </w:p>
        </w:tc>
        <w:tc>
          <w:tcPr>
            <w:tcW w:w="11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124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方正仿宋_GBK" w:hAnsi="微软雅黑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微软雅黑" w:eastAsia="方正仿宋_GBK" w:cs="方正仿宋_GBK"/>
          <w:kern w:val="0"/>
          <w:sz w:val="32"/>
          <w:szCs w:val="32"/>
        </w:rPr>
        <w:t>大部分乡镇无客车运行，农村群众出行不便，投诉不断增加。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A4C29B7"/>
    <w:rsid w:val="4A4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/>
    </w:pPr>
    <w:rPr>
      <w:rFonts w:ascii="Times New Roman" w:eastAsia="Times New Roman" w:cs="Times New Roman"/>
    </w:rPr>
  </w:style>
  <w:style w:type="paragraph" w:styleId="3">
    <w:name w:val="Body Text Indent"/>
    <w:basedOn w:val="1"/>
    <w:qFormat/>
    <w:uiPriority w:val="99"/>
    <w:pPr>
      <w:spacing w:line="360" w:lineRule="auto"/>
      <w:ind w:firstLine="420" w:firstLineChars="2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2023-01-05T08:50:00Z</dcterms:created>
  <dc:creator>糖果</dc:creator>
  <cp:lastModifiedBy>糖果</cp:lastModifiedBy>
  <dcterms:modified xsi:type="dcterms:W3CDTF">2023-01-05T08:53:12Z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077E9B98E0CE4CF5BFCC90F9ABD6B7DF</vt:lpwstr>
  </property>
</Properties>
</file>