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平罗县住房和城乡建设局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谁执法谁普法”四个清单分解表</w:t>
      </w:r>
      <w:bookmarkStart w:id="0" w:name="_GoBack"/>
      <w:bookmarkEnd w:id="0"/>
    </w:p>
    <w:tbl>
      <w:tblPr>
        <w:tblStyle w:val="6"/>
        <w:tblpPr w:leftFromText="180" w:rightFromText="180" w:vertAnchor="text" w:tblpX="145" w:tblpY="338"/>
        <w:tblOverlap w:val="never"/>
        <w:tblW w:w="13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32"/>
        <w:gridCol w:w="2261"/>
        <w:gridCol w:w="3525"/>
        <w:gridCol w:w="3739"/>
        <w:gridCol w:w="137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习近平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法治思想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习近平法治思想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将习近平法治思想列入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党组理论学习中心组、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支部党员学习内容，通过专题会议、专门研讨等形式，深入开展习近平法治思想学习活动。2.制定学习培训计划，创新方式方法，通过举办培训班、学习班、研讨班，运用“学习强国”、干部教育培训网络学院等平台，组织开展多形式、分层次的学习培训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学习宣传习近平法治思想纳入普法工作全局，与业务工作同部署、同检查、同落实。2.每年组织党员干部至少开展1次习近平法治思想专题学习或研讨培训。3.深刻认识习近平法治思想重大意义，吃透基本精神、把握核心要义、明确工作要求，在学懂弄通做实上下功夫，在学思悟贯通、知信行合一上见实效。4.通过广泛的学习宣传阐释工作，增强“四个意识”、坚定“四个自信”、做到“两个维护”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办公室、法制室牵头，各办配合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全体干部职工，社会公众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4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宪法》及《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国徽法》等相关法律法规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结合“12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4”国家宪法日，开展“宪法宣传周”活动，广泛开展宪法学习宣传教育。2.国家工作人员依照法律规定开展宪法宣誓活动。3.加强《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国徽法》等宪法相关法的学习宣传，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强化国家认同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3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1.推动行政人员带头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尊崇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宪法、学习宪法、遵守宪法、维护宪法、运用宪法，提升党员领导干部运用法治思维和法治方式解决问题的能力。2.推动宪法精神进基层，使宪法走入日常生活，走进人民群众心中。</w:t>
            </w:r>
          </w:p>
        </w:tc>
        <w:tc>
          <w:tcPr>
            <w:tcW w:w="1372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全体干部职工，社会公众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  <w:t>办公室牵头，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各办配合</w:t>
            </w:r>
          </w:p>
        </w:tc>
        <w:tc>
          <w:tcPr>
            <w:tcW w:w="12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4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行政强制法》《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行政复议法》《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公务员法》《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中华人民共和国保守国家秘密法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国家安全法》《反分裂国家法》《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安全生产法》《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禁毒法》《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民族区域自治法》《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监察法》《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劳动法》等法律法规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落实党政主要负责人履行推进法治建设第一责任人职责规定，带头讲法治课，做学法表率，全面实行领导干部年终述法制度。2.党组理论学习中心组、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党支部的学习。3.在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”国际消费者权益保护日、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“4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15”国家安全日、“6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26”国际禁毒日、“民法典”宣传月、安全生产月、保密宣传月、民族团结月等重要时间节点开展普法学习宣传。4.把法治教育纳入干部教育培训总体规划，健全完善干部学法用法培训机制，加强对干部学法用法考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党政主要负责人在年终述职述廉的同时进行述法，带头上法治课每年不少于2次。2.党委理论中心组、干部日常学法制度健全，有学习计划，有明确学习任务，并保证学习时间和效果。3.积极利用法律宣传日、宣传周、宣传月等载体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次。4.每年开展一次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处级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以下干部网上学法用法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无纸化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考试，参学率、通过率达98%以上。5.国家工作人员参加现场和网上旁听庭审每年至少1次。6.每年至少开展1次“开放日”活动。7.法治文化阵地建设成效显著，法治文化氛围浓厚。</w:t>
            </w:r>
          </w:p>
        </w:tc>
        <w:tc>
          <w:tcPr>
            <w:tcW w:w="1372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3" w:hRule="atLeast"/>
        </w:trPr>
        <w:tc>
          <w:tcPr>
            <w:tcW w:w="4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办公室、法制室牵头，各办配合</w:t>
            </w:r>
          </w:p>
        </w:tc>
        <w:tc>
          <w:tcPr>
            <w:tcW w:w="1275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全体干部职工，社会公众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1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中国共产党章程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1.把重要党内法规列为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党组理论学习中心组学习的重要内容，以党章、准则、条例等为重点。2.把学习党内法规作为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各党支部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“三会一课”内容，列入每月“一法一条例”的学习。3.持续开展“以案释法”反腐倡廉典型案例宣传活动，发挥正面典型倡导和反面案例警示作用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建立党内法规学习宣传责任制，注重党内法规宣传同国家法律宣传的衔接协调。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.把党内法规学习与“法律进机关”结合，组织开展互动性强的主题宣传活动。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注重用身边事例、现身说法，切实增强党内法规学习宣传感染力和实效性。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  <w:t>办公室牵头，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各办配合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全体干部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中华人民共和国保守国家秘密法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》《中华人民共和国档案法》《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网络安全法》《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数据安全法》《信访工作条例》《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政府信息公开条例》《宁夏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档案条例》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办公室牵头，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各办配合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  <w:t>机关全体干部职工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行政复议法》《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行政诉讼法》《宁夏回族自治区行政复议条例》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法制室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局机关全体干部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行政强制法》《宁夏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行政执法监督条例》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将普法工作与业务工作同部署、同检查、同落实。2.积极利用法律宣传日、宣传周、宣传月等载体，开展法治宣传活动，每年不少于1次。3.学法、普法活动有记录、有资料。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法制室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局机关全体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干部； 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与业务相关的法律法规规范性文件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全国、全区、全市“八五”普法规划、实施意见和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《关于在全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开展第八个五年法治宣传教育的实施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深入学习宣传宪法，组织开展全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“12.4”国家宪法日及“宪法宣传周活动”。2.通过各种形式加大《民法典》宣传力度，将《民法典》作为全社会法治宣传重要内容。3.强化“谁执法谁普法”普法责任制，细化普法内容、普法责任、普法措施和普法标准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加强国家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机关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工作人员学法考法工作。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.做好法治宣传教育以案释法工作，推广典型案例。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制定年度《全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普法依法治理工作要点》，成立“八五”普法讲师团，推进“八五”普法工作落地落实。2.印发《关于做好“12.4”国家宪法日暨宪法宣传周宣传活动的实施方案》，突出宣传主题，形成宣传合力，增强宣传实效。3.开展“美好生活·民法典相伴”主题宣传教育实践活动，推动民法典不断走到群众身边、走进群众心里。4.修订谁执法谁普法“四个清单”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指导督促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各部门各单位进一步完善普法责任制。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法制室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局机关全体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；社会公众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center"/>
        <w:textAlignment w:val="auto"/>
        <w:rPr>
          <w:rFonts w:hint="eastAsia" w:ascii="黑体" w:hAnsi="黑体" w:eastAsia="黑体" w:cs="黑体"/>
          <w:color w:val="000000"/>
          <w:sz w:val="24"/>
          <w:szCs w:val="24"/>
          <w:vertAlign w:val="baseline"/>
        </w:rPr>
        <w:sectPr>
          <w:footerReference r:id="rId3" w:type="default"/>
          <w:pgSz w:w="16838" w:h="11906" w:orient="landscape"/>
          <w:pgMar w:top="964" w:right="1723" w:bottom="964" w:left="1667" w:header="851" w:footer="992" w:gutter="0"/>
          <w:pgNumType w:fmt="numberInDash" w:start="3"/>
          <w:cols w:space="720" w:num="1"/>
          <w:rtlGutter w:val="0"/>
          <w:docGrid w:type="lines" w:linePitch="319" w:charSpace="0"/>
        </w:sectPr>
      </w:pPr>
    </w:p>
    <w:p>
      <w:pPr>
        <w:pStyle w:val="2"/>
        <w:rPr>
          <w:rFonts w:hint="eastAsia"/>
        </w:rPr>
        <w:sectPr>
          <w:footerReference r:id="rId4" w:type="default"/>
          <w:pgSz w:w="16838" w:h="11906" w:orient="landscape"/>
          <w:pgMar w:top="1803" w:right="1440" w:bottom="1803" w:left="1440" w:header="851" w:footer="992" w:gutter="0"/>
          <w:pgNumType w:fmt="numberInDash" w:start="3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4F34C6"/>
    <w:multiLevelType w:val="singleLevel"/>
    <w:tmpl w:val="DF4F34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mU2NDA3MDRjMmFhYTViYWMyM2Y1MjU3YWQzMDkifQ=="/>
  </w:docVars>
  <w:rsids>
    <w:rsidRoot w:val="02925B5B"/>
    <w:rsid w:val="02925B5B"/>
    <w:rsid w:val="0DA41AC3"/>
    <w:rsid w:val="10044A9B"/>
    <w:rsid w:val="11252F1A"/>
    <w:rsid w:val="1F1C595D"/>
    <w:rsid w:val="21507B40"/>
    <w:rsid w:val="229D6DB5"/>
    <w:rsid w:val="2E9D013C"/>
    <w:rsid w:val="2EC70869"/>
    <w:rsid w:val="42246753"/>
    <w:rsid w:val="43D95417"/>
    <w:rsid w:val="5B8B1199"/>
    <w:rsid w:val="7170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Times New Roman"/>
      <w:b/>
      <w:bCs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2022-04-28T00:52:00Z</dcterms:created>
  <dc:creator>刘丫丫</dc:creator>
  <cp:lastModifiedBy>ㅤ</cp:lastModifiedBy>
  <cp:lastPrinted>2022-04-28T07:29:16Z</cp:lastPrinted>
  <dcterms:modified xsi:type="dcterms:W3CDTF">2022-04-28T07:34:46Z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4B3A06E681CB4119AA6948AF430EC4D1</vt:lpwstr>
  </property>
</Properties>
</file>