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 Unicode MS" w:hAnsi="Arial Unicode MS" w:eastAsia="Arial Unicode MS" w:cs="Arial Unicode MS"/>
          <w:b w:val="0"/>
          <w:bCs/>
          <w:spacing w:val="-11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b w:val="0"/>
          <w:bCs/>
          <w:spacing w:val="-11"/>
          <w:sz w:val="44"/>
          <w:szCs w:val="44"/>
        </w:rPr>
        <w:t>平罗县2</w:t>
      </w:r>
      <w:r>
        <w:rPr>
          <w:rFonts w:hint="eastAsia" w:ascii="Arial Unicode MS" w:hAnsi="Arial Unicode MS" w:eastAsia="Arial Unicode MS" w:cs="Arial Unicode MS"/>
          <w:b w:val="0"/>
          <w:bCs/>
          <w:spacing w:val="-11"/>
          <w:sz w:val="44"/>
          <w:szCs w:val="44"/>
          <w:lang w:val="en-US" w:eastAsia="zh-CN"/>
        </w:rPr>
        <w:t>021</w:t>
      </w:r>
      <w:r>
        <w:rPr>
          <w:rFonts w:hint="eastAsia" w:ascii="Arial Unicode MS" w:hAnsi="Arial Unicode MS" w:eastAsia="Arial Unicode MS" w:cs="Arial Unicode MS"/>
          <w:b w:val="0"/>
          <w:bCs/>
          <w:spacing w:val="-11"/>
          <w:sz w:val="44"/>
          <w:szCs w:val="44"/>
        </w:rPr>
        <w:t>年国民经济和社会发展统计公报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 w:val="0"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 w:val="0"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2021年，面对严峻复杂的国内外环境以及新冠肺炎疫情叠加冲击，全县上下全面贯彻党的十九大和十九届历次全会精神，弘扬伟大建党精神，认真贯彻落实中央、自治区、市委、县委、政府决策部署，坚持稳中求进工作总基调，坚定践行新发展理念，科学统筹推进疫情防控和经济社会发展工作,扎实做好“六稳”工作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全面落实“六保”任务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完整、准确、全面贯彻新发展理念，经济运行稳定向好，民生保障有力有效，转型发展高质量发展取得新成效，实现了“十四五”良好开局。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一、综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经初步核算，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地区生产总值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201.42亿元，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其中，第一产业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27.82亿元，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%；第二产业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102.72亿元，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%；第三产业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70.88亿元，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三次产业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构成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51.0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35.2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对经济增长的贡率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分别为: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4.73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％、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52.84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％、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42.43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图1：2017-2021年全县地区生产总值及增速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166370</wp:posOffset>
            </wp:positionV>
            <wp:extent cx="5276850" cy="3065145"/>
            <wp:effectExtent l="4445" t="4445" r="14605" b="16510"/>
            <wp:wrapTopAndBottom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图2：2017-2021年全县三次产业增加值占地区生产总值比重</w:t>
      </w:r>
    </w:p>
    <w:p>
      <w:pPr>
        <w:pStyle w:val="10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27305</wp:posOffset>
            </wp:positionV>
            <wp:extent cx="5276850" cy="2583815"/>
            <wp:effectExtent l="4445" t="4445" r="14605" b="21590"/>
            <wp:wrapTopAndBottom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表一：2021年全县生产总值及增速</w:t>
      </w:r>
    </w:p>
    <w:tbl>
      <w:tblPr>
        <w:tblStyle w:val="11"/>
        <w:tblW w:w="845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2529"/>
        <w:gridCol w:w="28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  标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绝对值（万元）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比上年增长（%）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地区生产总值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2014241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firstLine="241" w:firstLineChars="1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农林牧渔业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287281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firstLine="241" w:firstLineChars="1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904265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firstLine="241" w:firstLineChars="1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122976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firstLine="241" w:firstLineChars="1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67941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firstLine="241" w:firstLineChars="1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81636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firstLine="241" w:firstLineChars="1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17806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firstLine="241" w:firstLineChars="1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68985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firstLine="241" w:firstLineChars="1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46866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ind w:firstLine="241" w:firstLineChars="1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416484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第一产业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278162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第二产业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1027241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第三产业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708839</w:t>
            </w:r>
          </w:p>
        </w:tc>
        <w:tc>
          <w:tcPr>
            <w:tcW w:w="28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  <w:t>年末全县常住总人口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  <w:lang w:val="en-US" w:eastAsia="zh-CN"/>
        </w:rPr>
        <w:t>27.5万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  <w:t>人，其中城镇人口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  <w:lang w:val="en-US" w:eastAsia="zh-CN"/>
        </w:rPr>
        <w:t>16.7万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  <w:t>人，乡村人口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  <w:lang w:val="en-US" w:eastAsia="zh-CN"/>
        </w:rPr>
        <w:t>10.8万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  <w:t>人，城镇化率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  <w:lang w:val="en-US" w:eastAsia="zh-CN"/>
        </w:rPr>
        <w:t>60.73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比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提高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val="en-US" w:eastAsia="zh-CN"/>
        </w:rPr>
        <w:t>1.12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个百分点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全年出生人口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0.34万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人，人口出生率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死亡人口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0.22万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人，人口死亡率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‰，人口自然增长率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‰。</w:t>
      </w:r>
    </w:p>
    <w:p>
      <w:pPr>
        <w:pStyle w:val="10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表二：</w:t>
      </w:r>
      <w:r>
        <w:rPr>
          <w:rFonts w:hint="default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年年末</w:t>
      </w: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平罗县</w:t>
      </w:r>
      <w:r>
        <w:rPr>
          <w:rFonts w:hint="default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人口数及构成</w:t>
      </w:r>
    </w:p>
    <w:tbl>
      <w:tblPr>
        <w:tblStyle w:val="11"/>
        <w:tblW w:w="8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904"/>
        <w:gridCol w:w="2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26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  标</w:t>
            </w:r>
          </w:p>
        </w:tc>
        <w:tc>
          <w:tcPr>
            <w:tcW w:w="2904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年末数（万人）</w:t>
            </w:r>
          </w:p>
        </w:tc>
        <w:tc>
          <w:tcPr>
            <w:tcW w:w="274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比重（%）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常住人口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其中：城镇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其中：汉族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17.23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10.16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其他民族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其中：男性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26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49.09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  <w:t>全年城镇新增就业人员1999人,比上年增加286人。城镇失业人员实现再就业人数752人,比上年减少235人。年末全县城镇登记失业率为3.78%,比上年上升0.07%。创业培训人数918人,技能培训人数10136人。创造新岗位3499个,创业担保贷款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  <w:lang w:val="en-US" w:eastAsia="zh-CN"/>
        </w:rPr>
        <w:t>0.57亿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  <w:t>元，全年农村劳动力转移就业人数22655人,实现工资收入2.64亿元。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iCs/>
          <w:color w:val="auto"/>
          <w:sz w:val="32"/>
          <w:szCs w:val="32"/>
        </w:rPr>
        <w:t>居民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消费价格总水平比上年上涨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%。服务价格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比上年上涨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%；商品零售价格上涨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beforeAutospacing="0" w:afterAutospacing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二、农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全年完成农林牧渔业总产值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其中，农业总产值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%；林业总产值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%；牧业总产值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%；渔业总产值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%；农林牧渔服务业总产值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topLinePunct w:val="0"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粮食作物播种面积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4952"/>
          <w:spacing w:val="0"/>
          <w:sz w:val="32"/>
          <w:szCs w:val="32"/>
          <w:shd w:val="clear" w:color="auto" w:fill="FFFFFF"/>
        </w:rPr>
        <w:t>其中，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小麦种植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面积为8.76万亩，下降31.4%；水稻种植面积为24.97万亩，下降0.9%；玉米种植面积为45.14万亩，增长8.8%。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蔬菜播种面积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12.08万亩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全年粮食总产量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小麦产量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%；水稻产量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%；玉米产量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%。蔬菜产量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年末牛存栏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出栏3.34万头，下降15.4%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生猪存栏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出栏5.3万头，增长9.4%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羊存栏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；出栏45.0万只，增长16.3%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家禽存栏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；出栏101.9万只，下降34.3%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肉类总产量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禽蛋产量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牛奶产量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167.7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0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图3：全县2017-2021年粮食产量图（万吨）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55245</wp:posOffset>
            </wp:positionV>
            <wp:extent cx="5041900" cy="2255520"/>
            <wp:effectExtent l="0" t="0" r="6350" b="11430"/>
            <wp:wrapTopAndBottom/>
            <wp:docPr id="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7"/>
                    <a:srcRect l="510" t="1254" r="795" b="1907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</w:rPr>
        <w:t>三、工业</w:t>
      </w:r>
      <w:r>
        <w:rPr>
          <w:rFonts w:hint="eastAsia" w:ascii="黑体" w:hAnsi="黑体" w:eastAsia="黑体" w:cs="黑体"/>
          <w:lang w:eastAsia="zh-CN"/>
        </w:rPr>
        <w:t>和建筑业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全县工业增加值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%，其中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规模以上工业企业增加值增长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实现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营业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642.51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增长52.8%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实现利润总额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91.64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增长79.9%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亏损企业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户，亏损额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11.14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下降3.6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主要工业产品产量增减情况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：饮料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2.94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%；大米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下降36.4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 ；活性炭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24.14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增长3.7%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；铁合金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205.38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增长11.8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 ；石墨及碳素制品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33.40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下降34.0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%；饲料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3.55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增长122.5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碳化钙（电石，折300升/千克）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170.56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增长32.1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 ；化学试剂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0.38万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下降4.2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%；硫酸（折100％）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8.31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下降0.7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 ；合成纤维聚合物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7.88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下降30.0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 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化学农药原药（折有效成分100％）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2.90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增长42.3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 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橡胶轮胎外胎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122.62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增长20.5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%；商品混凝土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21.81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万立方米，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下降11.7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 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精甲醇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4.04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增长9.0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 ；钢结构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增长51.5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%；环境污染防治专用设备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台（套），下降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60.0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%；水泥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77.04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下降8.9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%；合成氨（无水氨）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5.97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下降16.7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%；化学药品原药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1.19万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增长8.1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甲醛1.28万吨，增长25.2%;精制食用植物油0.28万吨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增长12.1%；石灰53.90万吨，增长83.4%；隔热、隔音人造矿物材料及制品5.69万吨，增长15.4%。</w:t>
      </w:r>
    </w:p>
    <w:p>
      <w:pPr>
        <w:pStyle w:val="10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表三：2021年全县主要工业产品产量及增速</w:t>
      </w:r>
    </w:p>
    <w:tbl>
      <w:tblPr>
        <w:tblStyle w:val="11"/>
        <w:tblW w:w="83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1"/>
        <w:gridCol w:w="1241"/>
        <w:gridCol w:w="1152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产量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同比增长（%）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小麦粉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0.64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18.1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大米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4.20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-36.4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饲料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3.55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122.5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精制食用植物油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0.28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12.1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饲料添加剂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0.07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-32.0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饮料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2.94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-0.9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人造板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万立方米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2.06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-23.7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硫酸（折100％）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8.31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-0.7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碳化钙（电石，折300升/千克）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170.56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32.1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甲醛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1.28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25.2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精甲醇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4.04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合成氨（无水氨）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5.97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-16.7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化学农药原药（折有效成分100％）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2.90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42.3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合成纤维聚合物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7.88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-30.0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化学试剂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0.38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活性炭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24.14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3.7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化学药品原药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1.19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8.1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橡胶轮胎外胎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122.62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20.5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硅酸盐水泥熟料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119.38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-11.0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水泥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77.04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-8.9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石灰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53.90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83.4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商品混凝土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万立方米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21.81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-11.7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隔热、隔音人造矿物材料及其制品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5.69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15.4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玻璃纤维布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3515.90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石墨及碳素制品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33.40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-34.0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生铁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7.15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-36.8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铁合金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205.38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11.8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钢结构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0.87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51.5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铸铁件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1.04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785.0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环境污染防治专用设备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台（套）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-60.0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全县共有资质等级的建筑企业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家,全年完成建筑业总产值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3.97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29.3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亏损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7.3倍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；建筑业企业房屋建筑施工面积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26.55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万平方米，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40.3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line="56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四、</w:t>
      </w:r>
      <w:r>
        <w:rPr>
          <w:rFonts w:hint="eastAsia" w:ascii="黑体" w:hAnsi="黑体" w:eastAsia="黑体" w:cs="黑体"/>
        </w:rPr>
        <w:t>固定资产投资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全社会完成固定资产投资同比下降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%，其中，县属投资完成增长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%，第一产业完成投资增长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46.9%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；第二产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业完成投资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%；第三产业完成投资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57.8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%；房地产开发投资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；国有投资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31.4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%，民间投资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%。全年商品房销售面积</w:t>
      </w:r>
      <w:r>
        <w:rPr>
          <w:rFonts w:hint="eastAsia" w:cs="仿宋_GB2312"/>
          <w:color w:val="auto"/>
          <w:kern w:val="0"/>
          <w:sz w:val="32"/>
          <w:szCs w:val="32"/>
          <w:lang w:val="en-US" w:eastAsia="zh-CN"/>
        </w:rPr>
        <w:t>16.84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万平方米，</w:t>
      </w:r>
      <w:r>
        <w:rPr>
          <w:rFonts w:hint="eastAsia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cs="仿宋_GB2312"/>
          <w:color w:val="auto"/>
          <w:kern w:val="0"/>
          <w:sz w:val="32"/>
          <w:szCs w:val="32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%；商品房销售额</w:t>
      </w:r>
      <w:r>
        <w:rPr>
          <w:rFonts w:hint="eastAsia" w:cs="仿宋_GB2312"/>
          <w:color w:val="auto"/>
          <w:kern w:val="0"/>
          <w:sz w:val="32"/>
          <w:szCs w:val="32"/>
          <w:lang w:val="en-US" w:eastAsia="zh-CN"/>
        </w:rPr>
        <w:t>5.84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亿元，</w:t>
      </w:r>
      <w:r>
        <w:rPr>
          <w:rFonts w:hint="eastAsia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cs="仿宋_GB2312"/>
          <w:color w:val="auto"/>
          <w:kern w:val="0"/>
          <w:sz w:val="32"/>
          <w:szCs w:val="32"/>
          <w:lang w:val="en-US" w:eastAsia="zh-CN"/>
        </w:rPr>
        <w:t>7.8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%。</w:t>
      </w:r>
    </w:p>
    <w:p>
      <w:pPr>
        <w:pStyle w:val="10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表四：2021年全县房地产开发和销售主要指标及增速</w:t>
      </w:r>
    </w:p>
    <w:tbl>
      <w:tblPr>
        <w:tblStyle w:val="11"/>
        <w:tblW w:w="819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600"/>
        <w:gridCol w:w="1790"/>
        <w:gridCol w:w="1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指  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绝对值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同比增长（%）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房地产开发投资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亿元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-7.0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房屋施工面积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万平方米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126.57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-5.3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其中：住宅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万平方米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62.85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-7.3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其中：本年新开工面积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万平方米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12.41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-34.1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房屋竣工面积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万平方米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20.37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32.2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其中：住宅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万平方米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19.06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47.0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商品房销售面积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万平方米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16.84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其中：住宅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万平方米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15.92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商品房待售面积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万平方米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25.66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其中：住宅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万平方米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13.82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商品房销售额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亿元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5.84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其中：住宅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亿元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5.48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46.1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本年实际到位资金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亿元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2.07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68.0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其中：自筹资金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亿元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-100.0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     定金及预收款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亿元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1.44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171.5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     个人按揭贷款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亿元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0.48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     其他资金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亿元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-23.3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line="56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五、交通运输业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年末，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公路通车里程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1646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公里；高速公路里程数</w:t>
      </w:r>
      <w:r>
        <w:rPr>
          <w:rFonts w:hint="eastAsia" w:ascii="仿宋_GB2312" w:hAnsi="仿宋_GB2312" w:eastAsia="仿宋_GB2312" w:cs="仿宋_GB2312"/>
          <w:color w:val="auto"/>
          <w:spacing w:val="-28"/>
          <w:kern w:val="0"/>
          <w:sz w:val="32"/>
          <w:szCs w:val="32"/>
          <w:lang w:val="en-US" w:eastAsia="zh-CN"/>
        </w:rPr>
        <w:t>72.7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公里；全年旅客运输量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10.45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万人；载货汽车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6176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辆，其中：普通载货汽车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5027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辆，危险货物运输车辆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1149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辆；载客汽车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675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辆，其中：出租车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431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辆，公交车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辆</w:t>
      </w:r>
      <w:r>
        <w:rPr>
          <w:rFonts w:hint="eastAsia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线路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条，校</w:t>
      </w:r>
      <w:r>
        <w:rPr>
          <w:rFonts w:hint="eastAsia" w:ascii="仿宋_GB2312" w:hAnsi="仿宋_GB2312" w:eastAsia="仿宋_GB2312" w:cs="仿宋_GB2312"/>
          <w:color w:val="auto"/>
          <w:spacing w:val="-40"/>
          <w:kern w:val="0"/>
          <w:sz w:val="32"/>
          <w:szCs w:val="32"/>
        </w:rPr>
        <w:t>车</w:t>
      </w:r>
      <w:r>
        <w:rPr>
          <w:rFonts w:hint="eastAsia" w:cs="仿宋_GB2312"/>
          <w:color w:val="auto"/>
          <w:spacing w:val="-34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辆，班线车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line="56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六、国内贸易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全年社会消费品零售总额33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.10亿元，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％。分城乡看，城镇消费品零售总额28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.50亿元，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％；乡村消费品零售总额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4.60亿元，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4.8%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分行业看，批发业零售总额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9.50亿元，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零售业零售总额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18.51亿元，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住宿业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营业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2572万元，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餐饮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业营业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4.83亿元，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分经济类型看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国有经济零售额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0.26亿元，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股份制经济零售额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4.76亿元，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33.4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集体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零售额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951万元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私营经济零售额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7.06亿元，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个体经济零售额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20.52亿元，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图4：全县2017-2021年社会消费品零售总额及增速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110490</wp:posOffset>
            </wp:positionV>
            <wp:extent cx="5276850" cy="3181350"/>
            <wp:effectExtent l="5080" t="4445" r="13970" b="14605"/>
            <wp:wrapTopAndBottom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年接待游客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万人次（含沙湖）</w:t>
      </w:r>
      <w:r>
        <w:rPr>
          <w:rFonts w:hint="eastAsia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实现旅游总收入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line="56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七、财政、金融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全年实现财政总收入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%。地方财政收入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％，完成地方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一般公共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％。全年地方财政总支出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37.83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％。公共财政预算支出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36.80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用于一般公共服务支出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用于教育支出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用于公共安全支出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用于节能环保支出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用于城乡社区事务支出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用于农林水事务支出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图5：2017-2021年全县地方一般公共预算收入及增速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67945</wp:posOffset>
            </wp:positionV>
            <wp:extent cx="5276850" cy="3105150"/>
            <wp:effectExtent l="4445" t="4445" r="14605" b="14605"/>
            <wp:wrapTopAndBottom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图6：2017-2021年全县地方一般公共预算支出及增速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132715</wp:posOffset>
            </wp:positionV>
            <wp:extent cx="5276850" cy="3105150"/>
            <wp:effectExtent l="4445" t="4445" r="14605" b="14605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年末金融机构各项存款余额为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居民储蓄存款余额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％。各项贷款余额为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124.24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0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表五：2021年年末全县金融机构存贷款余额及增速</w:t>
      </w:r>
    </w:p>
    <w:tbl>
      <w:tblPr>
        <w:tblStyle w:val="11"/>
        <w:tblW w:w="83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2521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7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指  标</w:t>
            </w:r>
          </w:p>
        </w:tc>
        <w:tc>
          <w:tcPr>
            <w:tcW w:w="252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年末数（亿元）</w:t>
            </w:r>
          </w:p>
        </w:tc>
        <w:tc>
          <w:tcPr>
            <w:tcW w:w="2316" w:type="dxa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79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人民币各项存款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177.26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79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其中：住户存款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138.26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79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18"/>
                <w:rFonts w:hint="eastAsia" w:ascii="楷体" w:hAnsi="楷体" w:eastAsia="楷体" w:cs="楷体"/>
                <w:b/>
                <w:bCs/>
                <w:lang w:val="en-US" w:eastAsia="zh-CN" w:bidi="ar"/>
              </w:rPr>
              <w:t>非金融企业存款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20.32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79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机关团体及财政性存款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18.64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79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人民币各项贷款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124.24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79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8"/>
                <w:rFonts w:hint="eastAsia" w:ascii="楷体" w:hAnsi="楷体" w:eastAsia="楷体" w:cs="楷体"/>
                <w:b/>
                <w:bCs/>
                <w:lang w:val="en-US" w:eastAsia="zh-CN" w:bidi="ar"/>
              </w:rPr>
              <w:t>其中：住户贷款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49.37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79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18"/>
                <w:rFonts w:hint="eastAsia" w:ascii="楷体" w:hAnsi="楷体" w:eastAsia="楷体" w:cs="楷体"/>
                <w:b/>
                <w:bCs/>
                <w:lang w:val="en-US" w:eastAsia="zh-CN" w:bidi="ar"/>
              </w:rPr>
              <w:t>企（事）业单位贷款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line="56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八、教育、文化、卫生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年末全县共有幼儿园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所，其中公办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所(其中：校中园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所)，民办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所，在园幼儿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人，教职工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,全县学前教育毛入园率为95.5%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普通小学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18586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人，专任教师数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，小学学龄人口入学率为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所，其中高级中学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所，初级中学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所，九年一贯制学校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16602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人，专任教师数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，初中阶段毛入学率为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高中阶段毛入学率为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94.1%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，九年义务教育巩固率为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99.47%。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中等职业教育学校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年末全县拥有文化馆14个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其中文化馆1个</w:t>
      </w:r>
      <w:r>
        <w:rPr>
          <w:rFonts w:hint="eastAsia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分馆13个</w:t>
      </w:r>
      <w:r>
        <w:rPr>
          <w:rFonts w:hint="eastAsia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档案馆1个、影院2个、博物馆3个、公共图书馆4个其中县级图书馆1个，分馆3个。公共图书馆藏书12.6万册。广播电视台1座，广播综合人口覆盖率100%，有线电视数字用户35073户，电视综合人口覆盖率100%。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年末全县共有医疗卫生机构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个，其中：医院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个、乡镇卫生院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个、社区卫生服务站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个、妇幼保健计划生育服务中心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个、健康体检中心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疾病预防控制中心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个、卫生监督所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个、村级卫生室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个。医疗卫生机构共有床位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张；卫生技术人员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人，执业（助理）医师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人，注册护士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beforeAutospacing="0" w:afterAutospacing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九、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居民收入消费和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社会保障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年，全县城镇居民人均可支配收入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32299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扣除价格因素，实际增长8.2%。其中，人均工资性收入19041元，增长11.2%；人均经营净收入5847元，增长8.8%；人均财产净收入581元，下降43.2%；人均转移净收入6830元，增长10.8%。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城镇居民人均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生活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消费支出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17621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同比增长</w:t>
      </w:r>
      <w:r>
        <w:rPr>
          <w:rFonts w:hint="eastAsia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，其中，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用于食品消费支出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4755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19.0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%；衣着类支出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1131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%；居住类支出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3221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%；生活用品及服务支出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10.9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%；医疗保健支出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1912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32.2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教育文化娱乐消费支出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1862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18.2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交通和通讯支出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2275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</w:t>
      </w:r>
      <w:r>
        <w:rPr>
          <w:rFonts w:hint="eastAsia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其他商品和服务支出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296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增长19.4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both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图7：2017-2021年全县城镇居民人均可支配收入及增速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3133090</wp:posOffset>
            </wp:positionV>
            <wp:extent cx="5402580" cy="2400300"/>
            <wp:effectExtent l="4445" t="4445" r="22225" b="14605"/>
            <wp:wrapSquare wrapText="bothSides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27940</wp:posOffset>
            </wp:positionV>
            <wp:extent cx="5320030" cy="2629535"/>
            <wp:effectExtent l="0" t="0" r="13970" b="18415"/>
            <wp:wrapSquare wrapText="bothSides"/>
            <wp:docPr id="9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/>
                  </pic:nvPicPr>
                  <pic:blipFill>
                    <a:blip r:embed="rId12"/>
                    <a:srcRect l="395" t="854" r="876" b="2072"/>
                    <a:stretch>
                      <a:fillRect/>
                    </a:stretch>
                  </pic:blipFill>
                  <pic:spPr>
                    <a:xfrm>
                      <a:off x="0" y="0"/>
                      <a:ext cx="532003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图8：2021年全县城镇居民人均生活消费支出及其构成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全年农村居民人均可支配收入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18984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元,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扣除价格因素，实际增长12.1%。其中，人均工资性收入4314元，增长17.8%；人均经营净收入10665元，增长14.0%；人均财产净收入158元，下降58.8%；人均转移净收入3079元，增长8.4%。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农民人均生活消费支出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13475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15.9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，其中，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食品烟酒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类消费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4205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17.3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%；交通通信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类消费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10.9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教育文化娱乐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消费支出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医疗保健消费支出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2167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31.4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衣着消费支出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857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与去年同期基本持平；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居住类消费支出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2397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%；生活用品及服务类消费支出为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872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其他商品和服务支出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增长10.7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图9：2017-2021年全县农村居民人均可支配收入及增速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107315</wp:posOffset>
            </wp:positionV>
            <wp:extent cx="5233670" cy="2444750"/>
            <wp:effectExtent l="0" t="0" r="5080" b="12700"/>
            <wp:wrapTopAndBottom/>
            <wp:docPr id="10" name="图表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表 1"/>
                    <pic:cNvPicPr/>
                  </pic:nvPicPr>
                  <pic:blipFill>
                    <a:blip r:embed="rId13"/>
                    <a:srcRect l="876" t="1730" r="587" b="241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楷体_GB2312" w:cs="Times New Roman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图10：2021年全县农村居民人均消费支出及其构成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75565</wp:posOffset>
            </wp:positionV>
            <wp:extent cx="5272405" cy="2724150"/>
            <wp:effectExtent l="4445" t="4445" r="19050" b="14605"/>
            <wp:wrapTopAndBottom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年,全县参加基本养老保险人数为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121902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人,其中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企业参保职工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80324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人（含离退休人员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26423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人）；城乡居民参保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102816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人（含60岁以上享受待遇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25231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人）；机关事业单位参保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11062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人（含离退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4440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参加失业保险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21875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人。参加医疗保险人数为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299395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人，其中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参加城镇职工基本医疗保险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47025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人（含离退休人员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11067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人），城乡居民参保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252370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年末，全县拥有养老服务机构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个，其中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公办养老服务机构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个，设置床位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460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张，供养五保老人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人。全县集中供养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人，散居供养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437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人。享受城市最低生活保障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1079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人，全年累计发放城市最低生活保障金和各类补贴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790.19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万元；享受农村最低生活保障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10116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人，全年累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发放农村最低生活保障金和各类补贴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326.43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60"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十、资源、环境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和应急管理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全县全年能源消费总量为859.74万吨标准煤（等价值），比上年增长2.4%，单位地区生产总值能耗同比下降4.9%。其中，规模以上工业能源消费总量816.45万吨标准煤，同比增长2.2%，单位工业增加值能耗同比下降12.5%。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城市拥有道路长度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93.83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公里,道路面积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318.39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万平方米。全年供水总量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万立方米,集中供热面积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万平方米,液化石油供气总量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吨,天燃气供气总量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5455万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立方米。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平罗县共完成营造林面积3.31万亩，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森林抚育面积1万亩，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草原生态修复面积2.5万亩，湿地保护修复3.07万亩，恢复湿地8.04万亩。建成区绿化覆盖率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%,建成区绿地率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%,城市人均公园绿地面积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10.46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平方米。生活垃圾无害化处理率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全县空气质量好于和达到二级的天数为276天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比例为75.5%，细微颗粒（PM2.5）平均浓度为27微克/立方米，比上年下降18.2%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可吸入颗粒物（PM10）平均浓度为73微克/立方米，下降7.6%。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共发生生产安全事故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</w:t>
      </w:r>
      <w:r>
        <w:rPr>
          <w:rFonts w:hint="eastAsia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死亡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  <w:r>
        <w:rPr>
          <w:rFonts w:hint="eastAsia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</w:t>
      </w:r>
      <w:r>
        <w:rPr>
          <w:rFonts w:hint="eastAsia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工矿商贸事故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</w:t>
      </w:r>
      <w:r>
        <w:rPr>
          <w:rFonts w:hint="eastAsia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死亡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  <w:r>
        <w:rPr>
          <w:rFonts w:hint="eastAsia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交通道路事故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</w:t>
      </w:r>
      <w:r>
        <w:rPr>
          <w:rFonts w:hint="eastAsia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死亡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人。全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亿元GDP 生产安全事故死亡人数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1、本公报各项统计数据为初步统计数,正式数据以《20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平罗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统计年鉴》为准。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2、公报中地区生产总值、各产业增加值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绝对量按现价计算，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增长速度按可比价计算。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992" w:gutter="0"/>
      <w:pgNumType w:fmt="numberInDash"/>
      <w:cols w:space="0" w:num="1"/>
      <w:docGrid w:type="lines" w:linePitch="45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C530C6-97EF-4E18-B80D-746D32C4AC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39FF57-F13F-403A-932B-FDEAED3758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E789E48B-CD4B-4797-AD89-5DE5F1EE4D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888357D-D5F8-4E59-9A20-7191B74C56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0D3F77E-0361-4677-A710-196822A966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mJiZDFmMTQ1ZTRiODU2ODY5NGE3ZjgwZjNiM2YifQ=="/>
  </w:docVars>
  <w:rsids>
    <w:rsidRoot w:val="165600B6"/>
    <w:rsid w:val="001C7405"/>
    <w:rsid w:val="00403349"/>
    <w:rsid w:val="004E78F5"/>
    <w:rsid w:val="00B647B7"/>
    <w:rsid w:val="00B861CB"/>
    <w:rsid w:val="00C826DE"/>
    <w:rsid w:val="00D923AB"/>
    <w:rsid w:val="02A7073A"/>
    <w:rsid w:val="030042D6"/>
    <w:rsid w:val="036D5450"/>
    <w:rsid w:val="03AB3D3F"/>
    <w:rsid w:val="05860158"/>
    <w:rsid w:val="05BD5D2B"/>
    <w:rsid w:val="06237483"/>
    <w:rsid w:val="0774295E"/>
    <w:rsid w:val="0797489E"/>
    <w:rsid w:val="07C87641"/>
    <w:rsid w:val="08593C31"/>
    <w:rsid w:val="08B734FA"/>
    <w:rsid w:val="08C90A87"/>
    <w:rsid w:val="08E61546"/>
    <w:rsid w:val="09583939"/>
    <w:rsid w:val="0A8660AF"/>
    <w:rsid w:val="0C0B7192"/>
    <w:rsid w:val="0C1FEBF6"/>
    <w:rsid w:val="0C9137FF"/>
    <w:rsid w:val="0D864BC8"/>
    <w:rsid w:val="0E3A5D72"/>
    <w:rsid w:val="0FF6DE0A"/>
    <w:rsid w:val="0FFEACFA"/>
    <w:rsid w:val="10080345"/>
    <w:rsid w:val="10E01064"/>
    <w:rsid w:val="131D088B"/>
    <w:rsid w:val="13357C3E"/>
    <w:rsid w:val="142A2F4A"/>
    <w:rsid w:val="149A6390"/>
    <w:rsid w:val="14D6605E"/>
    <w:rsid w:val="14E76E65"/>
    <w:rsid w:val="156402CE"/>
    <w:rsid w:val="16074319"/>
    <w:rsid w:val="161D7D27"/>
    <w:rsid w:val="165600B6"/>
    <w:rsid w:val="16A9014A"/>
    <w:rsid w:val="17525724"/>
    <w:rsid w:val="17951661"/>
    <w:rsid w:val="18A363EF"/>
    <w:rsid w:val="196D178F"/>
    <w:rsid w:val="1A103211"/>
    <w:rsid w:val="1A32518E"/>
    <w:rsid w:val="1BE063BC"/>
    <w:rsid w:val="1D436EAD"/>
    <w:rsid w:val="1E956486"/>
    <w:rsid w:val="1E9B0448"/>
    <w:rsid w:val="1EEFCBCD"/>
    <w:rsid w:val="1F427E7B"/>
    <w:rsid w:val="1F471D7B"/>
    <w:rsid w:val="1FCA360B"/>
    <w:rsid w:val="1FDC7AC4"/>
    <w:rsid w:val="2076364B"/>
    <w:rsid w:val="21C324EF"/>
    <w:rsid w:val="22BC2782"/>
    <w:rsid w:val="250250F9"/>
    <w:rsid w:val="25C4661A"/>
    <w:rsid w:val="26A6488F"/>
    <w:rsid w:val="26B902EA"/>
    <w:rsid w:val="270E4E25"/>
    <w:rsid w:val="272F01AC"/>
    <w:rsid w:val="27985D9D"/>
    <w:rsid w:val="27FBE94A"/>
    <w:rsid w:val="281278AA"/>
    <w:rsid w:val="283F0AEF"/>
    <w:rsid w:val="28A36BC5"/>
    <w:rsid w:val="28EFF973"/>
    <w:rsid w:val="29001746"/>
    <w:rsid w:val="2A72718C"/>
    <w:rsid w:val="2B3B073D"/>
    <w:rsid w:val="2BE32A3F"/>
    <w:rsid w:val="2BFCAD72"/>
    <w:rsid w:val="2C316A77"/>
    <w:rsid w:val="2C670BFE"/>
    <w:rsid w:val="2DCC7F48"/>
    <w:rsid w:val="2E69E772"/>
    <w:rsid w:val="2EF63958"/>
    <w:rsid w:val="2EFB23CC"/>
    <w:rsid w:val="302F212D"/>
    <w:rsid w:val="31141243"/>
    <w:rsid w:val="32F70437"/>
    <w:rsid w:val="33817DB5"/>
    <w:rsid w:val="377B4D0C"/>
    <w:rsid w:val="37DC9E13"/>
    <w:rsid w:val="37FF0B70"/>
    <w:rsid w:val="3881462B"/>
    <w:rsid w:val="38A87E0A"/>
    <w:rsid w:val="38CB1498"/>
    <w:rsid w:val="38D897DE"/>
    <w:rsid w:val="39417C72"/>
    <w:rsid w:val="3B1F0963"/>
    <w:rsid w:val="3B7900D3"/>
    <w:rsid w:val="3BBF884B"/>
    <w:rsid w:val="3BE6FCC6"/>
    <w:rsid w:val="3C596660"/>
    <w:rsid w:val="3DAE3DBC"/>
    <w:rsid w:val="3E31355D"/>
    <w:rsid w:val="3E57D034"/>
    <w:rsid w:val="3E7F394F"/>
    <w:rsid w:val="3EDEDD17"/>
    <w:rsid w:val="3F650802"/>
    <w:rsid w:val="3F7A95BD"/>
    <w:rsid w:val="3FD61706"/>
    <w:rsid w:val="3FEF2880"/>
    <w:rsid w:val="3FEF78B8"/>
    <w:rsid w:val="3FFD6F49"/>
    <w:rsid w:val="407D18F8"/>
    <w:rsid w:val="40911E73"/>
    <w:rsid w:val="40F262B1"/>
    <w:rsid w:val="418F3997"/>
    <w:rsid w:val="41C4274A"/>
    <w:rsid w:val="41C62A06"/>
    <w:rsid w:val="42055C99"/>
    <w:rsid w:val="43D41665"/>
    <w:rsid w:val="45B37608"/>
    <w:rsid w:val="465D156F"/>
    <w:rsid w:val="477F1A8B"/>
    <w:rsid w:val="478A776A"/>
    <w:rsid w:val="47AB403B"/>
    <w:rsid w:val="48A5502D"/>
    <w:rsid w:val="48D340B8"/>
    <w:rsid w:val="49316C3B"/>
    <w:rsid w:val="4A460D95"/>
    <w:rsid w:val="4A9AD47D"/>
    <w:rsid w:val="4BFE454D"/>
    <w:rsid w:val="4C0C0983"/>
    <w:rsid w:val="4C6D1DDC"/>
    <w:rsid w:val="4C7F1319"/>
    <w:rsid w:val="4C8F6C95"/>
    <w:rsid w:val="4CB11CB3"/>
    <w:rsid w:val="4DD25726"/>
    <w:rsid w:val="4E320449"/>
    <w:rsid w:val="4E6153A4"/>
    <w:rsid w:val="4EC015B1"/>
    <w:rsid w:val="5071538B"/>
    <w:rsid w:val="50AB600C"/>
    <w:rsid w:val="517274D4"/>
    <w:rsid w:val="52647DE8"/>
    <w:rsid w:val="52D81154"/>
    <w:rsid w:val="539B2E8F"/>
    <w:rsid w:val="53D16593"/>
    <w:rsid w:val="53E73A84"/>
    <w:rsid w:val="54606B0E"/>
    <w:rsid w:val="54E07E2C"/>
    <w:rsid w:val="55F37ACA"/>
    <w:rsid w:val="561171F3"/>
    <w:rsid w:val="56C71ADF"/>
    <w:rsid w:val="56D640C3"/>
    <w:rsid w:val="57F72E1F"/>
    <w:rsid w:val="590B40CF"/>
    <w:rsid w:val="59C53295"/>
    <w:rsid w:val="59CA1F1B"/>
    <w:rsid w:val="59CC28D8"/>
    <w:rsid w:val="5BB26D5A"/>
    <w:rsid w:val="5BB774E0"/>
    <w:rsid w:val="5BE42AE4"/>
    <w:rsid w:val="5BFB65D7"/>
    <w:rsid w:val="5C4354C6"/>
    <w:rsid w:val="5DF23D15"/>
    <w:rsid w:val="5E8A7C84"/>
    <w:rsid w:val="5EDB2D09"/>
    <w:rsid w:val="5EFC3780"/>
    <w:rsid w:val="60673DB9"/>
    <w:rsid w:val="612C6774"/>
    <w:rsid w:val="617D66C8"/>
    <w:rsid w:val="64B92960"/>
    <w:rsid w:val="658FD43B"/>
    <w:rsid w:val="67697DFF"/>
    <w:rsid w:val="69875A23"/>
    <w:rsid w:val="69B87AAD"/>
    <w:rsid w:val="6A465CBF"/>
    <w:rsid w:val="6B2C1F75"/>
    <w:rsid w:val="6B9740AD"/>
    <w:rsid w:val="6D3DA9C6"/>
    <w:rsid w:val="6D54535E"/>
    <w:rsid w:val="6D842F03"/>
    <w:rsid w:val="6D8819DC"/>
    <w:rsid w:val="6DA43870"/>
    <w:rsid w:val="6DDD194B"/>
    <w:rsid w:val="6DF79FA2"/>
    <w:rsid w:val="6EFE9648"/>
    <w:rsid w:val="6F1960EF"/>
    <w:rsid w:val="6F5A37E6"/>
    <w:rsid w:val="6F7D63B8"/>
    <w:rsid w:val="6F7DE605"/>
    <w:rsid w:val="6F7F6D6A"/>
    <w:rsid w:val="6FF7B452"/>
    <w:rsid w:val="6FFF44E8"/>
    <w:rsid w:val="6FFF4702"/>
    <w:rsid w:val="6FFFF8CE"/>
    <w:rsid w:val="706933FF"/>
    <w:rsid w:val="708B51E4"/>
    <w:rsid w:val="70D600C6"/>
    <w:rsid w:val="71AA0173"/>
    <w:rsid w:val="7224305C"/>
    <w:rsid w:val="733969EF"/>
    <w:rsid w:val="73724175"/>
    <w:rsid w:val="73CF9878"/>
    <w:rsid w:val="73FAA6FF"/>
    <w:rsid w:val="741751A2"/>
    <w:rsid w:val="74A577F0"/>
    <w:rsid w:val="74D3077F"/>
    <w:rsid w:val="74FB9153"/>
    <w:rsid w:val="750617E2"/>
    <w:rsid w:val="754A6CEA"/>
    <w:rsid w:val="75F5EE20"/>
    <w:rsid w:val="75F75D24"/>
    <w:rsid w:val="76320737"/>
    <w:rsid w:val="76A70C40"/>
    <w:rsid w:val="77148F03"/>
    <w:rsid w:val="77530F9D"/>
    <w:rsid w:val="77BD2658"/>
    <w:rsid w:val="77D6EFE6"/>
    <w:rsid w:val="77FD98F0"/>
    <w:rsid w:val="78FD55AA"/>
    <w:rsid w:val="792B298B"/>
    <w:rsid w:val="79923908"/>
    <w:rsid w:val="799FF799"/>
    <w:rsid w:val="79EEA8E7"/>
    <w:rsid w:val="7A6DDAF6"/>
    <w:rsid w:val="7B8ECF8A"/>
    <w:rsid w:val="7B8FDB74"/>
    <w:rsid w:val="7BE76864"/>
    <w:rsid w:val="7BFC3795"/>
    <w:rsid w:val="7C7BD6EB"/>
    <w:rsid w:val="7D764BE4"/>
    <w:rsid w:val="7D905E0D"/>
    <w:rsid w:val="7DEFEDC8"/>
    <w:rsid w:val="7DF69F3E"/>
    <w:rsid w:val="7E5B5DB5"/>
    <w:rsid w:val="7ECF4F98"/>
    <w:rsid w:val="7F6D2823"/>
    <w:rsid w:val="7F77D1EF"/>
    <w:rsid w:val="7FCE40AA"/>
    <w:rsid w:val="7FD7916C"/>
    <w:rsid w:val="7FD7A076"/>
    <w:rsid w:val="7FDF20E9"/>
    <w:rsid w:val="7FE1537B"/>
    <w:rsid w:val="7FE30ED6"/>
    <w:rsid w:val="7FED99B1"/>
    <w:rsid w:val="7FEE08DE"/>
    <w:rsid w:val="7FF781F5"/>
    <w:rsid w:val="7FFB6738"/>
    <w:rsid w:val="7FFE44AB"/>
    <w:rsid w:val="7FFF40A7"/>
    <w:rsid w:val="7FFFD873"/>
    <w:rsid w:val="8A97C1E4"/>
    <w:rsid w:val="8F3E2B6E"/>
    <w:rsid w:val="97FFDDEE"/>
    <w:rsid w:val="99C7DC25"/>
    <w:rsid w:val="9AF7DA7A"/>
    <w:rsid w:val="9BB2FCD0"/>
    <w:rsid w:val="9DDCC9FE"/>
    <w:rsid w:val="9F4F5386"/>
    <w:rsid w:val="9FAFEF85"/>
    <w:rsid w:val="9FEF3976"/>
    <w:rsid w:val="A05A2B4C"/>
    <w:rsid w:val="A3EA967E"/>
    <w:rsid w:val="A6FBA860"/>
    <w:rsid w:val="AA7FC3C3"/>
    <w:rsid w:val="ACDA8DD2"/>
    <w:rsid w:val="ADBF2AD3"/>
    <w:rsid w:val="AEDF95F9"/>
    <w:rsid w:val="AF3FFB20"/>
    <w:rsid w:val="AFDACECE"/>
    <w:rsid w:val="B1FB0FBB"/>
    <w:rsid w:val="B3D8B1BA"/>
    <w:rsid w:val="B4EF3593"/>
    <w:rsid w:val="B7F3B91E"/>
    <w:rsid w:val="B7FF310A"/>
    <w:rsid w:val="BADEC4CB"/>
    <w:rsid w:val="BB2F907D"/>
    <w:rsid w:val="BBF7746E"/>
    <w:rsid w:val="BCBF60EA"/>
    <w:rsid w:val="BD7F154C"/>
    <w:rsid w:val="BE5FE95E"/>
    <w:rsid w:val="BFB5ED6B"/>
    <w:rsid w:val="BFBF7A95"/>
    <w:rsid w:val="BFEFB3BE"/>
    <w:rsid w:val="BFEFE350"/>
    <w:rsid w:val="BFFD1A6E"/>
    <w:rsid w:val="BFFFAA74"/>
    <w:rsid w:val="CE329E96"/>
    <w:rsid w:val="CF6F3110"/>
    <w:rsid w:val="CF7FBAF4"/>
    <w:rsid w:val="CFD9484D"/>
    <w:rsid w:val="D6FB1A8A"/>
    <w:rsid w:val="DB5F025D"/>
    <w:rsid w:val="DEF90C91"/>
    <w:rsid w:val="DEFF1559"/>
    <w:rsid w:val="DFF7A290"/>
    <w:rsid w:val="DFFDDABF"/>
    <w:rsid w:val="DFFEC639"/>
    <w:rsid w:val="DFFFC4B4"/>
    <w:rsid w:val="E53DFA1A"/>
    <w:rsid w:val="E6FFDF2B"/>
    <w:rsid w:val="E79B571F"/>
    <w:rsid w:val="E7C7EA20"/>
    <w:rsid w:val="EC5A52A1"/>
    <w:rsid w:val="ECEDE5C3"/>
    <w:rsid w:val="EE76DD49"/>
    <w:rsid w:val="EF7FD167"/>
    <w:rsid w:val="F1EDD805"/>
    <w:rsid w:val="F467E9CB"/>
    <w:rsid w:val="F4EF403D"/>
    <w:rsid w:val="F5CFB9F9"/>
    <w:rsid w:val="F5FF9CA4"/>
    <w:rsid w:val="F62FA32D"/>
    <w:rsid w:val="F6EE6AFF"/>
    <w:rsid w:val="F6EF91D7"/>
    <w:rsid w:val="F72FDC74"/>
    <w:rsid w:val="F75E489E"/>
    <w:rsid w:val="F75FC46C"/>
    <w:rsid w:val="F7ADA4A2"/>
    <w:rsid w:val="F7BB8CAC"/>
    <w:rsid w:val="F7DBEAA8"/>
    <w:rsid w:val="F7DD92C5"/>
    <w:rsid w:val="F7EFC334"/>
    <w:rsid w:val="F8E6FFAD"/>
    <w:rsid w:val="F9370640"/>
    <w:rsid w:val="FA757F96"/>
    <w:rsid w:val="FAEF18F8"/>
    <w:rsid w:val="FBC82494"/>
    <w:rsid w:val="FC3CC00A"/>
    <w:rsid w:val="FC77B172"/>
    <w:rsid w:val="FCDFB393"/>
    <w:rsid w:val="FD7BCCBE"/>
    <w:rsid w:val="FDBE7A4C"/>
    <w:rsid w:val="FDEFDCBB"/>
    <w:rsid w:val="FEFF8250"/>
    <w:rsid w:val="FF32C141"/>
    <w:rsid w:val="FF5F5219"/>
    <w:rsid w:val="FF730DD8"/>
    <w:rsid w:val="FF777C59"/>
    <w:rsid w:val="FF8796FC"/>
    <w:rsid w:val="FF9E8CEC"/>
    <w:rsid w:val="FF9F5550"/>
    <w:rsid w:val="FFB73983"/>
    <w:rsid w:val="FFBAF7FF"/>
    <w:rsid w:val="FFCC2D16"/>
    <w:rsid w:val="FFCF781B"/>
    <w:rsid w:val="FFDD109F"/>
    <w:rsid w:val="FFF70930"/>
    <w:rsid w:val="FFF754F8"/>
    <w:rsid w:val="FFF7E92A"/>
    <w:rsid w:val="FFFEBBCE"/>
    <w:rsid w:val="FFFEFA74"/>
    <w:rsid w:val="FFFF28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ind w:left="840" w:leftChars="400"/>
      <w:jc w:val="left"/>
      <w:outlineLvl w:val="1"/>
    </w:pPr>
    <w:rPr>
      <w:rFonts w:eastAsia="仿宋"/>
      <w:b/>
      <w:bCs/>
      <w:kern w:val="0"/>
      <w:sz w:val="30"/>
      <w:szCs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hint="default"/>
      <w:sz w:val="21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next w:val="4"/>
    <w:qFormat/>
    <w:uiPriority w:val="0"/>
    <w:pPr>
      <w:ind w:firstLine="540" w:firstLineChars="180"/>
    </w:pPr>
    <w:rPr>
      <w:sz w:val="30"/>
    </w:rPr>
  </w:style>
  <w:style w:type="paragraph" w:styleId="7">
    <w:name w:val="footer"/>
    <w:basedOn w:val="1"/>
    <w:next w:val="8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5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10">
    <w:name w:val="Body Text First Indent 2"/>
    <w:basedOn w:val="6"/>
    <w:next w:val="1"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眉 Char"/>
    <w:basedOn w:val="12"/>
    <w:link w:val="8"/>
    <w:qFormat/>
    <w:uiPriority w:val="0"/>
    <w:rPr>
      <w:rFonts w:ascii="仿宋_GB2312" w:hAnsi="仿宋_GB2312" w:eastAsia="仿宋_GB231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="仿宋_GB2312" w:hAnsi="仿宋_GB2312" w:eastAsia="仿宋_GB2312"/>
      <w:sz w:val="18"/>
      <w:szCs w:val="18"/>
    </w:rPr>
  </w:style>
  <w:style w:type="character" w:customStyle="1" w:styleId="17">
    <w:name w:val="font3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image" Target="media/image1.png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chart" Target="charts/chart7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32479;&#35745;&#20844;&#25253;\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E:\&#32479;&#35745;&#20844;&#25253;\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E:\&#32479;&#35745;&#20844;&#25253;\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E:\&#32479;&#35745;&#20844;&#25253;\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E:\&#32479;&#35745;&#20844;&#25253;\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E:\&#32479;&#35745;&#20844;&#25253;\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E:\&#32479;&#35745;&#20844;&#25253;\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74098360655738"/>
          <c:y val="0.0302325581395349"/>
          <c:w val="0.858513661202186"/>
          <c:h val="0.8080447889750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[公报图表.xlsx]GDP总量及增速!$D$8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>
                <a:shade val="76667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[公报图表.xlsx]GDP总量及增速!$E$7:$I$7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[公报图表.xlsx]GDP总量及增速!$E$8:$I$8</c:f>
              <c:numCache>
                <c:formatCode>General</c:formatCode>
                <c:ptCount val="5"/>
                <c:pt idx="0">
                  <c:v>145.67</c:v>
                </c:pt>
                <c:pt idx="1">
                  <c:v>159.93</c:v>
                </c:pt>
                <c:pt idx="2" c:formatCode="0.00_ ">
                  <c:v>167.69</c:v>
                </c:pt>
                <c:pt idx="3">
                  <c:v>177.44</c:v>
                </c:pt>
                <c:pt idx="4">
                  <c:v>201.42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324336459"/>
        <c:axId val="301634509"/>
      </c:barChart>
      <c:lineChart>
        <c:grouping val="standard"/>
        <c:varyColors val="0"/>
        <c:ser>
          <c:idx val="1"/>
          <c:order val="1"/>
          <c:tx>
            <c:strRef>
              <c:f>[公报图表.xlsx]GDP总量及增速!$D$9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chemeClr val="accent1">
                  <a:tint val="76667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445937148606261"/>
                  <c:y val="-0.05488828183843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27886607090016"/>
                  <c:y val="-0.031041476963398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63987690122506"/>
                  <c:y val="-0.0289473134805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11493164467066"/>
                  <c:y val="-0.06103587218536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445937148606261"/>
                  <c:y val="-0.03362545629156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[公报图表.xlsx]GDP总量及增速!$E$7:$I$7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[公报图表.xlsx]GDP总量及增速!$E$9:$I$9</c:f>
              <c:numCache>
                <c:formatCode>0.0_ </c:formatCode>
                <c:ptCount val="5"/>
                <c:pt idx="0">
                  <c:v>7.2</c:v>
                </c:pt>
                <c:pt idx="1">
                  <c:v>7.9</c:v>
                </c:pt>
                <c:pt idx="2">
                  <c:v>6.9</c:v>
                </c:pt>
                <c:pt idx="3">
                  <c:v>3</c:v>
                </c:pt>
                <c:pt idx="4" c:formatCode="General">
                  <c:v>7.7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703778734"/>
        <c:axId val="76732794"/>
      </c:lineChart>
      <c:catAx>
        <c:axId val="32433645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1634509"/>
        <c:crosses val="autoZero"/>
        <c:auto val="1"/>
        <c:lblAlgn val="ctr"/>
        <c:lblOffset val="100"/>
        <c:noMultiLvlLbl val="0"/>
      </c:catAx>
      <c:valAx>
        <c:axId val="301634509"/>
        <c:scaling>
          <c:orientation val="minMax"/>
          <c:max val="2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4336459"/>
        <c:crosses val="autoZero"/>
        <c:crossBetween val="between"/>
        <c:majorUnit val="25"/>
      </c:valAx>
      <c:catAx>
        <c:axId val="703778734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732794"/>
        <c:crosses val="autoZero"/>
        <c:auto val="1"/>
        <c:lblAlgn val="ctr"/>
        <c:lblOffset val="100"/>
        <c:noMultiLvlLbl val="0"/>
      </c:catAx>
      <c:valAx>
        <c:axId val="76732794"/>
        <c:scaling>
          <c:orientation val="minMax"/>
          <c:max val="15"/>
        </c:scaling>
        <c:delete val="0"/>
        <c:axPos val="r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0377873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17194092827004"/>
          <c:y val="0.129963898916967"/>
          <c:w val="0.893117088607595"/>
          <c:h val="0.663669182802757"/>
        </c:manualLayout>
      </c:layout>
      <c:barChart>
        <c:barDir val="col"/>
        <c:grouping val="stacked"/>
        <c:varyColors val="0"/>
        <c:ser>
          <c:idx val="2"/>
          <c:order val="0"/>
          <c:tx>
            <c:strRef>
              <c:f>[公报图表.xlsx]三次产业结构!$G$21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[公报图表.xlsx]三次产业结构!$D$16:$D$20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[公报图表.xlsx]三次产业结构!$G$16:$G$20</c:f>
              <c:numCache>
                <c:formatCode>0.00_ </c:formatCode>
                <c:ptCount val="5"/>
                <c:pt idx="0">
                  <c:v>37.5666220437305</c:v>
                </c:pt>
                <c:pt idx="1">
                  <c:v>37.0629513007506</c:v>
                </c:pt>
                <c:pt idx="2">
                  <c:v>38.2312307879824</c:v>
                </c:pt>
                <c:pt idx="3">
                  <c:v>37.8494573087297</c:v>
                </c:pt>
                <c:pt idx="4">
                  <c:v>35.19</c:v>
                </c:pt>
              </c:numCache>
            </c:numRef>
          </c:val>
        </c:ser>
        <c:ser>
          <c:idx val="1"/>
          <c:order val="1"/>
          <c:tx>
            <c:strRef>
              <c:f>[公报图表.xlsx]三次产业结构!$F$21</c:f>
              <c:strCache>
                <c:ptCount val="1"/>
                <c:pt idx="0">
                  <c:v>第二产业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[公报图表.xlsx]三次产业结构!$D$16:$D$20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[公报图表.xlsx]三次产业结构!$F$16:$F$20</c:f>
              <c:numCache>
                <c:formatCode>0.00_ </c:formatCode>
                <c:ptCount val="5"/>
                <c:pt idx="0">
                  <c:v>48.5148113822813</c:v>
                </c:pt>
                <c:pt idx="1">
                  <c:v>48.9018440224315</c:v>
                </c:pt>
                <c:pt idx="2">
                  <c:v>49.0201850929132</c:v>
                </c:pt>
                <c:pt idx="3">
                  <c:v>46.0637412977866</c:v>
                </c:pt>
                <c:pt idx="4">
                  <c:v>51</c:v>
                </c:pt>
              </c:numCache>
            </c:numRef>
          </c:val>
        </c:ser>
        <c:ser>
          <c:idx val="0"/>
          <c:order val="2"/>
          <c:tx>
            <c:strRef>
              <c:f>[公报图表.xlsx]三次产业结构!$E$21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58227848101266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[公报图表.xlsx]三次产业结构!$D$16:$D$20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[公报图表.xlsx]三次产业结构!$E$16:$E$20</c:f>
              <c:numCache>
                <c:formatCode>0.00_ </c:formatCode>
                <c:ptCount val="5"/>
                <c:pt idx="0">
                  <c:v>13.9185665739883</c:v>
                </c:pt>
                <c:pt idx="1">
                  <c:v>14.0352046159957</c:v>
                </c:pt>
                <c:pt idx="2">
                  <c:v>12.7485841191045</c:v>
                </c:pt>
                <c:pt idx="3">
                  <c:v>16.0868013934838</c:v>
                </c:pt>
                <c:pt idx="4">
                  <c:v>13.81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06330082"/>
        <c:axId val="346957002"/>
      </c:barChart>
      <c:catAx>
        <c:axId val="80633008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6957002"/>
        <c:crosses val="autoZero"/>
        <c:auto val="1"/>
        <c:lblAlgn val="ctr"/>
        <c:lblOffset val="100"/>
        <c:noMultiLvlLbl val="0"/>
      </c:catAx>
      <c:valAx>
        <c:axId val="34695700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0633008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[公报图表.xlsx]社零总额及增速!$D$8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>
                <a:shade val="76667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[公报图表.xlsx]社零总额及增速!$E$7:$I$7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[公报图表.xlsx]社零总额及增速!$E$8:$I$8</c:f>
              <c:numCache>
                <c:formatCode>0.00_ </c:formatCode>
                <c:ptCount val="5"/>
                <c:pt idx="0">
                  <c:v>30.02</c:v>
                </c:pt>
                <c:pt idx="1">
                  <c:v>31.71</c:v>
                </c:pt>
                <c:pt idx="2">
                  <c:v>33.63</c:v>
                </c:pt>
                <c:pt idx="3">
                  <c:v>32.35</c:v>
                </c:pt>
                <c:pt idx="4">
                  <c:v>33.09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350180680"/>
        <c:axId val="653712190"/>
      </c:barChart>
      <c:lineChart>
        <c:grouping val="standard"/>
        <c:varyColors val="0"/>
        <c:ser>
          <c:idx val="1"/>
          <c:order val="1"/>
          <c:tx>
            <c:strRef>
              <c:f>[公报图表.xlsx]社零总额及增速!$D$9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chemeClr val="accent1">
                  <a:tint val="76667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474340499076426"/>
                  <c:y val="-0.026219669504528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97805212620027"/>
                  <c:y val="-0.029478458049886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10086513843701"/>
                  <c:y val="-0.033198908305837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01775341326083"/>
                  <c:y val="0.007529159368338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482288679908683"/>
                  <c:y val="-0.040639808817738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[公报图表.xlsx]社零总额及增速!$E$7:$I$7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[公报图表.xlsx]社零总额及增速!$E$9:$I$9</c:f>
              <c:numCache>
                <c:formatCode>0.0_ </c:formatCode>
                <c:ptCount val="5"/>
                <c:pt idx="0">
                  <c:v>9.4</c:v>
                </c:pt>
                <c:pt idx="1">
                  <c:v>5.6</c:v>
                </c:pt>
                <c:pt idx="2">
                  <c:v>6</c:v>
                </c:pt>
                <c:pt idx="3">
                  <c:v>-3.8</c:v>
                </c:pt>
                <c:pt idx="4" c:formatCode="General">
                  <c:v>2.3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813220094"/>
        <c:axId val="677961770"/>
      </c:lineChart>
      <c:catAx>
        <c:axId val="3501806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53712190"/>
        <c:crosses val="autoZero"/>
        <c:auto val="1"/>
        <c:lblAlgn val="ctr"/>
        <c:lblOffset val="100"/>
        <c:noMultiLvlLbl val="0"/>
      </c:catAx>
      <c:valAx>
        <c:axId val="653712190"/>
        <c:scaling>
          <c:orientation val="minMax"/>
          <c:max val="3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50180680"/>
        <c:crosses val="autoZero"/>
        <c:crossBetween val="between"/>
      </c:valAx>
      <c:catAx>
        <c:axId val="813220094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77961770"/>
        <c:crosses val="autoZero"/>
        <c:auto val="1"/>
        <c:lblAlgn val="ctr"/>
        <c:lblOffset val="100"/>
        <c:noMultiLvlLbl val="0"/>
      </c:catAx>
      <c:valAx>
        <c:axId val="677961770"/>
        <c:scaling>
          <c:orientation val="minMax"/>
          <c:max val="15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322009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[公报图表.xlsx]一般公共预算收入!$D$8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rgbClr val="9BBB59">
                <a:shade val="76667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[公报图表.xlsx]一般公共预算收入!$E$7:$I$7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[公报图表.xlsx]一般公共预算收入!$E$8:$I$8</c:f>
              <c:numCache>
                <c:formatCode>General</c:formatCode>
                <c:ptCount val="5"/>
                <c:pt idx="0">
                  <c:v>8.04</c:v>
                </c:pt>
                <c:pt idx="1">
                  <c:v>8.23</c:v>
                </c:pt>
                <c:pt idx="2" c:formatCode="0.00_ ">
                  <c:v>8.28</c:v>
                </c:pt>
                <c:pt idx="3">
                  <c:v>7.11</c:v>
                </c:pt>
                <c:pt idx="4">
                  <c:v>8.19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209827903"/>
        <c:axId val="162547330"/>
      </c:barChart>
      <c:lineChart>
        <c:grouping val="standard"/>
        <c:varyColors val="0"/>
        <c:ser>
          <c:idx val="1"/>
          <c:order val="1"/>
          <c:tx>
            <c:strRef>
              <c:f>[公报图表.xlsx]一般公共预算收入!$D$9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9BBB59">
                  <a:tint val="76667"/>
                </a:srgb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578837155943319"/>
                  <c:y val="-0.031726662599145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58567980691875"/>
                  <c:y val="-0.03904820012202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58567980691875"/>
                  <c:y val="-0.04636973764490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24787183679871"/>
                  <c:y val="0.03819851248516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520959524851222"/>
                  <c:y val="0.02202815593423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[公报图表.xlsx]一般公共预算收入!$E$7:$I$7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[公报图表.xlsx]一般公共预算收入!$E$9:$I$9</c:f>
              <c:numCache>
                <c:formatCode>0.0_ </c:formatCode>
                <c:ptCount val="5"/>
                <c:pt idx="0">
                  <c:v>11.1</c:v>
                </c:pt>
                <c:pt idx="1">
                  <c:v>2.4</c:v>
                </c:pt>
                <c:pt idx="2">
                  <c:v>0.5</c:v>
                </c:pt>
                <c:pt idx="3">
                  <c:v>-14</c:v>
                </c:pt>
                <c:pt idx="4" c:formatCode="General">
                  <c:v>15.2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97464853"/>
        <c:axId val="751778088"/>
      </c:lineChart>
      <c:catAx>
        <c:axId val="209827903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547330"/>
        <c:crosses val="autoZero"/>
        <c:auto val="1"/>
        <c:lblAlgn val="ctr"/>
        <c:lblOffset val="100"/>
        <c:noMultiLvlLbl val="0"/>
      </c:catAx>
      <c:valAx>
        <c:axId val="162547330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9827903"/>
        <c:crosses val="autoZero"/>
        <c:crossBetween val="between"/>
      </c:valAx>
      <c:catAx>
        <c:axId val="97464853"/>
        <c:scaling>
          <c:orientation val="minMax"/>
        </c:scaling>
        <c:delete val="1"/>
        <c:axPos val="t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1778088"/>
        <c:crosses val="max"/>
        <c:auto val="1"/>
        <c:lblAlgn val="ctr"/>
        <c:lblOffset val="100"/>
        <c:noMultiLvlLbl val="0"/>
      </c:catAx>
      <c:valAx>
        <c:axId val="751778088"/>
        <c:scaling>
          <c:orientation val="minMax"/>
          <c:max val="25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7464853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[公报图表.xlsx]一般公共预算支出!$D$8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rgbClr val="F79646">
                <a:shade val="76667"/>
              </a:srgbClr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</c:dPt>
          <c:dPt>
            <c:idx val="4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[公报图表.xlsx]一般公共预算支出!$E$7:$I$7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[公报图表.xlsx]一般公共预算支出!$E$8:$I$8</c:f>
              <c:numCache>
                <c:formatCode>General</c:formatCode>
                <c:ptCount val="5"/>
                <c:pt idx="0">
                  <c:v>34.15</c:v>
                </c:pt>
                <c:pt idx="1">
                  <c:v>36.16</c:v>
                </c:pt>
                <c:pt idx="2" c:formatCode="0.00_ ">
                  <c:v>38.32</c:v>
                </c:pt>
                <c:pt idx="3">
                  <c:v>43.46</c:v>
                </c:pt>
                <c:pt idx="4">
                  <c:v>36.8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209827903"/>
        <c:axId val="162547330"/>
      </c:barChart>
      <c:lineChart>
        <c:grouping val="standard"/>
        <c:varyColors val="0"/>
        <c:ser>
          <c:idx val="1"/>
          <c:order val="1"/>
          <c:tx>
            <c:strRef>
              <c:f>[公报图表.xlsx]一般公共预算支出!$D$9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F79646">
                  <a:tint val="76667"/>
                </a:srgb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434432823813355"/>
                  <c:y val="-0.031726662599145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66871229789348"/>
                  <c:y val="-0.03598071545944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58567980691875"/>
                  <c:y val="-0.04636973764490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42837725196116"/>
                  <c:y val="-0.03848860407924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575111149399959"/>
                  <c:y val="0.029873561281892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[公报图表.xlsx]一般公共预算支出!$E$7:$I$7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[公报图表.xlsx]一般公共预算支出!$E$9:$I$9</c:f>
              <c:numCache>
                <c:formatCode>0.0_ </c:formatCode>
                <c:ptCount val="5"/>
                <c:pt idx="0">
                  <c:v>7.1</c:v>
                </c:pt>
                <c:pt idx="1">
                  <c:v>11.8</c:v>
                </c:pt>
                <c:pt idx="2">
                  <c:v>6</c:v>
                </c:pt>
                <c:pt idx="3">
                  <c:v>13.4</c:v>
                </c:pt>
                <c:pt idx="4" c:formatCode="General">
                  <c:v>-15.3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97464853"/>
        <c:axId val="751778088"/>
      </c:lineChart>
      <c:catAx>
        <c:axId val="209827903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547330"/>
        <c:crosses val="autoZero"/>
        <c:auto val="1"/>
        <c:lblAlgn val="ctr"/>
        <c:lblOffset val="100"/>
        <c:noMultiLvlLbl val="0"/>
      </c:catAx>
      <c:valAx>
        <c:axId val="162547330"/>
        <c:scaling>
          <c:orientation val="minMax"/>
          <c:max val="4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9827903"/>
        <c:crosses val="autoZero"/>
        <c:crossBetween val="between"/>
      </c:valAx>
      <c:catAx>
        <c:axId val="97464853"/>
        <c:scaling>
          <c:orientation val="minMax"/>
        </c:scaling>
        <c:delete val="1"/>
        <c:axPos val="t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1778088"/>
        <c:crosses val="max"/>
        <c:auto val="1"/>
        <c:lblAlgn val="ctr"/>
        <c:lblOffset val="100"/>
        <c:noMultiLvlLbl val="0"/>
      </c:catAx>
      <c:valAx>
        <c:axId val="751778088"/>
        <c:scaling>
          <c:orientation val="minMax"/>
          <c:max val="25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7464853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[公报图表.xlsx]城镇居民消费支出!$C$5</c:f>
              <c:strCache>
                <c:ptCount val="1"/>
                <c:pt idx="0">
                  <c:v>金额（元）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BBB59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8064A2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4BACC6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F79646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2C4D75">
                  <a:lumMod val="60000"/>
                </a:srgbClr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7"/>
            <c:bubble3D val="0"/>
            <c:spPr>
              <a:solidFill>
                <a:srgbClr val="772C2A">
                  <a:lumMod val="60000"/>
                </a:srgbClr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42620980813103"/>
                  <c:y val="0.0086011704442342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食品烟酒消费支出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5663元，增长</a:t>
                    </a:r>
                    <a:r>
                      <a:rPr lang="en-US" altLang="zh-CN" sz="900" b="1"/>
                      <a:t>21.1%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1173576950105"/>
                      <c:h val="0.14057323923376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735571336109539"/>
                  <c:y val="-0.0043867712002857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衣着消费支出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1583元，增长</a:t>
                    </a:r>
                    <a:r>
                      <a:rPr lang="en-US" altLang="zh-CN" sz="900" b="1"/>
                      <a:t>12.6%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775825720309"/>
                      <c:h val="0.139695920517838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258151457516013"/>
                  <c:y val="0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居住消费支出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3221元，增长</a:t>
                    </a:r>
                    <a:r>
                      <a:rPr lang="en-US" altLang="zh-CN" sz="900" b="1"/>
                      <a:t>6.5%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13352073085"/>
                      <c:h val="0.133803831196889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08632363153586"/>
                  <c:y val="-0.090931680260772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生活用品及服务消费支出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810元，增长</a:t>
                    </a:r>
                    <a:r>
                      <a:rPr lang="en-US" altLang="zh-CN" sz="900" b="1"/>
                      <a:t>10.9%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0115952213633"/>
                      <c:h val="0.14186950885784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052418613205812"/>
                  <c:y val="0.0045358330813426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交通通信消费支出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2275元，下降</a:t>
                    </a:r>
                    <a:r>
                      <a:rPr lang="en-US" altLang="zh-CN" sz="900" b="1"/>
                      <a:t>15.6%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3018271257906"/>
                      <c:h val="0.141351798886045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0409694542744996"/>
                  <c:y val="0.00035342470401667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教育文化娱乐消费支出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1862元，增长</a:t>
                    </a:r>
                    <a:r>
                      <a:rPr lang="en-US" altLang="zh-CN" sz="900" b="1"/>
                      <a:t>18.2%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423947029612"/>
                      <c:h val="0.13970365890535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0613801128974825"/>
                  <c:y val="0.007263117708827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医疗保健消费支出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1912元，增长</a:t>
                    </a:r>
                    <a:r>
                      <a:rPr lang="en-US" altLang="zh-CN" sz="900" b="1"/>
                      <a:t>32.2%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8168701809624"/>
                  <c:y val="0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其他用品和服务消费支出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296元，增长</a:t>
                    </a:r>
                    <a:r>
                      <a:rPr lang="en-US" altLang="zh-CN" sz="900" b="1"/>
                      <a:t>19.4%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828765863528"/>
                      <c:h val="0.1397036589053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[公报图表.xlsx]城镇居民消费支出!$B$6:$B$13</c:f>
              <c:strCache>
                <c:ptCount val="8"/>
                <c:pt idx="0">
                  <c:v>食品烟酒</c:v>
                </c:pt>
                <c:pt idx="1">
                  <c:v>衣着</c:v>
                </c:pt>
                <c:pt idx="2">
                  <c:v>居住</c:v>
                </c:pt>
                <c:pt idx="3">
                  <c:v>生活用品及服务</c:v>
                </c:pt>
                <c:pt idx="4">
                  <c:v>交通通信</c:v>
                </c:pt>
                <c:pt idx="5">
                  <c:v>教育文化娱乐</c:v>
                </c:pt>
                <c:pt idx="6">
                  <c:v>医疗保健</c:v>
                </c:pt>
                <c:pt idx="7">
                  <c:v>其他用品和服务</c:v>
                </c:pt>
              </c:strCache>
            </c:strRef>
          </c:cat>
          <c:val>
            <c:numRef>
              <c:f>[公报图表.xlsx]城镇居民消费支出!$C$6:$C$13</c:f>
              <c:numCache>
                <c:formatCode>General</c:formatCode>
                <c:ptCount val="8"/>
                <c:pt idx="0">
                  <c:v>5663</c:v>
                </c:pt>
                <c:pt idx="1">
                  <c:v>1583</c:v>
                </c:pt>
                <c:pt idx="2">
                  <c:v>3221</c:v>
                </c:pt>
                <c:pt idx="3">
                  <c:v>810</c:v>
                </c:pt>
                <c:pt idx="4">
                  <c:v>2275</c:v>
                </c:pt>
                <c:pt idx="5">
                  <c:v>1862</c:v>
                </c:pt>
                <c:pt idx="6">
                  <c:v>1912</c:v>
                </c:pt>
                <c:pt idx="7">
                  <c:v>296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 sz="1200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[公报图表.xlsx]农村居民消费支出!$C$5</c:f>
              <c:strCache>
                <c:ptCount val="1"/>
                <c:pt idx="0">
                  <c:v>金额（元）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BBB59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8064A2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4BACC6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F79646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2C4D75">
                  <a:lumMod val="60000"/>
                </a:srgbClr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7"/>
            <c:bubble3D val="0"/>
            <c:spPr>
              <a:solidFill>
                <a:srgbClr val="772C2A">
                  <a:lumMod val="60000"/>
                </a:srgbClr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42620980813103"/>
                  <c:y val="0.0086011704442342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食品烟酒消费支出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1"/>
                      <a:t>4205</a:t>
                    </a:r>
                    <a:r>
                      <a:rPr sz="900" b="1"/>
                      <a:t>元，增长</a:t>
                    </a:r>
                    <a:r>
                      <a:rPr lang="en-US" altLang="zh-CN" sz="900" b="1"/>
                      <a:t>17.3%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1173576950105"/>
                      <c:h val="0.14057323923376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647923361247733"/>
                  <c:y val="-0.045435309296209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衣着消费支出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1"/>
                      <a:t>857</a:t>
                    </a:r>
                    <a:r>
                      <a:rPr sz="900" b="1"/>
                      <a:t>元，与去年持平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775825720309"/>
                      <c:h val="0.139695920517838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250457115920389"/>
                  <c:y val="-0.0043208987469393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居住消费支出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1"/>
                      <a:t>2397</a:t>
                    </a:r>
                    <a:r>
                      <a:rPr sz="900" b="1"/>
                      <a:t>元，增长</a:t>
                    </a:r>
                    <a:r>
                      <a:rPr lang="en-US" altLang="zh-CN" sz="900" b="1"/>
                      <a:t>10.1%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13352073085"/>
                      <c:h val="0.133803831196889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1123350439585"/>
                  <c:y val="-0.0045137053219855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生活用品及服务消费支出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8</a:t>
                    </a:r>
                    <a:r>
                      <a:rPr lang="en-US" altLang="zh-CN" sz="900" b="1"/>
                      <a:t>72</a:t>
                    </a:r>
                    <a:r>
                      <a:rPr sz="900" b="1"/>
                      <a:t>元，增长</a:t>
                    </a:r>
                    <a:r>
                      <a:rPr lang="en-US" altLang="zh-CN" sz="900" b="1"/>
                      <a:t>11.4%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0115952213633"/>
                      <c:h val="0.14186950885784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0559784671085466"/>
                  <c:y val="-0.040833603761520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交通通信消费支出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1"/>
                      <a:t>1530</a:t>
                    </a:r>
                    <a:r>
                      <a:rPr sz="900" b="1"/>
                      <a:t>元，增长</a:t>
                    </a:r>
                    <a:r>
                      <a:rPr lang="en-US" altLang="zh-CN" sz="900" b="1"/>
                      <a:t>10.9%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3018271257906"/>
                      <c:h val="0.141351798886045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0409694542744996"/>
                  <c:y val="0.00035342470401667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教育文化娱乐消费支出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1</a:t>
                    </a:r>
                    <a:r>
                      <a:rPr lang="en-US" altLang="zh-CN" sz="900" b="1"/>
                      <a:t>220</a:t>
                    </a:r>
                    <a:r>
                      <a:rPr sz="900" b="1"/>
                      <a:t>元，增长</a:t>
                    </a:r>
                    <a:r>
                      <a:rPr lang="en-US" altLang="zh-CN" sz="900" b="1"/>
                      <a:t>23.6%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423947029612"/>
                      <c:h val="0.13970365890535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08815109383779"/>
                  <c:y val="0.013744465829236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医疗保健消费支出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1"/>
                      <a:t>2167</a:t>
                    </a:r>
                    <a:r>
                      <a:rPr sz="900" b="1"/>
                      <a:t>元，增长</a:t>
                    </a:r>
                    <a:r>
                      <a:rPr lang="en-US" altLang="zh-CN" sz="900" b="1"/>
                      <a:t>31.4%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2020379479972"/>
                      <c:h val="0.136684430361515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18168701809624"/>
                  <c:y val="0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其他用品和服务消费支出</a:t>
                    </a:r>
                    <a:endParaRPr sz="900" b="1"/>
                  </a:p>
                  <a:p>
                    <a:pPr defTabSz="914400">
                      <a:defRPr lang="zh-CN" sz="900" b="1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2</a:t>
                    </a:r>
                    <a:r>
                      <a:rPr lang="en-US" altLang="zh-CN" sz="900" b="1"/>
                      <a:t>26</a:t>
                    </a:r>
                    <a:r>
                      <a:rPr sz="900" b="1"/>
                      <a:t>元，增长</a:t>
                    </a:r>
                    <a:r>
                      <a:rPr lang="en-US" altLang="zh-CN" sz="900" b="1"/>
                      <a:t>10.7%</a:t>
                    </a:r>
                    <a:endParaRPr lang="en-US" altLang="zh-CN"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828765863528"/>
                      <c:h val="0.1397036589053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[公报图表.xlsx]农村居民消费支出!$B$6:$B$13</c:f>
              <c:strCache>
                <c:ptCount val="8"/>
                <c:pt idx="0">
                  <c:v>食品烟酒</c:v>
                </c:pt>
                <c:pt idx="1">
                  <c:v>衣着</c:v>
                </c:pt>
                <c:pt idx="2">
                  <c:v>居住</c:v>
                </c:pt>
                <c:pt idx="3">
                  <c:v>生活用品及服务</c:v>
                </c:pt>
                <c:pt idx="4">
                  <c:v>交通通信</c:v>
                </c:pt>
                <c:pt idx="5">
                  <c:v>教育文化娱乐</c:v>
                </c:pt>
                <c:pt idx="6">
                  <c:v>医疗保健</c:v>
                </c:pt>
                <c:pt idx="7">
                  <c:v>其他用品和服务</c:v>
                </c:pt>
              </c:strCache>
            </c:strRef>
          </c:cat>
          <c:val>
            <c:numRef>
              <c:f>[公报图表.xlsx]农村居民消费支出!$C$6:$C$13</c:f>
              <c:numCache>
                <c:formatCode>General</c:formatCode>
                <c:ptCount val="8"/>
                <c:pt idx="0">
                  <c:v>4205</c:v>
                </c:pt>
                <c:pt idx="1">
                  <c:v>857</c:v>
                </c:pt>
                <c:pt idx="2">
                  <c:v>2397</c:v>
                </c:pt>
                <c:pt idx="3">
                  <c:v>872</c:v>
                </c:pt>
                <c:pt idx="4">
                  <c:v>1530</c:v>
                </c:pt>
                <c:pt idx="5">
                  <c:v>1220</c:v>
                </c:pt>
                <c:pt idx="6">
                  <c:v>2167</c:v>
                </c:pt>
                <c:pt idx="7">
                  <c:v>226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 sz="12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rgbClr val="9BBB59"/>
</cs:colorStyle>
</file>

<file path=word/charts/colors5.xml><?xml version="1.0" encoding="utf-8"?>
<cs:colorStyle xmlns:cs="http://schemas.microsoft.com/office/drawing/2012/chartStyle" xmlns:a="http://schemas.openxmlformats.org/drawingml/2006/main" meth="withinLinear" id="19">
  <a:srgbClr val="F79646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4984</Words>
  <Characters>6840</Characters>
  <Lines>26</Lines>
  <Paragraphs>7</Paragraphs>
  <TotalTime>0</TotalTime>
  <ScaleCrop>false</ScaleCrop>
  <LinksUpToDate>false</LinksUpToDate>
  <CharactersWithSpaces>7020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2020-05-01T02:59:00Z</dcterms:created>
  <dc:creator>易晨晨</dc:creator>
  <cp:lastModifiedBy>Administrator</cp:lastModifiedBy>
  <cp:lastPrinted>2023-02-02T10:11:00Z</cp:lastPrinted>
  <dcterms:modified xsi:type="dcterms:W3CDTF">2023-02-03T00:57:42Z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071274E1F9F14436947DA40C857055A9</vt:lpwstr>
  </property>
</Properties>
</file>