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7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0A1D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6A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县养老机构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运营管理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绩效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评价和</w:t>
      </w:r>
    </w:p>
    <w:p w14:paraId="1235B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奖补方案（征求意见稿）</w:t>
      </w:r>
    </w:p>
    <w:p w14:paraId="6CD3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BCB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为规范养老机构管理，维护养老机构及其服务对象合法权益，不断提高养老机构服务质量，促进全县养老服务业健康发展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根据《养老机构管理办法》（民政部第66号令）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《养老机构服务安全基本规范》（GB38600-2019）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《宁夏回族自治区养老机构等级评定管理办法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》（宁民规发〔2021〕10号）等有关法规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F68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评价目的</w:t>
      </w:r>
    </w:p>
    <w:p w14:paraId="4E1F9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1.提升服务质量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引导养老机构聚焦核心服务能力，特别是护理技能、安全卫生和满意度。</w:t>
      </w:r>
    </w:p>
    <w:p w14:paraId="306E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2.优化资源配置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促进机构合理控制成本，提高运营效益，实现可持续发展。</w:t>
      </w:r>
    </w:p>
    <w:p w14:paraId="4A27C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3.强化规范管理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推动机构建立健全规章制度，特别是安全生产和食品卫生管理体系。</w:t>
      </w:r>
    </w:p>
    <w:p w14:paraId="61421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4.树立行业标杆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通过奖补激励，表彰先进，营造比学赶超的良好氛围。</w:t>
      </w:r>
    </w:p>
    <w:p w14:paraId="18C4B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5.提高财政资金效益：确保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资金精准投放，发挥最大激励效应。</w:t>
      </w:r>
    </w:p>
    <w:p w14:paraId="39CD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适用范围</w:t>
      </w:r>
    </w:p>
    <w:p w14:paraId="54D9E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</w:t>
      </w:r>
      <w:r>
        <w:rPr>
          <w:rFonts w:hint="eastAsia" w:ascii="仿宋_GB2312" w:hAnsi="仿宋_GB2312" w:eastAsia="仿宋_GB2312" w:cs="仿宋_GB2312"/>
          <w:sz w:val="32"/>
          <w:szCs w:val="32"/>
        </w:rPr>
        <w:t>内依法登记注册并运营满一年以上的各类养老机构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D796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、考核内容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及指标体系 </w:t>
      </w:r>
    </w:p>
    <w:p w14:paraId="23C7B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包括制度建设、人员管理、档案管理、基础指标、院务公开。</w:t>
      </w:r>
    </w:p>
    <w:p w14:paraId="6ACD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包括生活照料、膳食服务、医疗护理、精神慰藉。</w:t>
      </w:r>
    </w:p>
    <w:p w14:paraId="7C042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包括消防安全、食品药品安全、设施设备安全、应急管理。</w:t>
      </w:r>
    </w:p>
    <w:p w14:paraId="2F81B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包括经费使用、收费管理。</w:t>
      </w:r>
    </w:p>
    <w:p w14:paraId="15873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环境与卫生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包括居室环境、室外环境、个人卫生。</w:t>
      </w:r>
    </w:p>
    <w:p w14:paraId="0905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6.加减分和一票否决项目。包括创新与荣誉、机构等级、老人满意度、家属满意度、安全事故与违规违纪情况。</w:t>
      </w:r>
    </w:p>
    <w:p w14:paraId="61CF4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、考核方法</w:t>
      </w:r>
    </w:p>
    <w:p w14:paraId="2F854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对各养老机构进行百分制量化综合考核打分（考核细则见附件）。</w:t>
      </w:r>
    </w:p>
    <w:p w14:paraId="00F7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环境与卫生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加减分和一票否决项5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老龄工作和</w:t>
      </w:r>
      <w:r>
        <w:rPr>
          <w:rFonts w:hint="eastAsia" w:ascii="仿宋_GB2312" w:hAnsi="仿宋_GB2312" w:eastAsia="仿宋_GB2312" w:cs="仿宋_GB2312"/>
          <w:sz w:val="32"/>
          <w:szCs w:val="32"/>
        </w:rPr>
        <w:t>养老服务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结合日常检查组织实施；</w:t>
      </w:r>
    </w:p>
    <w:p w14:paraId="7AF86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安全运营项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民政局安全生产监督管理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室与老龄工作和养老服务室联合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，结合日常检查组织实施。</w:t>
      </w:r>
    </w:p>
    <w:p w14:paraId="4BE30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度考核得分进行汇总，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平均分作为当年度考核得分。</w:t>
      </w:r>
    </w:p>
    <w:p w14:paraId="61DC8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、结果运用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585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1.考核总分为100分，按照考核得分高低分A、B、C、D四个等级进行奖补，等级越高奖补资金越多。 </w:t>
      </w:r>
    </w:p>
    <w:p w14:paraId="204C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度考核结果进行公示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考核结果作为养老机构运营补助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评优评先标准及其他优惠补贴政策资金的发放依据。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对排名靠后的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公办养老机构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，对机构负责人进行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约谈、岗位调整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对排名靠后的其他养老机构，查实存在的突出问题，责令限期整改，整改不到位的取消其享受的优惠政策待遇。</w:t>
      </w:r>
    </w:p>
    <w:p w14:paraId="19B2C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对存在一票否决情形的养老机构，及时通报有关部门，按照相关法律法规进行处理。</w:t>
      </w:r>
    </w:p>
    <w:p w14:paraId="1DF86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</w:t>
      </w:r>
      <w:r>
        <w:rPr>
          <w:rFonts w:hint="eastAsia" w:ascii="仿宋_GB2312" w:hAnsi="仿宋_GB2312" w:eastAsia="仿宋_GB2312" w:cs="仿宋_GB2312"/>
          <w:sz w:val="32"/>
          <w:szCs w:val="32"/>
        </w:rPr>
        <w:t>县民政局负责解释，自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印发之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日起施行。本办法将根据政策规定调整，及时予以修订。</w:t>
      </w:r>
    </w:p>
    <w:p w14:paraId="56321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A22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附件：平罗</w:t>
      </w:r>
      <w:r>
        <w:rPr>
          <w:rFonts w:hint="eastAsia" w:ascii="仿宋_GB2312" w:hAnsi="仿宋_GB2312" w:eastAsia="仿宋_GB2312" w:cs="仿宋_GB2312"/>
          <w:sz w:val="32"/>
          <w:szCs w:val="32"/>
        </w:rPr>
        <w:t>县养老机构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考评细则</w:t>
      </w:r>
    </w:p>
    <w:p w14:paraId="16363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856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29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1AC9E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县养老机构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运营管理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绩效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考评细则</w:t>
      </w:r>
    </w:p>
    <w:tbl>
      <w:tblPr>
        <w:tblStyle w:val="6"/>
        <w:tblW w:w="14086" w:type="dxa"/>
        <w:tblInd w:w="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728"/>
        <w:gridCol w:w="9385"/>
        <w:gridCol w:w="1500"/>
      </w:tblGrid>
      <w:tr w14:paraId="53A6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473" w:type="dxa"/>
            <w:noWrap w:val="0"/>
            <w:vAlign w:val="center"/>
          </w:tcPr>
          <w:p w14:paraId="4BEA6C53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728" w:type="dxa"/>
            <w:noWrap w:val="0"/>
            <w:vAlign w:val="center"/>
          </w:tcPr>
          <w:p w14:paraId="19B74389">
            <w:pPr>
              <w:tabs>
                <w:tab w:val="left" w:pos="2686"/>
              </w:tabs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9385" w:type="dxa"/>
            <w:noWrap w:val="0"/>
            <w:vAlign w:val="center"/>
          </w:tcPr>
          <w:p w14:paraId="599B66C9">
            <w:pPr>
              <w:tabs>
                <w:tab w:val="left" w:pos="2686"/>
              </w:tabs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考核内容与评分标准</w:t>
            </w:r>
          </w:p>
        </w:tc>
        <w:tc>
          <w:tcPr>
            <w:tcW w:w="1500" w:type="dxa"/>
            <w:noWrap w:val="0"/>
            <w:vAlign w:val="center"/>
          </w:tcPr>
          <w:p w14:paraId="07571498">
            <w:pPr>
              <w:tabs>
                <w:tab w:val="left" w:pos="2686"/>
              </w:tabs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0358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73" w:type="dxa"/>
            <w:vMerge w:val="restart"/>
            <w:noWrap w:val="0"/>
            <w:vAlign w:val="center"/>
          </w:tcPr>
          <w:p w14:paraId="6F47AD04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7C3A2D3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基础</w:t>
            </w:r>
          </w:p>
          <w:p w14:paraId="51FEC2D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  （20分）</w:t>
            </w:r>
          </w:p>
        </w:tc>
        <w:tc>
          <w:tcPr>
            <w:tcW w:w="1728" w:type="dxa"/>
            <w:noWrap w:val="0"/>
            <w:vAlign w:val="center"/>
          </w:tcPr>
          <w:p w14:paraId="1456C475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1.制度建设</w:t>
            </w:r>
          </w:p>
        </w:tc>
        <w:tc>
          <w:tcPr>
            <w:tcW w:w="9385" w:type="dxa"/>
            <w:noWrap w:val="0"/>
            <w:vAlign w:val="top"/>
          </w:tcPr>
          <w:p w14:paraId="2A47BCA7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各项规章制度健全(行政管理、人事管理、财务管理、安全管理、入院评估、护理服务、服务标准等)，并上墙公示、落实到位。缺一项或执行不力扣0.5分。</w:t>
            </w:r>
          </w:p>
        </w:tc>
        <w:tc>
          <w:tcPr>
            <w:tcW w:w="1500" w:type="dxa"/>
            <w:noWrap w:val="0"/>
            <w:vAlign w:val="center"/>
          </w:tcPr>
          <w:p w14:paraId="48E625DC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417E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</w:trPr>
        <w:tc>
          <w:tcPr>
            <w:tcW w:w="1473" w:type="dxa"/>
            <w:vMerge w:val="continue"/>
            <w:noWrap w:val="0"/>
            <w:vAlign w:val="top"/>
          </w:tcPr>
          <w:p w14:paraId="1DC96CD5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62EC5FE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2.人员管理</w:t>
            </w:r>
          </w:p>
        </w:tc>
        <w:tc>
          <w:tcPr>
            <w:tcW w:w="9385" w:type="dxa"/>
            <w:noWrap w:val="0"/>
            <w:vAlign w:val="top"/>
          </w:tcPr>
          <w:p w14:paraId="6928C20D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按照相关规定配足管理、护理、餐饮、医护等专业人员，持证上岗率符合要求。配备不足或资质不符，每人次扣0.5分；定期开展职业道德和技能培训（每季度1次），少1次扣1分；签订劳动合同，保障职工合法权益，少签1人扣0.2分；建立工作人员管理及绩效考评办法并实施，没有不得分，不进行绩效考评不得分。</w:t>
            </w:r>
          </w:p>
        </w:tc>
        <w:tc>
          <w:tcPr>
            <w:tcW w:w="1500" w:type="dxa"/>
            <w:noWrap w:val="0"/>
            <w:vAlign w:val="center"/>
          </w:tcPr>
          <w:p w14:paraId="230C4AC3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1847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73" w:type="dxa"/>
            <w:vMerge w:val="continue"/>
            <w:noWrap w:val="0"/>
            <w:vAlign w:val="top"/>
          </w:tcPr>
          <w:p w14:paraId="71CEB455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51F4A91C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3.档案管理</w:t>
            </w:r>
          </w:p>
        </w:tc>
        <w:tc>
          <w:tcPr>
            <w:tcW w:w="9385" w:type="dxa"/>
            <w:noWrap w:val="0"/>
            <w:vAlign w:val="top"/>
          </w:tcPr>
          <w:p w14:paraId="1C289CC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机构管理、人事管理、老年人能力等级评估等档案，资料齐全、记录规范、更新及时。档率缺失或记录混乱，每例扣0.5分。</w:t>
            </w:r>
          </w:p>
        </w:tc>
        <w:tc>
          <w:tcPr>
            <w:tcW w:w="1500" w:type="dxa"/>
            <w:noWrap w:val="0"/>
            <w:vAlign w:val="center"/>
          </w:tcPr>
          <w:p w14:paraId="2F90C4FB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5D03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1473" w:type="dxa"/>
            <w:vMerge w:val="continue"/>
            <w:noWrap w:val="0"/>
            <w:vAlign w:val="top"/>
          </w:tcPr>
          <w:p w14:paraId="62BE403D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4A0F1CC2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4.基础指标</w:t>
            </w:r>
          </w:p>
        </w:tc>
        <w:tc>
          <w:tcPr>
            <w:tcW w:w="9385" w:type="dxa"/>
            <w:noWrap w:val="0"/>
            <w:vAlign w:val="top"/>
          </w:tcPr>
          <w:p w14:paraId="155C9A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养老机构入住率达到60%，每低1个百分点扣0.1分；护理型床位达到60%，每低1个百分点扣0.1分；养老机构护理人员持证率达到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%以上，每低1个百分点扣0.1分</w:t>
            </w:r>
          </w:p>
          <w:p w14:paraId="59783909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1500" w:type="dxa"/>
            <w:noWrap w:val="0"/>
            <w:vAlign w:val="center"/>
          </w:tcPr>
          <w:p w14:paraId="1EE79D5A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21D6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73" w:type="dxa"/>
            <w:vMerge w:val="continue"/>
            <w:noWrap w:val="0"/>
            <w:vAlign w:val="top"/>
          </w:tcPr>
          <w:p w14:paraId="44F03F9B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5C099B5A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5.院务公开</w:t>
            </w:r>
          </w:p>
        </w:tc>
        <w:tc>
          <w:tcPr>
            <w:tcW w:w="9385" w:type="dxa"/>
            <w:noWrap w:val="0"/>
            <w:vAlign w:val="top"/>
          </w:tcPr>
          <w:p w14:paraId="466EDAE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公开收费标准、服务项目、工作人员信息、财务收支等情况，设立意见箱并定期开箱处理。公开或公开不全面，扣2分;意见处理无记录，扣1分。</w:t>
            </w:r>
          </w:p>
        </w:tc>
        <w:tc>
          <w:tcPr>
            <w:tcW w:w="1500" w:type="dxa"/>
            <w:noWrap w:val="0"/>
            <w:vAlign w:val="center"/>
          </w:tcPr>
          <w:p w14:paraId="23004880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4B91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73" w:type="dxa"/>
            <w:vMerge w:val="restart"/>
            <w:noWrap w:val="0"/>
            <w:vAlign w:val="center"/>
          </w:tcPr>
          <w:p w14:paraId="0CD15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服务   质量</w:t>
            </w:r>
          </w:p>
          <w:p w14:paraId="12578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（30分）</w:t>
            </w:r>
          </w:p>
          <w:p w14:paraId="1964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3F5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A32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701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52D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6611B3D1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5.生活照料</w:t>
            </w:r>
          </w:p>
        </w:tc>
        <w:tc>
          <w:tcPr>
            <w:tcW w:w="9385" w:type="dxa"/>
            <w:noWrap w:val="0"/>
            <w:vAlign w:val="top"/>
          </w:tcPr>
          <w:p w14:paraId="10F54BEB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根据老人护理等级提供个性化照料服务(穿衣、洗漱、进食、如厕等)，老人仪表整洁、无长指甲、无异味。发现一例照料不周扣2分。</w:t>
            </w:r>
          </w:p>
        </w:tc>
        <w:tc>
          <w:tcPr>
            <w:tcW w:w="1500" w:type="dxa"/>
            <w:noWrap w:val="0"/>
            <w:vAlign w:val="center"/>
          </w:tcPr>
          <w:p w14:paraId="0E7CA3B2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6435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73" w:type="dxa"/>
            <w:vMerge w:val="continue"/>
            <w:noWrap w:val="0"/>
            <w:vAlign w:val="top"/>
          </w:tcPr>
          <w:p w14:paraId="6AB59F94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40AF9311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6.膳食服务</w:t>
            </w:r>
          </w:p>
        </w:tc>
        <w:tc>
          <w:tcPr>
            <w:tcW w:w="9385" w:type="dxa"/>
            <w:noWrap w:val="0"/>
            <w:vAlign w:val="top"/>
          </w:tcPr>
          <w:p w14:paraId="0F91AE0D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  <w:t>每周食谱科学制定、公开公示，食品留样规范。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荤素搭配合理，营养健康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  <w:t>。老人对膳食满意度低，扣3分;发现食品不安全问题，本项不得分。</w:t>
            </w:r>
          </w:p>
        </w:tc>
        <w:tc>
          <w:tcPr>
            <w:tcW w:w="1500" w:type="dxa"/>
            <w:noWrap w:val="0"/>
            <w:vAlign w:val="center"/>
          </w:tcPr>
          <w:p w14:paraId="31804421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6E5E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73" w:type="dxa"/>
            <w:vMerge w:val="continue"/>
            <w:noWrap w:val="0"/>
            <w:vAlign w:val="top"/>
          </w:tcPr>
          <w:p w14:paraId="005F77AC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2F81E9A4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7.医疗护理</w:t>
            </w:r>
          </w:p>
        </w:tc>
        <w:tc>
          <w:tcPr>
            <w:tcW w:w="9385" w:type="dxa"/>
            <w:noWrap w:val="0"/>
            <w:vAlign w:val="top"/>
          </w:tcPr>
          <w:p w14:paraId="383B2C2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建立老人健康档案，定期组织体检，常见病、慢性病管理规范。配合医疗机构开展医疗服务、药品管理规范。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项不符合要求扣2分。</w:t>
            </w:r>
          </w:p>
        </w:tc>
        <w:tc>
          <w:tcPr>
            <w:tcW w:w="1500" w:type="dxa"/>
            <w:noWrap w:val="0"/>
            <w:vAlign w:val="center"/>
          </w:tcPr>
          <w:p w14:paraId="401A1761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</w:tbl>
    <w:p w14:paraId="20E9A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平罗县养老机构运营管理绩效考评细则</w:t>
      </w:r>
    </w:p>
    <w:p w14:paraId="7E530925">
      <w:pPr>
        <w:tabs>
          <w:tab w:val="left" w:pos="2686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6"/>
        <w:tblW w:w="14159" w:type="dxa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836"/>
        <w:gridCol w:w="9433"/>
        <w:gridCol w:w="1440"/>
      </w:tblGrid>
      <w:tr w14:paraId="3BFB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0" w:type="dxa"/>
            <w:noWrap w:val="0"/>
            <w:vAlign w:val="center"/>
          </w:tcPr>
          <w:p w14:paraId="6BEA818E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836" w:type="dxa"/>
            <w:noWrap w:val="0"/>
            <w:vAlign w:val="center"/>
          </w:tcPr>
          <w:p w14:paraId="73022FC9">
            <w:pPr>
              <w:tabs>
                <w:tab w:val="left" w:pos="2686"/>
              </w:tabs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9433" w:type="dxa"/>
            <w:noWrap w:val="0"/>
            <w:vAlign w:val="center"/>
          </w:tcPr>
          <w:p w14:paraId="5B155172">
            <w:pPr>
              <w:tabs>
                <w:tab w:val="left" w:pos="2686"/>
              </w:tabs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考核内容与评分标准</w:t>
            </w:r>
          </w:p>
        </w:tc>
        <w:tc>
          <w:tcPr>
            <w:tcW w:w="1440" w:type="dxa"/>
            <w:noWrap w:val="0"/>
            <w:vAlign w:val="center"/>
          </w:tcPr>
          <w:p w14:paraId="04EBFC6D">
            <w:pPr>
              <w:tabs>
                <w:tab w:val="left" w:pos="2686"/>
              </w:tabs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39C7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450" w:type="dxa"/>
            <w:noWrap w:val="0"/>
            <w:vAlign w:val="center"/>
          </w:tcPr>
          <w:p w14:paraId="37D66856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22E5E368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8.精神慰藉</w:t>
            </w:r>
          </w:p>
        </w:tc>
        <w:tc>
          <w:tcPr>
            <w:tcW w:w="9433" w:type="dxa"/>
            <w:noWrap w:val="0"/>
            <w:vAlign w:val="top"/>
          </w:tcPr>
          <w:p w14:paraId="59E9525A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  <w:t>组织开展有益身心健康的文娱活动(每月不少于2次)，设有沟通渠道，关心老人情绪变化。活动记录不全扣2分;发现老人有严重精神关怀缺失扣3分。</w:t>
            </w:r>
          </w:p>
        </w:tc>
        <w:tc>
          <w:tcPr>
            <w:tcW w:w="1440" w:type="dxa"/>
            <w:noWrap w:val="0"/>
            <w:vAlign w:val="center"/>
          </w:tcPr>
          <w:p w14:paraId="4E795417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070C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450" w:type="dxa"/>
            <w:vMerge w:val="restart"/>
            <w:noWrap w:val="0"/>
            <w:vAlign w:val="center"/>
          </w:tcPr>
          <w:p w14:paraId="7E36151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安全</w:t>
            </w:r>
          </w:p>
          <w:p w14:paraId="27CB3F53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运营  （25分）</w:t>
            </w:r>
          </w:p>
        </w:tc>
        <w:tc>
          <w:tcPr>
            <w:tcW w:w="1836" w:type="dxa"/>
            <w:noWrap w:val="0"/>
            <w:vAlign w:val="center"/>
          </w:tcPr>
          <w:p w14:paraId="12C82DB4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9.消防安全</w:t>
            </w:r>
          </w:p>
        </w:tc>
        <w:tc>
          <w:tcPr>
            <w:tcW w:w="9433" w:type="dxa"/>
            <w:noWrap w:val="0"/>
            <w:vAlign w:val="center"/>
          </w:tcPr>
          <w:p w14:paraId="3B6E2518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“落实日巡周检月查季训年练”措施，“三自主两公开”工作到位。一项不合格扣2分:存在重大隐患，本项不得分。</w:t>
            </w:r>
          </w:p>
        </w:tc>
        <w:tc>
          <w:tcPr>
            <w:tcW w:w="1440" w:type="dxa"/>
            <w:noWrap w:val="0"/>
            <w:vAlign w:val="center"/>
          </w:tcPr>
          <w:p w14:paraId="1AB8D0E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30D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450" w:type="dxa"/>
            <w:vMerge w:val="continue"/>
            <w:noWrap w:val="0"/>
            <w:vAlign w:val="top"/>
          </w:tcPr>
          <w:p w14:paraId="29B90608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122BCB7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80" w:hanging="280" w:hanging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10.食品药品安全</w:t>
            </w:r>
          </w:p>
        </w:tc>
        <w:tc>
          <w:tcPr>
            <w:tcW w:w="9433" w:type="dxa"/>
            <w:noWrap w:val="0"/>
            <w:vAlign w:val="center"/>
          </w:tcPr>
          <w:p w14:paraId="409DC456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严格执行食品采购、储存、加工制度，严防食物中毒。药品存放、发放管理规范。发现过期食品或药品，本项不得分;流程不规范，1次扣1分。</w:t>
            </w:r>
          </w:p>
        </w:tc>
        <w:tc>
          <w:tcPr>
            <w:tcW w:w="1440" w:type="dxa"/>
            <w:noWrap w:val="0"/>
            <w:vAlign w:val="center"/>
          </w:tcPr>
          <w:p w14:paraId="1F7EDA3B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 w14:paraId="5C60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450" w:type="dxa"/>
            <w:vMerge w:val="continue"/>
            <w:noWrap w:val="0"/>
            <w:vAlign w:val="top"/>
          </w:tcPr>
          <w:p w14:paraId="169262C3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72DE2153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80" w:hanging="280" w:hanging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11.设施设备安全</w:t>
            </w:r>
          </w:p>
        </w:tc>
        <w:tc>
          <w:tcPr>
            <w:tcW w:w="9433" w:type="dxa"/>
            <w:noWrap w:val="0"/>
            <w:vAlign w:val="center"/>
          </w:tcPr>
          <w:p w14:paraId="17D9509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房屋结构、用电用气、取暖设备等定期检修无安全隐患。防护门窗、护栏、呼叫系统等安全装置完好有效。发现一处安全隐患扣2分。</w:t>
            </w:r>
          </w:p>
        </w:tc>
        <w:tc>
          <w:tcPr>
            <w:tcW w:w="1440" w:type="dxa"/>
            <w:noWrap w:val="0"/>
            <w:vAlign w:val="center"/>
          </w:tcPr>
          <w:p w14:paraId="54EC433E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6D21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450" w:type="dxa"/>
            <w:vMerge w:val="continue"/>
            <w:noWrap w:val="0"/>
            <w:vAlign w:val="top"/>
          </w:tcPr>
          <w:p w14:paraId="0B842E88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10D6BD54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560" w:hanging="560" w:hanging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12.应急管理</w:t>
            </w:r>
          </w:p>
        </w:tc>
        <w:tc>
          <w:tcPr>
            <w:tcW w:w="9433" w:type="dxa"/>
            <w:noWrap w:val="0"/>
            <w:vAlign w:val="center"/>
          </w:tcPr>
          <w:p w14:paraId="1795EA81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制定防火、防汛、防食物中毒、突发事件等应急预案，员工熟悉流程。无预案扣3分;员工不熟悉，每人次扣1分。</w:t>
            </w:r>
          </w:p>
        </w:tc>
        <w:tc>
          <w:tcPr>
            <w:tcW w:w="1440" w:type="dxa"/>
            <w:noWrap w:val="0"/>
            <w:vAlign w:val="center"/>
          </w:tcPr>
          <w:p w14:paraId="4A8FF009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008D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450" w:type="dxa"/>
            <w:vMerge w:val="restart"/>
            <w:noWrap w:val="0"/>
            <w:vAlign w:val="center"/>
          </w:tcPr>
          <w:p w14:paraId="44C7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财务</w:t>
            </w:r>
          </w:p>
          <w:p w14:paraId="43B8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管理  （15分）</w:t>
            </w:r>
          </w:p>
          <w:p w14:paraId="7326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B64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2B2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F5E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D01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299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FDB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10E3F604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13.经费使用</w:t>
            </w:r>
          </w:p>
        </w:tc>
        <w:tc>
          <w:tcPr>
            <w:tcW w:w="9433" w:type="dxa"/>
            <w:noWrap w:val="0"/>
            <w:vAlign w:val="center"/>
          </w:tcPr>
          <w:p w14:paraId="634FC135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各项资金(财政拨款、社会捐赠等)专款专用，账目清晰、规范票据齐全。发现挤占、挪用专项资金，本项不得分;账目不清，扣3分。</w:t>
            </w:r>
          </w:p>
        </w:tc>
        <w:tc>
          <w:tcPr>
            <w:tcW w:w="1440" w:type="dxa"/>
            <w:noWrap w:val="0"/>
            <w:vAlign w:val="center"/>
          </w:tcPr>
          <w:p w14:paraId="74A7446C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7C36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1450" w:type="dxa"/>
            <w:vMerge w:val="continue"/>
            <w:noWrap w:val="0"/>
            <w:vAlign w:val="top"/>
          </w:tcPr>
          <w:p w14:paraId="6A9A3B11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4321F018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14.收费管理</w:t>
            </w:r>
          </w:p>
        </w:tc>
        <w:tc>
          <w:tcPr>
            <w:tcW w:w="9433" w:type="dxa"/>
            <w:noWrap w:val="0"/>
            <w:vAlign w:val="center"/>
          </w:tcPr>
          <w:p w14:paraId="240A841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公办养老机构严格执行物价部门核定的收费标准；公办民营机构按照与民政局协商同意的价格收费。收费项目公开透明，无乱收费现象。发现一例乱收费，本项不得分。</w:t>
            </w:r>
          </w:p>
        </w:tc>
        <w:tc>
          <w:tcPr>
            <w:tcW w:w="1440" w:type="dxa"/>
            <w:noWrap w:val="0"/>
            <w:vAlign w:val="center"/>
          </w:tcPr>
          <w:p w14:paraId="0EAB8818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</w:tbl>
    <w:p w14:paraId="7E5FA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平罗县养老机构运营管理绩效考评细则</w:t>
      </w:r>
    </w:p>
    <w:tbl>
      <w:tblPr>
        <w:tblStyle w:val="6"/>
        <w:tblW w:w="14147" w:type="dxa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836"/>
        <w:gridCol w:w="9433"/>
        <w:gridCol w:w="1440"/>
      </w:tblGrid>
      <w:tr w14:paraId="5D39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438" w:type="dxa"/>
            <w:noWrap w:val="0"/>
            <w:vAlign w:val="center"/>
          </w:tcPr>
          <w:p w14:paraId="292B3E6A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836" w:type="dxa"/>
            <w:noWrap w:val="0"/>
            <w:vAlign w:val="center"/>
          </w:tcPr>
          <w:p w14:paraId="18688705">
            <w:pPr>
              <w:tabs>
                <w:tab w:val="left" w:pos="2686"/>
              </w:tabs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9433" w:type="dxa"/>
            <w:noWrap w:val="0"/>
            <w:vAlign w:val="center"/>
          </w:tcPr>
          <w:p w14:paraId="5F947E9D">
            <w:pPr>
              <w:tabs>
                <w:tab w:val="left" w:pos="2686"/>
              </w:tabs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考核内容与评分标准</w:t>
            </w:r>
          </w:p>
        </w:tc>
        <w:tc>
          <w:tcPr>
            <w:tcW w:w="1440" w:type="dxa"/>
            <w:noWrap w:val="0"/>
            <w:vAlign w:val="center"/>
          </w:tcPr>
          <w:p w14:paraId="59B1E6EE">
            <w:pPr>
              <w:tabs>
                <w:tab w:val="left" w:pos="2686"/>
              </w:tabs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5C9D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38" w:type="dxa"/>
            <w:vMerge w:val="restart"/>
            <w:noWrap w:val="0"/>
            <w:vAlign w:val="center"/>
          </w:tcPr>
          <w:p w14:paraId="5991276A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环境   与卫生 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分）</w:t>
            </w:r>
          </w:p>
        </w:tc>
        <w:tc>
          <w:tcPr>
            <w:tcW w:w="1836" w:type="dxa"/>
            <w:noWrap w:val="0"/>
            <w:vAlign w:val="center"/>
          </w:tcPr>
          <w:p w14:paraId="595B39FC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15.居室环境</w:t>
            </w:r>
          </w:p>
        </w:tc>
        <w:tc>
          <w:tcPr>
            <w:tcW w:w="9433" w:type="dxa"/>
            <w:noWrap w:val="0"/>
            <w:vAlign w:val="center"/>
          </w:tcPr>
          <w:p w14:paraId="6E726ACB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居室、食堂、卫生间等公共场所干净整洁，无异味。物品摆放有序，室内通风良好。发现一处脏乱差扣0.5分。</w:t>
            </w:r>
          </w:p>
        </w:tc>
        <w:tc>
          <w:tcPr>
            <w:tcW w:w="1440" w:type="dxa"/>
            <w:noWrap w:val="0"/>
            <w:vAlign w:val="center"/>
          </w:tcPr>
          <w:p w14:paraId="48C76102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2177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438" w:type="dxa"/>
            <w:vMerge w:val="continue"/>
            <w:noWrap w:val="0"/>
            <w:vAlign w:val="top"/>
          </w:tcPr>
          <w:p w14:paraId="621FBE19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506EFD5E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16.室外环境</w:t>
            </w:r>
          </w:p>
        </w:tc>
        <w:tc>
          <w:tcPr>
            <w:tcW w:w="9433" w:type="dxa"/>
            <w:noWrap w:val="0"/>
            <w:vAlign w:val="center"/>
          </w:tcPr>
          <w:p w14:paraId="53AC3BE9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院落整洁，绿化美化良好，无卫生死角。环境脏乱，出现一处扣0.5分。</w:t>
            </w:r>
          </w:p>
        </w:tc>
        <w:tc>
          <w:tcPr>
            <w:tcW w:w="1440" w:type="dxa"/>
            <w:noWrap w:val="0"/>
            <w:vAlign w:val="center"/>
          </w:tcPr>
          <w:p w14:paraId="2903B348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65BA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38" w:type="dxa"/>
            <w:vMerge w:val="continue"/>
            <w:noWrap w:val="0"/>
            <w:vAlign w:val="top"/>
          </w:tcPr>
          <w:p w14:paraId="28A60AFC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5BCB6E08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17.个人卫生</w:t>
            </w:r>
          </w:p>
        </w:tc>
        <w:tc>
          <w:tcPr>
            <w:tcW w:w="9433" w:type="dxa"/>
            <w:noWrap w:val="0"/>
            <w:vAlign w:val="center"/>
          </w:tcPr>
          <w:p w14:paraId="2E51E499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为老人提供良好的个人卫生条件，衣物、床单、被罩定期清洗更换。一人次卫生状况差扣0.2分。</w:t>
            </w:r>
          </w:p>
        </w:tc>
        <w:tc>
          <w:tcPr>
            <w:tcW w:w="1440" w:type="dxa"/>
            <w:noWrap w:val="0"/>
            <w:vAlign w:val="center"/>
          </w:tcPr>
          <w:p w14:paraId="0CB505A1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C8D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38" w:type="dxa"/>
            <w:vMerge w:val="restart"/>
            <w:noWrap w:val="0"/>
            <w:vAlign w:val="center"/>
          </w:tcPr>
          <w:p w14:paraId="7CADBC30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加分项</w:t>
            </w:r>
          </w:p>
        </w:tc>
        <w:tc>
          <w:tcPr>
            <w:tcW w:w="1836" w:type="dxa"/>
            <w:noWrap w:val="0"/>
            <w:vAlign w:val="center"/>
          </w:tcPr>
          <w:p w14:paraId="701F92B1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创新与荣誉</w:t>
            </w:r>
          </w:p>
        </w:tc>
        <w:tc>
          <w:tcPr>
            <w:tcW w:w="9433" w:type="dxa"/>
            <w:noWrap w:val="0"/>
            <w:vAlign w:val="center"/>
          </w:tcPr>
          <w:p w14:paraId="59D8A3B1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管理或服务模式有创新并被上级部门推广，+5分;获得市级、自治区级、国家级表彰或荣誉，分别加1、2、3分/次。</w:t>
            </w:r>
          </w:p>
        </w:tc>
        <w:tc>
          <w:tcPr>
            <w:tcW w:w="1440" w:type="dxa"/>
            <w:noWrap w:val="0"/>
            <w:vAlign w:val="center"/>
          </w:tcPr>
          <w:p w14:paraId="7293CDCC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最高加10分</w:t>
            </w:r>
          </w:p>
        </w:tc>
      </w:tr>
      <w:tr w14:paraId="1975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38" w:type="dxa"/>
            <w:vMerge w:val="continue"/>
            <w:noWrap w:val="0"/>
            <w:vAlign w:val="top"/>
          </w:tcPr>
          <w:p w14:paraId="05033EB3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68E86EB4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机构等级</w:t>
            </w:r>
          </w:p>
        </w:tc>
        <w:tc>
          <w:tcPr>
            <w:tcW w:w="9433" w:type="dxa"/>
            <w:noWrap w:val="0"/>
            <w:vAlign w:val="center"/>
          </w:tcPr>
          <w:p w14:paraId="09A82150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积极参与养老机构等级评定。等级评定在有效期内一级养老机构加1分，二级加1.5分，三级加2分，四级加2.5分，五级加3分。</w:t>
            </w:r>
          </w:p>
        </w:tc>
        <w:tc>
          <w:tcPr>
            <w:tcW w:w="1440" w:type="dxa"/>
            <w:noWrap w:val="0"/>
            <w:vAlign w:val="center"/>
          </w:tcPr>
          <w:p w14:paraId="3D75C5E6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96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38" w:type="dxa"/>
            <w:vMerge w:val="restart"/>
            <w:noWrap w:val="0"/>
            <w:vAlign w:val="center"/>
          </w:tcPr>
          <w:p w14:paraId="66CADC1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减分项</w:t>
            </w:r>
          </w:p>
        </w:tc>
        <w:tc>
          <w:tcPr>
            <w:tcW w:w="1836" w:type="dxa"/>
            <w:noWrap w:val="0"/>
            <w:vAlign w:val="center"/>
          </w:tcPr>
          <w:p w14:paraId="4098EA23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老人满意度</w:t>
            </w:r>
          </w:p>
        </w:tc>
        <w:tc>
          <w:tcPr>
            <w:tcW w:w="9433" w:type="dxa"/>
            <w:noWrap w:val="0"/>
            <w:vAlign w:val="center"/>
          </w:tcPr>
          <w:p w14:paraId="553E6768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随机对入住老人进行匿名问卷调查，满意度80%及以上不扣分，每低5个百分点扣1分</w:t>
            </w:r>
          </w:p>
        </w:tc>
        <w:tc>
          <w:tcPr>
            <w:tcW w:w="1440" w:type="dxa"/>
            <w:noWrap w:val="0"/>
            <w:vAlign w:val="center"/>
          </w:tcPr>
          <w:p w14:paraId="54FFFAF0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14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38" w:type="dxa"/>
            <w:vMerge w:val="continue"/>
            <w:noWrap w:val="0"/>
            <w:vAlign w:val="top"/>
          </w:tcPr>
          <w:p w14:paraId="4D70EE8F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53E184C6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家属满意度</w:t>
            </w:r>
          </w:p>
        </w:tc>
        <w:tc>
          <w:tcPr>
            <w:tcW w:w="9433" w:type="dxa"/>
            <w:noWrap w:val="0"/>
            <w:vAlign w:val="center"/>
          </w:tcPr>
          <w:p w14:paraId="4B5619EC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随机对老人家属进行问卷调查或电话回访，满意度80%及以上不扣分，每低5个百分点扣1分。</w:t>
            </w:r>
          </w:p>
        </w:tc>
        <w:tc>
          <w:tcPr>
            <w:tcW w:w="1440" w:type="dxa"/>
            <w:noWrap w:val="0"/>
            <w:vAlign w:val="center"/>
          </w:tcPr>
          <w:p w14:paraId="785A2939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0F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38" w:type="dxa"/>
            <w:vMerge w:val="restart"/>
            <w:noWrap w:val="0"/>
            <w:vAlign w:val="center"/>
          </w:tcPr>
          <w:p w14:paraId="634125F6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一票否决</w:t>
            </w:r>
          </w:p>
        </w:tc>
        <w:tc>
          <w:tcPr>
            <w:tcW w:w="1836" w:type="dxa"/>
            <w:vMerge w:val="restart"/>
            <w:noWrap w:val="0"/>
            <w:vAlign w:val="center"/>
          </w:tcPr>
          <w:p w14:paraId="1F7BA664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安全事故与违规</w:t>
            </w:r>
          </w:p>
        </w:tc>
        <w:tc>
          <w:tcPr>
            <w:tcW w:w="9433" w:type="dxa"/>
            <w:noWrap w:val="0"/>
            <w:vAlign w:val="center"/>
          </w:tcPr>
          <w:p w14:paraId="56A667B0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本年度内发生重大安全责任事故(如火灾、食物中毒、老人走失致死致残等)、欺老虐老事件经查证属实。</w:t>
            </w:r>
          </w:p>
        </w:tc>
        <w:tc>
          <w:tcPr>
            <w:tcW w:w="1440" w:type="dxa"/>
            <w:noWrap w:val="0"/>
            <w:vAlign w:val="center"/>
          </w:tcPr>
          <w:p w14:paraId="43175907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一票否决</w:t>
            </w:r>
          </w:p>
        </w:tc>
      </w:tr>
      <w:tr w14:paraId="74AE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38" w:type="dxa"/>
            <w:vMerge w:val="continue"/>
            <w:noWrap w:val="0"/>
            <w:vAlign w:val="top"/>
          </w:tcPr>
          <w:p w14:paraId="53E82182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 w14:paraId="608C84B7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33" w:type="dxa"/>
            <w:noWrap w:val="0"/>
            <w:vAlign w:val="center"/>
          </w:tcPr>
          <w:p w14:paraId="2099F193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出现重大财务违纪违法行为（如骗取补贴）、或发生群体性事件造成恶劣社会影响。</w:t>
            </w:r>
          </w:p>
        </w:tc>
        <w:tc>
          <w:tcPr>
            <w:tcW w:w="1440" w:type="dxa"/>
            <w:noWrap w:val="0"/>
            <w:vAlign w:val="center"/>
          </w:tcPr>
          <w:p w14:paraId="5C7778C0">
            <w:pPr>
              <w:keepNext w:val="0"/>
              <w:keepLines w:val="0"/>
              <w:pageBreakBefore w:val="0"/>
              <w:widowControl w:val="0"/>
              <w:tabs>
                <w:tab w:val="left" w:pos="2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一票否决</w:t>
            </w:r>
          </w:p>
        </w:tc>
      </w:tr>
    </w:tbl>
    <w:p w14:paraId="1FC6CE26">
      <w:pPr>
        <w:tabs>
          <w:tab w:val="left" w:pos="2686"/>
        </w:tabs>
        <w:bidi w:val="0"/>
        <w:ind w:firstLine="210" w:firstLineChars="100"/>
        <w:jc w:val="left"/>
        <w:rPr>
          <w:rFonts w:hint="eastAsia"/>
          <w:lang w:val="en-US" w:eastAsia="zh-CN"/>
        </w:rPr>
        <w:sectPr>
          <w:pgSz w:w="16838" w:h="11906" w:orient="landscape"/>
          <w:pgMar w:top="1587" w:right="1134" w:bottom="1474" w:left="1134" w:header="851" w:footer="595" w:gutter="0"/>
          <w:pgNumType w:fmt="decimal"/>
          <w:cols w:space="720" w:num="1"/>
          <w:rtlGutter w:val="0"/>
          <w:docGrid w:type="lines" w:linePitch="315" w:charSpace="0"/>
        </w:sectPr>
      </w:pPr>
      <w:bookmarkStart w:id="0" w:name="_GoBack"/>
      <w:bookmarkEnd w:id="0"/>
    </w:p>
    <w:p w14:paraId="5AA892D9">
      <w:pPr>
        <w:tabs>
          <w:tab w:val="left" w:pos="857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EBD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5422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9D43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.7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+QjcNIAAAAE&#10;AQAADwAAAGRycy9kb3ducmV2LnhtbE2PwU7DMBBE70j8g7VI3KidCpAV4vSA4EilFi7cnHibpI3X&#10;ke204e9ZuMBlpNGsZt5Wm8WP4owxDYEMFCsFAqkNbqDOwMf7650GkbIlZ8dAaOALE2zq66vKli5c&#10;aIfnfe4El1AqrYE+56mUMrU9eptWYULi7BCit5lt7KSL9sLlfpRrpR6ltwPxQm8nfO6xPe1nb+Dw&#10;tj0dX+adOnZK42cRcWmKrTG3N4V6ApFxyX/H8IPP6FAzUxNmckmMBviR/KucrbVm2xjQD/cg60r+&#10;h6+/AVBLAwQUAAAACACHTuJAN4Hcd8MBAAB+AwAADgAAAGRycy9lMm9Eb2MueG1srVNLbtswEN0X&#10;yB0I7msqSlO4guUAhZGgQNAWSHoAmiItAvyBQ1vyBdobdNVN9z2Xz9EhbTltusmiG2k4M3p8781o&#10;cTNaQ3YygvaupZezihLphO+027T0y+Pt6zklkLjruPFOtnQvgd4sL14thtDI2vfedDISBHHQDKGl&#10;fUqhYQxELy2HmQ/SYVH5aHnCY9ywLvIB0a1hdVW9ZYOPXYheSADMro5FekKMLwH0SmkhV15srXTp&#10;iBql4QklQa8D0GVhq5QU6ZNSIBMxLUWlqTzxEozX+cmWC95sIg+9FicK/CUUnmmyXDu89Ay14omT&#10;bdT/QFktogev0kx4y45CiiOo4rJ65s1Dz4MsWtBqCGfT4f/Bio+7z5HorqVXlDhuceCH798OP34d&#10;fn4lV9meIUCDXQ8B+9L43o+4NFMeMJlVjyra/EY9BOto7v5srhwTEfmjeT2fV1gSWLt+U9fvivvs&#10;6esQId1Jb0kOWhpxeMVTvruHhEywdWrJlzl/q40pAzTurwQ25gzL1I8Uc5TG9XjSs/bdHuUMOPeW&#10;OlxzSswHh7bmFZmCOAXrKdiGqDd92aFMJ4PiWAqx0wrluf95Ll1Pv83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vkI3DSAAAABAEAAA8AAAAAAAAAAQAgAAAAIgAAAGRycy9kb3ducmV2LnhtbFBL&#10;AQIUABQAAAAIAIdO4kA3gdx3wwEAAH4DAAAOAAAAAAAAAAEAIAAAACE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C9D43F">
                    <w:pPr>
                      <w:pStyle w:val="2"/>
                      <w:rPr>
                        <w:rFonts w:hint="eastAsia" w:ascii="宋体" w:hAnsi="宋体" w:eastAsia="宋体" w:cs="宋体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9DCD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487E"/>
    <w:rsid w:val="0284231A"/>
    <w:rsid w:val="05A71D82"/>
    <w:rsid w:val="08C90640"/>
    <w:rsid w:val="12BC77E7"/>
    <w:rsid w:val="3CB74ABF"/>
    <w:rsid w:val="3E1777EE"/>
    <w:rsid w:val="3F7E5149"/>
    <w:rsid w:val="42F31A48"/>
    <w:rsid w:val="50D74429"/>
    <w:rsid w:val="5212259C"/>
    <w:rsid w:val="524B7963"/>
    <w:rsid w:val="5E282CCF"/>
    <w:rsid w:val="5E6E66AD"/>
    <w:rsid w:val="66A03D4A"/>
    <w:rsid w:val="70074E3A"/>
    <w:rsid w:val="76A41635"/>
    <w:rsid w:val="7D6C09D3"/>
    <w:rsid w:val="7F09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3146</Words>
  <Characters>3262</Characters>
  <Lines>0</Lines>
  <Paragraphs>0</Paragraphs>
  <TotalTime>164</TotalTime>
  <ScaleCrop>false</ScaleCrop>
  <LinksUpToDate>false</LinksUpToDate>
  <CharactersWithSpaces>4205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2026-04-24T10:50:00Z</dcterms:created>
  <dc:creator>lenovo</dc:creator>
  <cp:lastModifiedBy>静默</cp:lastModifiedBy>
  <cp:lastPrinted>2026-05-06T07:36:00Z</cp:lastPrinted>
  <dcterms:modified xsi:type="dcterms:W3CDTF">2026-05-18T03:35:26Z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eyJoZGlkIjoiNjcyOWUxYTQ0ZjYzZjE4ZmYxM2NlY2YwOWMxNTkxMjMiLCJ1c2VySWQiOiI1NDQ4NTU0NDEifQ==</vt:lpwstr>
  </property>
  <property fmtid="{D5CDD505-2E9C-101B-9397-08002B2CF9AE}" pid="4" name="ICV">
    <vt:lpwstr>128C378948814BCFB20B13D845C62430_12</vt:lpwstr>
  </property>
</Properties>
</file>