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平罗县中小企业数字化转型试点县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（征求意见稿）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为深入贯彻落实自治区党委政府“稳增长促发展攻坚年行动”决策部署，加大中小企业数字化转型支持力度，加快推进产业数字化，促进产业转型升级，依据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bidi="ar"/>
        </w:rPr>
        <w:t>自治区工业和信息化厅、财政厅关于做好中小企业数字化转型试点县（区）相关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工作要求，结合平罗县发展实际，制定本方案。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一、工作目标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聚焦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新型材料、现代化工、轻工纺织、装备制造4个行业，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全面推动中小企业实施数字化改造，通过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优化中小企业数字化服务供给、增强中小企业自主创新能力、培育中小企业数字化转型标杆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，提升产业高端化、智能化、绿色化发展水平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总结提炼一批“链式”转型模式，探索形成具有地方特色的典型做法及模式，助推中小企业高质量发展。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——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推动中小企业开展数字化改造。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推动55家中小企业完成数字化改造，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改造后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数字化水平二级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家，三级5家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，四级1家，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数字化水平在原有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上得到提升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新增上云用云中小企业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——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增强中小企业自主创新能力。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拟改造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“专精特新”中小企业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数量达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25家，新增高新技术企业2家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技型中小企业5家。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——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打造中小企业数字化转型标杆。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打造数字化转型标杆企业3家，建设基础级智能工厂10个、先进级智能工厂5个，形成“链式”数字化转型典型案例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二、重点任务</w:t>
      </w:r>
    </w:p>
    <w:p>
      <w:pPr>
        <w:spacing w:line="560" w:lineRule="exact"/>
        <w:ind w:firstLine="642" w:firstLineChars="200"/>
        <w:rPr>
          <w:rFonts w:hint="default" w:ascii="Times New Roman" w:hAnsi="Times New Roman" w:eastAsia="楷体_GB2312" w:cs="楷体_GB2312"/>
          <w:b/>
          <w:bCs/>
          <w:snapToGrid w:val="0"/>
          <w:color w:val="auto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楷体_GB2312" w:cs="楷体_GB2312"/>
          <w:b/>
          <w:bCs/>
          <w:snapToGrid w:val="0"/>
          <w:color w:val="auto"/>
          <w:sz w:val="32"/>
          <w:szCs w:val="32"/>
          <w:lang w:bidi="ar"/>
        </w:rPr>
        <w:t>前期准备</w:t>
      </w:r>
      <w:r>
        <w:rPr>
          <w:rFonts w:hint="eastAsia" w:ascii="Times New Roman" w:hAnsi="Times New Roman" w:eastAsia="楷体_GB2312" w:cs="楷体_GB2312"/>
          <w:b/>
          <w:bCs/>
          <w:snapToGrid w:val="0"/>
          <w:color w:val="auto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楷体_GB2312" w:cs="楷体_GB2312"/>
          <w:b/>
          <w:bCs/>
          <w:snapToGrid w:val="0"/>
          <w:color w:val="auto"/>
          <w:sz w:val="32"/>
          <w:szCs w:val="32"/>
          <w:lang w:val="en-US" w:eastAsia="zh-CN" w:bidi="ar"/>
        </w:rPr>
        <w:t>重点强化试点顶层设计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1.定期开展培训。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对全县中小企业和相关部门开展定期培训，增强数字化转型意识和服务能力。组织召开全县中小企业数字化转型动员大会，宣贯试点工作方案及相关扶持政策，组织专家分享典型案例和成功经验；定期深入企业，广泛宣传扶持政策及评定智能工厂（基础级、先进级）标准和要求，解答企业在数字化转型方面存在的疑虑和困难。</w:t>
      </w:r>
      <w:r>
        <w:rPr>
          <w:rFonts w:hint="eastAsia" w:ascii="Times New Roman" w:hAnsi="Times New Roman" w:eastAsia="楷体_GB2312" w:cs="楷体_GB2312"/>
          <w:snapToGrid w:val="0"/>
          <w:color w:val="auto"/>
          <w:sz w:val="32"/>
          <w:szCs w:val="32"/>
          <w:lang w:bidi="ar"/>
        </w:rPr>
        <w:t>（责任单位：县工信局）</w:t>
      </w:r>
    </w:p>
    <w:p>
      <w:pPr>
        <w:overflowPunct w:val="0"/>
        <w:adjustRightInd w:val="0"/>
        <w:snapToGrid w:val="0"/>
        <w:spacing w:line="560" w:lineRule="exact"/>
        <w:ind w:firstLine="642" w:firstLineChars="200"/>
        <w:rPr>
          <w:rFonts w:ascii="Times New Roman" w:hAnsi="Times New Roman" w:eastAsia="楷体_GB2312" w:cs="楷体_GB2312"/>
          <w:snapToGrid w:val="0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2.细化试点工作内容。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自治区试点工作要求，制定试点工作方案，明确目标任务，绘制涵盖项目申报、过程服务、验收审计、金融支撑等全环节流程图，细化主导产业数字化转型推进计划，动员中小企业积极参与数字化改造，推动规上工业企业“应改尽改”，规下工业企业“愿改尽改”。</w:t>
      </w:r>
      <w:r>
        <w:rPr>
          <w:rFonts w:hint="eastAsia" w:ascii="Times New Roman" w:hAnsi="Times New Roman" w:eastAsia="楷体_GB2312" w:cs="楷体_GB2312"/>
          <w:snapToGrid w:val="0"/>
          <w:color w:val="auto"/>
          <w:sz w:val="32"/>
          <w:szCs w:val="32"/>
          <w:lang w:bidi="ar"/>
        </w:rPr>
        <w:t>（责任单位：县工信局）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3.遴选服务机构。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坚持“市场化、多元化、公开化”原则，按照政府采购管理办法，规范选全过程服务管理、验收管理、审计监督3类服务机构，全力做好试点过程管理、结项验收和效能评估工作。采用企业自主选择与服务商遴选相结合工作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通过自愿申报、资料审核、线上公示等程序，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按照实施数转改造工作质效，择优评选一定数量的优质服务商，为试点企业提供数字化应用解决方案并实施数转改造。</w:t>
      </w:r>
      <w:r>
        <w:rPr>
          <w:rFonts w:hint="eastAsia" w:ascii="Times New Roman" w:hAnsi="Times New Roman" w:eastAsia="楷体_GB2312" w:cs="楷体_GB2312"/>
          <w:snapToGrid w:val="0"/>
          <w:color w:val="auto"/>
          <w:sz w:val="32"/>
          <w:szCs w:val="32"/>
          <w:lang w:bidi="ar"/>
        </w:rPr>
        <w:t>（责任单位：县工信局）</w:t>
      </w:r>
    </w:p>
    <w:p>
      <w:pPr>
        <w:spacing w:line="560" w:lineRule="exact"/>
        <w:ind w:firstLine="642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napToGrid w:val="0"/>
          <w:color w:val="auto"/>
          <w:sz w:val="32"/>
          <w:szCs w:val="32"/>
          <w:lang w:bidi="ar"/>
        </w:rPr>
        <w:t>（二）</w:t>
      </w:r>
      <w:r>
        <w:rPr>
          <w:rFonts w:hint="eastAsia" w:ascii="Times New Roman" w:hAnsi="Times New Roman" w:eastAsia="楷体_GB2312" w:cs="楷体_GB2312"/>
          <w:b/>
          <w:bCs/>
          <w:snapToGrid w:val="0"/>
          <w:color w:val="auto"/>
          <w:sz w:val="32"/>
          <w:szCs w:val="32"/>
          <w:lang w:val="en-US" w:eastAsia="zh-CN" w:bidi="ar"/>
        </w:rPr>
        <w:t>纵深推进</w:t>
      </w:r>
      <w:r>
        <w:rPr>
          <w:rFonts w:hint="eastAsia" w:ascii="Times New Roman" w:hAnsi="Times New Roman" w:eastAsia="楷体_GB2312" w:cs="楷体_GB2312"/>
          <w:b/>
          <w:bCs/>
          <w:snapToGrid w:val="0"/>
          <w:color w:val="auto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楷体_GB2312" w:cs="楷体_GB2312"/>
          <w:b/>
          <w:bCs/>
          <w:snapToGrid w:val="0"/>
          <w:color w:val="auto"/>
          <w:sz w:val="32"/>
          <w:szCs w:val="32"/>
          <w:lang w:val="en-US" w:eastAsia="zh-CN" w:bidi="ar"/>
        </w:rPr>
        <w:t>全面推动企业转型改造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.开展数字化水平诊断。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严格按照《中小企业数字化水平评测指标（2024年版）》，推动企业线上自评和服务商入企深度诊断相结合的方式，出具诊断报告进行改造前定级，形成“一企一档”，针对企业需求、存在问题和投资计划，“一企一策”提出转型改造方案。</w:t>
      </w:r>
      <w:r>
        <w:rPr>
          <w:rFonts w:hint="eastAsia" w:ascii="Times New Roman" w:hAnsi="Times New Roman" w:eastAsia="楷体_GB2312" w:cs="楷体_GB2312"/>
          <w:snapToGrid w:val="0"/>
          <w:color w:val="auto"/>
          <w:sz w:val="32"/>
          <w:szCs w:val="32"/>
          <w:lang w:bidi="ar"/>
        </w:rPr>
        <w:t>（责任单位：县工信局）</w:t>
      </w:r>
    </w:p>
    <w:p>
      <w:pPr>
        <w:spacing w:line="560" w:lineRule="exact"/>
        <w:ind w:firstLine="642" w:firstLineChars="200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.搭建供需平台。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线下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依托平罗县工业园区服务基地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打造集产品展示、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需求发布、座谈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于一体的供需对接通道，围绕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四大行业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数字化转型痛点，策划实施不少于3次供需对接活动；线上依托宁夏企业公共服务平台的资源整合优势，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定期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筛选优质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“小快轻准”产品资源池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形成清单并发布，不少于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，提升优质资源与需求方的对接效率。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>（县工信局负责，工业园区管委会配合）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.分批实施改造。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结合企业实际需求和行业发展特点，按照“分批实施、自愿申报、先改多补”原则，建立“任务书制度”，分两批落实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认定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试点企业数字化转型项目，分类确定数改重点，形成改造目标清单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按照自治区专项资金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2000万及县级配套资金800万额度，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制定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支持数字化转型试点若干措施，明确资金奖补标准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对改造后数字化水平达到二级及以上水平的试点企业进行补助，其中，第一批改造补助比例不超过企业数字化改造实际投入资金的60%，最高不超过50万元；第二批改造企业补助比例不超过企业数字化改造实际投入资金的50%，最高不超过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组织全过程服务商定期入企进行现场指导，跟踪项目进度，帮助企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业解决在设备升级、系统搭建、数据应用等环节遇到的难点、堵点问题。</w:t>
      </w:r>
      <w:r>
        <w:rPr>
          <w:rFonts w:hint="eastAsia" w:ascii="Times New Roman" w:hAnsi="Times New Roman" w:eastAsia="楷体_GB2312" w:cs="楷体_GB2312"/>
          <w:snapToGrid w:val="0"/>
          <w:color w:val="auto"/>
          <w:sz w:val="32"/>
          <w:szCs w:val="32"/>
          <w:lang w:bidi="ar"/>
        </w:rPr>
        <w:t>（责任单位：县工信局）</w:t>
      </w:r>
    </w:p>
    <w:p>
      <w:pPr>
        <w:spacing w:line="560" w:lineRule="exact"/>
        <w:ind w:firstLine="642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.探索链式转型路径。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细分行业龙头（链主）企业加快工业互联网平台建设，共享行业解决方案和工具包，引导带动上下游中小企业围绕技术赋能、供应链赋能、平台赋能和生态赋能等模式协同转型，总体提升产业链、供应链韧性和安全水平，加速全链条数字化进程。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>（责任单位：县工信局）</w:t>
      </w:r>
    </w:p>
    <w:p>
      <w:pPr>
        <w:spacing w:line="560" w:lineRule="exact"/>
        <w:ind w:firstLine="642" w:firstLineChars="200"/>
        <w:rPr>
          <w:rFonts w:hint="default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示范引领，着力打造精品工程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560" w:lineRule="exact"/>
        <w:ind w:left="0" w:leftChars="0" w:firstLine="64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.典型案例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征集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征集转型效果好、方式优的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中小企业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数字化转型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典型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案例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，做到“试成一批、带动一片”。发挥大企业带动作用，“大手”牵“小手”，“先转”带“后转”，引导我县更多行业中小企业开展数字化转型。支持中小企业数字化转型标准、解决方案和产品“走出去”，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强化我县中小企业产品市场竞争优势，提高我县中小企业“专精特新”市场占比份额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>（责任单位：县工信局）</w:t>
      </w:r>
    </w:p>
    <w:p>
      <w:pPr>
        <w:spacing w:line="560" w:lineRule="exact"/>
        <w:ind w:firstLine="642" w:firstLineChars="200"/>
        <w:rPr>
          <w:rFonts w:hint="eastAsia" w:ascii="Times New Roman" w:hAnsi="Times New Roman" w:eastAsia="楷体_GB2312" w:cs="楷体_GB2312"/>
          <w:snapToGrid w:val="0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.标杆案例打造。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组织开展中小企业数字化转型标杆企业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，挖掘典型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应用场景、应用水平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，总结数字化转型成效、行业影响及示范作用的企业，通过专家组评选，遴选3家基础条件好、转型效果突出、投入产出比高、可复制性强的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数字化转型标杆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企业和1家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“链式”数字化转型典型案例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作为转型样板。</w:t>
      </w:r>
      <w:r>
        <w:rPr>
          <w:rFonts w:hint="eastAsia" w:ascii="Times New Roman" w:hAnsi="Times New Roman" w:eastAsia="楷体_GB2312" w:cs="楷体_GB2312"/>
          <w:snapToGrid w:val="0"/>
          <w:color w:val="auto"/>
          <w:sz w:val="32"/>
          <w:szCs w:val="32"/>
          <w:lang w:bidi="ar"/>
        </w:rPr>
        <w:t>（责任单位：县工信局）</w:t>
      </w:r>
    </w:p>
    <w:p>
      <w:pPr>
        <w:spacing w:line="560" w:lineRule="exact"/>
        <w:ind w:firstLine="642" w:firstLineChars="200"/>
        <w:rPr>
          <w:rFonts w:hint="eastAsia" w:ascii="楷体" w:hAnsi="楷体" w:eastAsia="楷体_GB2312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结果导向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严格项目</w:t>
      </w:r>
      <w:r>
        <w:rPr>
          <w:rFonts w:hint="eastAsia" w:ascii="Times New Roman" w:hAnsi="Times New Roman" w:eastAsia="楷体_GB2312" w:cs="楷体_GB2312"/>
          <w:b/>
          <w:bCs/>
          <w:snapToGrid w:val="0"/>
          <w:color w:val="auto"/>
          <w:sz w:val="32"/>
          <w:szCs w:val="32"/>
          <w:lang w:bidi="ar"/>
        </w:rPr>
        <w:t>验收监管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.实施项目协同监管。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组织选定的行业推进、验收管理、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审计监督三类专业服务机构，分别负责项目全流程服务、专项验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收及合规审计工作。通过构建多方监督、协同共管的工作机制，形成流程闭环，有效保障项目监管环节的规范性与验收结果的公正性，为高效完成试点项目提供专业支撑。</w:t>
      </w:r>
      <w:r>
        <w:rPr>
          <w:rFonts w:hint="eastAsia" w:ascii="Times New Roman" w:hAnsi="Times New Roman" w:eastAsia="楷体_GB2312" w:cs="楷体_GB2312"/>
          <w:snapToGrid w:val="0"/>
          <w:color w:val="auto"/>
          <w:sz w:val="32"/>
          <w:szCs w:val="32"/>
          <w:lang w:bidi="ar"/>
        </w:rPr>
        <w:t>（责任单位：县审计局、工信局）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spacing w:before="0" w:beforeAutospacing="0" w:afterLines="0" w:afterAutospacing="0" w:line="560" w:lineRule="exact"/>
        <w:ind w:left="0" w:leftChars="0" w:firstLine="64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.推行项目全周期管理。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入选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试点项目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进行调度，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动态监控项目进度、资金使用及服务商工作绩效等关键指标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从立项、实施到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验收的项目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全生命周期管理。建立健全项目随机抽查机制，对核查中发现存在弄虚作假或严重偏离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任务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约定目标的改造项目，一律取消其试点资格。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>责任单位：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>县工信局、财政局、审计局）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.严格组织项目验收。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组织专家根据管理办法分批开展项目验收及绩效评价工作，根据试点企业改造成效及改造后数字化水平等级，形成试点企业数字化改造项目验收意见。验收结果作为试点企业资金兑付、数字化服务商绩效评价重要依据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验收未通过需进行整改后复评，完成总体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家企业的数字化转型改造目标，确保试点企业数字化水平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提升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楷体_GB2312" w:cs="楷体_GB2312"/>
          <w:snapToGrid w:val="0"/>
          <w:color w:val="auto"/>
          <w:sz w:val="32"/>
          <w:szCs w:val="32"/>
          <w:lang w:bidi="ar"/>
        </w:rPr>
        <w:t>（责任单位：县工信局、财政局、审计局）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>及时兑付奖补资金。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依据验收及审计结果，按标准及时向改造企业兑现项目奖补资金。同时，对试点期间改造实施较好的优秀应用场景、优秀行业推进机构以及优秀综合型服务商，按政策标准及时给予资金奖励。验收完成后对本试点进行分析、总结，将推动中小企业数字化转型良好经验长期贯彻。</w:t>
      </w:r>
      <w:r>
        <w:rPr>
          <w:rFonts w:hint="eastAsia" w:ascii="Times New Roman" w:hAnsi="Times New Roman" w:eastAsia="楷体_GB2312" w:cs="楷体_GB2312"/>
          <w:snapToGrid w:val="0"/>
          <w:color w:val="auto"/>
          <w:sz w:val="32"/>
          <w:szCs w:val="32"/>
          <w:lang w:bidi="ar"/>
        </w:rPr>
        <w:t>（责任单位：县财政局、工信局）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三、实施进度计划</w:t>
      </w:r>
    </w:p>
    <w:p>
      <w:pPr>
        <w:pStyle w:val="5"/>
        <w:widowControl/>
        <w:kinsoku w:val="0"/>
        <w:autoSpaceDE w:val="0"/>
        <w:autoSpaceDN w:val="0"/>
        <w:adjustRightInd w:val="0"/>
        <w:snapToGrid w:val="0"/>
        <w:spacing w:after="0" w:line="560" w:lineRule="exact"/>
        <w:ind w:firstLine="646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按照自治区中小企业数字化转型试点县（区）工作的要求，试点</w:t>
      </w:r>
      <w:r>
        <w:rPr>
          <w:rFonts w:hint="eastAsia" w:eastAsia="仿宋_GB2312"/>
          <w:color w:val="auto"/>
          <w:sz w:val="32"/>
          <w:szCs w:val="32"/>
        </w:rPr>
        <w:t>县</w:t>
      </w:r>
      <w:r>
        <w:rPr>
          <w:rFonts w:eastAsia="仿宋_GB2312"/>
          <w:color w:val="auto"/>
          <w:sz w:val="32"/>
          <w:szCs w:val="32"/>
        </w:rPr>
        <w:t>实施周期为方案批复之日起1年，结合</w:t>
      </w:r>
      <w:r>
        <w:rPr>
          <w:rFonts w:hint="eastAsia" w:eastAsia="仿宋_GB2312"/>
          <w:color w:val="auto"/>
          <w:sz w:val="32"/>
          <w:szCs w:val="32"/>
        </w:rPr>
        <w:t>平罗县</w:t>
      </w:r>
      <w:r>
        <w:rPr>
          <w:rFonts w:eastAsia="仿宋_GB2312"/>
          <w:color w:val="auto"/>
          <w:sz w:val="32"/>
          <w:szCs w:val="32"/>
        </w:rPr>
        <w:t>新型材料、现代化工</w:t>
      </w:r>
      <w:r>
        <w:rPr>
          <w:rFonts w:hint="eastAsia" w:eastAsia="仿宋_GB2312"/>
          <w:color w:val="auto"/>
          <w:sz w:val="32"/>
          <w:szCs w:val="32"/>
        </w:rPr>
        <w:t>、轻工纺织、装备制造</w:t>
      </w:r>
      <w:r>
        <w:rPr>
          <w:rFonts w:eastAsia="仿宋_GB2312"/>
          <w:color w:val="auto"/>
          <w:sz w:val="32"/>
          <w:szCs w:val="32"/>
        </w:rPr>
        <w:t>行业拟改造中小企业数量，拟分阶段推进试点企业数字化转型，具体安排如下：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（一）谋划准备阶段（2025年10月-2025年12月）</w:t>
      </w:r>
    </w:p>
    <w:p>
      <w:pPr>
        <w:pStyle w:val="5"/>
        <w:widowControl/>
        <w:kinsoku w:val="0"/>
        <w:autoSpaceDE w:val="0"/>
        <w:autoSpaceDN w:val="0"/>
        <w:adjustRightInd w:val="0"/>
        <w:snapToGrid w:val="0"/>
        <w:spacing w:after="0" w:line="560" w:lineRule="exact"/>
        <w:ind w:firstLine="646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组建平罗县中小企业数字化转型专项工作专班，牵头编制《平罗县中小企业数字化转型试点县工作方案》，系统明确工作目标、重点任务与分阶段推进计划，为试点工作定框架、明路径。同步推进第三方服务机构遴选，配套出台服务商管理办法及资金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支持措施</w:t>
      </w:r>
      <w:r>
        <w:rPr>
          <w:rFonts w:hint="eastAsia" w:eastAsia="仿宋_GB2312"/>
          <w:color w:val="auto"/>
          <w:sz w:val="32"/>
          <w:szCs w:val="32"/>
        </w:rPr>
        <w:t>，规范服务与资金安全；面向全县规上企业举办数字化转型专题培训会，深入解读相关政策，打通政策落地“最后一公里”。同时，组织开展入企定级诊断，建立“一企一档”，精准掌握企业转型需求与现存痛点，针对性制定个性化改造方案，为企业转型提供“一企一策”指导。</w:t>
      </w:r>
    </w:p>
    <w:p>
      <w:pPr>
        <w:pStyle w:val="5"/>
        <w:widowControl/>
        <w:kinsoku w:val="0"/>
        <w:autoSpaceDE w:val="0"/>
        <w:autoSpaceDN w:val="0"/>
        <w:adjustRightInd w:val="0"/>
        <w:snapToGrid w:val="0"/>
        <w:spacing w:after="0" w:line="560" w:lineRule="exact"/>
        <w:ind w:firstLine="646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（二）实施推广阶段（2025年12月-2026年6月）</w:t>
      </w:r>
    </w:p>
    <w:p>
      <w:pPr>
        <w:pStyle w:val="5"/>
        <w:widowControl/>
        <w:kinsoku w:val="0"/>
        <w:autoSpaceDE w:val="0"/>
        <w:autoSpaceDN w:val="0"/>
        <w:adjustRightInd w:val="0"/>
        <w:snapToGrid w:val="0"/>
        <w:spacing w:after="0" w:line="560" w:lineRule="exact"/>
        <w:ind w:firstLine="646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联合全过程服务机构，共同确定企业数字化转型改造方案，聚焦55家拟改造企业推动项目落地实施，按季度分为两批次，建立全周期跟踪服务机制，动态掌握项目进展，定期通报改造进度；同步开展试点企业成效总结评估，实时收集企业在改造过程中的反馈意见，及时优化调整推进策略。适时启动标杆企业、优质服务商遴选工作，并挖掘链式数字化转型典型案例。通过系统梳理企业改造中的优秀经验做法，形成可复制、可推广的实践范式，助力更多企业借鉴成功路径，加速县域中小企业数字化转型进程。</w:t>
      </w:r>
    </w:p>
    <w:p>
      <w:pPr>
        <w:pStyle w:val="5"/>
        <w:widowControl/>
        <w:kinsoku w:val="0"/>
        <w:autoSpaceDE w:val="0"/>
        <w:autoSpaceDN w:val="0"/>
        <w:adjustRightInd w:val="0"/>
        <w:snapToGrid w:val="0"/>
        <w:spacing w:after="0" w:line="560" w:lineRule="exact"/>
        <w:ind w:firstLine="646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（三）集中攻坚阶段（2026年6月-2026年7月）</w:t>
      </w:r>
    </w:p>
    <w:p>
      <w:pPr>
        <w:pStyle w:val="5"/>
        <w:widowControl/>
        <w:kinsoku w:val="0"/>
        <w:autoSpaceDE w:val="0"/>
        <w:autoSpaceDN w:val="0"/>
        <w:adjustRightInd w:val="0"/>
        <w:snapToGrid w:val="0"/>
        <w:spacing w:after="0" w:line="560" w:lineRule="exact"/>
        <w:ind w:firstLine="646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针对数字化转型成效不佳的试点企业，组建专项小组集中力量攻坚，深入剖析问题根源，量身定制个性化帮扶解决方案，精准破解转型堵点难点。同步启动试点工作“回头看”，对照既定目标全面梳理各项指标完成情况，逐项核查工作短板与遗漏事项，及时制定整改措施并推进落实，确保所有工作环节均符合自治区验收标准，保障试点工作高质量收尾。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（四）验收评价阶段（2026年7月-2026年9月）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组织行业推进机构对试点项目进行全过程服务，验收管理、审计监督机构分别完成试点企业验收及审计，并出具服务报告、验收报告及审计报告，评定企业数字化水平等级，形成“服务-验收-审计-定级”的闭环管理。建立常态化问题反馈机制，针对项目推进、验收环节发现的问题，第一时间下发整改通知，指导企业制定整改方案并限期落实，确保改造项目真正落地见效。最终完成自治区中小企业数字化转型试点工作整体绩效评价，系统总结提炼可复制的成功经验与具有示范意义的典型案例，通过多渠道推广分享，为区域内更多中小企业数字化转型提供参考路径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保障措施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强化组织领导，形成工作合力。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成立由政府主要领导牵头的数字化转型工作专班，整合工信、财政等重点部门力量，形成“一把手”抓总、多部门协同的工作格局。定期召开联席会议，加强重大事项研究、协调解决堵点难点问题，打破部门壁垒，推动资源要素高效整合，确保转型任务一体部署、同步落实，为工作开展提供坚实组织支撑。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（二）深化宣传引导，营造浓厚氛围。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依托平罗县工信局公众号、中小企业公共服务平台两大核心载体，定期更新政策解读内容，用通俗易懂的语言帮助企业理解政策红利；精选县内数字化转型优秀案例进行分享，为企业提供可借鉴、可复制的实践经验。此外，适时组织开展专题培训与工作推进会，强化企业转型意识，激发主动转型动力，营造“主动转型、乐于转型、善于转型”的良好氛围。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（三）优化政策供给，精准赋能转型。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聚焦数字化转型关键环节与重点项目，出台资金扶持措施，同时深度对接自治区、市级各类支持政策，通过集约配置资金、资源，精准投向企业数字化改造、平台搭建等核心领域，切实提升政策精准度与扶持实效，为试点任务高质量完成提供有力政策保障。</w:t>
      </w:r>
    </w:p>
    <w:bookmarkEnd w:id="0"/>
    <w:sectPr>
      <w:footerReference r:id="rId3" w:type="default"/>
      <w:pgSz w:w="11906" w:h="16838"/>
      <w:pgMar w:top="2098" w:right="1474" w:bottom="1984" w:left="1587" w:header="1417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6AAB2"/>
    <w:multiLevelType w:val="singleLevel"/>
    <w:tmpl w:val="DEB6AA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9656AE"/>
    <w:multiLevelType w:val="singleLevel"/>
    <w:tmpl w:val="FB9656A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C6811"/>
    <w:rsid w:val="0033318C"/>
    <w:rsid w:val="008054C1"/>
    <w:rsid w:val="0083292B"/>
    <w:rsid w:val="00D850E1"/>
    <w:rsid w:val="01922F90"/>
    <w:rsid w:val="037C6811"/>
    <w:rsid w:val="0519537F"/>
    <w:rsid w:val="17FF1F56"/>
    <w:rsid w:val="1BFFC904"/>
    <w:rsid w:val="1C7BF286"/>
    <w:rsid w:val="1C9D4A34"/>
    <w:rsid w:val="21050C6C"/>
    <w:rsid w:val="2302174C"/>
    <w:rsid w:val="23E9918A"/>
    <w:rsid w:val="26BF85C6"/>
    <w:rsid w:val="27FDE025"/>
    <w:rsid w:val="2D725E4E"/>
    <w:rsid w:val="2D770228"/>
    <w:rsid w:val="2DFFBAFF"/>
    <w:rsid w:val="2EF743C8"/>
    <w:rsid w:val="2F3D0423"/>
    <w:rsid w:val="2FFFECC3"/>
    <w:rsid w:val="326844C0"/>
    <w:rsid w:val="341B6272"/>
    <w:rsid w:val="34BF003B"/>
    <w:rsid w:val="36F6333B"/>
    <w:rsid w:val="375F271B"/>
    <w:rsid w:val="37FE58BF"/>
    <w:rsid w:val="38C873BE"/>
    <w:rsid w:val="3E4B5F29"/>
    <w:rsid w:val="3EF781B5"/>
    <w:rsid w:val="3FDF8E24"/>
    <w:rsid w:val="3FFEAAEF"/>
    <w:rsid w:val="47F26FA2"/>
    <w:rsid w:val="4FF7A831"/>
    <w:rsid w:val="53DF4DB2"/>
    <w:rsid w:val="54971FDD"/>
    <w:rsid w:val="5579291C"/>
    <w:rsid w:val="55BCB93C"/>
    <w:rsid w:val="57197E30"/>
    <w:rsid w:val="57F7683F"/>
    <w:rsid w:val="5DEF38E3"/>
    <w:rsid w:val="5EF7C168"/>
    <w:rsid w:val="5EFB7D77"/>
    <w:rsid w:val="5F6FA0D2"/>
    <w:rsid w:val="5FAB74A7"/>
    <w:rsid w:val="5FAF7A51"/>
    <w:rsid w:val="5FF3C5FA"/>
    <w:rsid w:val="5FF807FB"/>
    <w:rsid w:val="5FFCB8CE"/>
    <w:rsid w:val="5FFD5A7A"/>
    <w:rsid w:val="65F0EA49"/>
    <w:rsid w:val="695EA63C"/>
    <w:rsid w:val="69EDED69"/>
    <w:rsid w:val="6D3FF8A9"/>
    <w:rsid w:val="6DDB0BD8"/>
    <w:rsid w:val="6EDF979E"/>
    <w:rsid w:val="6F3F72EC"/>
    <w:rsid w:val="6F5B20D3"/>
    <w:rsid w:val="6FD63EF8"/>
    <w:rsid w:val="6FFD9361"/>
    <w:rsid w:val="6FFEC35F"/>
    <w:rsid w:val="73BFFBBB"/>
    <w:rsid w:val="745BB87C"/>
    <w:rsid w:val="74F73DD4"/>
    <w:rsid w:val="74F97729"/>
    <w:rsid w:val="75BF356C"/>
    <w:rsid w:val="75D044F0"/>
    <w:rsid w:val="75EF6D37"/>
    <w:rsid w:val="76F32EF7"/>
    <w:rsid w:val="779F9F47"/>
    <w:rsid w:val="77CFE044"/>
    <w:rsid w:val="77DE1074"/>
    <w:rsid w:val="77EFCE08"/>
    <w:rsid w:val="79CF5ED5"/>
    <w:rsid w:val="79D788BD"/>
    <w:rsid w:val="7A7FA445"/>
    <w:rsid w:val="7A955978"/>
    <w:rsid w:val="7B6BB654"/>
    <w:rsid w:val="7B9E8EA1"/>
    <w:rsid w:val="7B9F3716"/>
    <w:rsid w:val="7BBF5DD6"/>
    <w:rsid w:val="7BFF13E6"/>
    <w:rsid w:val="7C6D584C"/>
    <w:rsid w:val="7D67ACE1"/>
    <w:rsid w:val="7D777943"/>
    <w:rsid w:val="7DE9AF70"/>
    <w:rsid w:val="7DFD5486"/>
    <w:rsid w:val="7E7E580F"/>
    <w:rsid w:val="7EDB2505"/>
    <w:rsid w:val="7F6F35AE"/>
    <w:rsid w:val="7F790070"/>
    <w:rsid w:val="7F87A205"/>
    <w:rsid w:val="7FA438E4"/>
    <w:rsid w:val="7FF76400"/>
    <w:rsid w:val="7FF7ECF0"/>
    <w:rsid w:val="7FF9AFA7"/>
    <w:rsid w:val="8AFB1E93"/>
    <w:rsid w:val="8FF7ABD5"/>
    <w:rsid w:val="97765F44"/>
    <w:rsid w:val="99F3FBD2"/>
    <w:rsid w:val="9DFD37DF"/>
    <w:rsid w:val="9DFF4426"/>
    <w:rsid w:val="9EAE213C"/>
    <w:rsid w:val="9F125745"/>
    <w:rsid w:val="A521C1B4"/>
    <w:rsid w:val="A57CFB62"/>
    <w:rsid w:val="ABDFEADD"/>
    <w:rsid w:val="ADFD82A5"/>
    <w:rsid w:val="AFA917F4"/>
    <w:rsid w:val="AFDDC4D2"/>
    <w:rsid w:val="AFFDEB18"/>
    <w:rsid w:val="B77E8EAA"/>
    <w:rsid w:val="B7FFB6B8"/>
    <w:rsid w:val="B959316D"/>
    <w:rsid w:val="BACF4076"/>
    <w:rsid w:val="BDEF761B"/>
    <w:rsid w:val="BEBED40B"/>
    <w:rsid w:val="BEFDCB46"/>
    <w:rsid w:val="BF574808"/>
    <w:rsid w:val="BFDF8C57"/>
    <w:rsid w:val="BFE7BEE0"/>
    <w:rsid w:val="BFF46721"/>
    <w:rsid w:val="C7763911"/>
    <w:rsid w:val="C7A7E474"/>
    <w:rsid w:val="CFBFCACC"/>
    <w:rsid w:val="CFFF3F3B"/>
    <w:rsid w:val="D1F797D9"/>
    <w:rsid w:val="D77F1ADF"/>
    <w:rsid w:val="D8BF6725"/>
    <w:rsid w:val="D9BA161A"/>
    <w:rsid w:val="DBF7DC4D"/>
    <w:rsid w:val="DCFE5606"/>
    <w:rsid w:val="DD38B042"/>
    <w:rsid w:val="DD635068"/>
    <w:rsid w:val="DF3FE0C6"/>
    <w:rsid w:val="DFAF6C51"/>
    <w:rsid w:val="DFDF9FF2"/>
    <w:rsid w:val="DFFE51A6"/>
    <w:rsid w:val="DFFF7EFB"/>
    <w:rsid w:val="E28557EB"/>
    <w:rsid w:val="E47B29C8"/>
    <w:rsid w:val="E5F54BD7"/>
    <w:rsid w:val="E7DF6FE3"/>
    <w:rsid w:val="E7EBF702"/>
    <w:rsid w:val="EBF5E99B"/>
    <w:rsid w:val="ECF917A3"/>
    <w:rsid w:val="ED3375AF"/>
    <w:rsid w:val="EDF7ED84"/>
    <w:rsid w:val="EF5B7C85"/>
    <w:rsid w:val="EFAEFEBB"/>
    <w:rsid w:val="EFBEBEB6"/>
    <w:rsid w:val="EFDD9EA7"/>
    <w:rsid w:val="EFEB88AB"/>
    <w:rsid w:val="EFFB3EED"/>
    <w:rsid w:val="F37F396D"/>
    <w:rsid w:val="F3EA63CD"/>
    <w:rsid w:val="F3F600A7"/>
    <w:rsid w:val="F3FFDE73"/>
    <w:rsid w:val="F4E35DEF"/>
    <w:rsid w:val="F5737168"/>
    <w:rsid w:val="F5BFB6D5"/>
    <w:rsid w:val="F5EFEBCA"/>
    <w:rsid w:val="F6D3CAEC"/>
    <w:rsid w:val="F6FF74CD"/>
    <w:rsid w:val="F77ADCDD"/>
    <w:rsid w:val="F77FEA4F"/>
    <w:rsid w:val="F7FECA40"/>
    <w:rsid w:val="F7FF9690"/>
    <w:rsid w:val="F7FFD99F"/>
    <w:rsid w:val="F91ED5CC"/>
    <w:rsid w:val="FA7F3FB8"/>
    <w:rsid w:val="FAB673DD"/>
    <w:rsid w:val="FAF743F7"/>
    <w:rsid w:val="FBBDDE63"/>
    <w:rsid w:val="FBCF9C5C"/>
    <w:rsid w:val="FBF2CB89"/>
    <w:rsid w:val="FBF3A345"/>
    <w:rsid w:val="FC512CA8"/>
    <w:rsid w:val="FD5CC6E4"/>
    <w:rsid w:val="FD9F93A3"/>
    <w:rsid w:val="FDC58C2D"/>
    <w:rsid w:val="FDFD05F9"/>
    <w:rsid w:val="FDFE76ED"/>
    <w:rsid w:val="FEC8B127"/>
    <w:rsid w:val="FEFBF37C"/>
    <w:rsid w:val="FEFFB99F"/>
    <w:rsid w:val="FF4FBAD6"/>
    <w:rsid w:val="FFA711BA"/>
    <w:rsid w:val="FFC7C234"/>
    <w:rsid w:val="FFDEC0D7"/>
    <w:rsid w:val="FFEB7D5A"/>
    <w:rsid w:val="FFFC1162"/>
    <w:rsid w:val="FFFC638C"/>
    <w:rsid w:val="FFFFD739"/>
    <w:rsid w:val="FFFFE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宋体"/>
      <w:kern w:val="2"/>
      <w:sz w:val="28"/>
      <w:szCs w:val="28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index 7"/>
    <w:basedOn w:val="1"/>
    <w:next w:val="1"/>
    <w:qFormat/>
    <w:uiPriority w:val="0"/>
    <w:pPr>
      <w:ind w:left="2520"/>
      <w:jc w:val="left"/>
    </w:pPr>
  </w:style>
  <w:style w:type="paragraph" w:styleId="7">
    <w:name w:val="Body Text Indent"/>
    <w:basedOn w:val="1"/>
    <w:unhideWhenUsed/>
    <w:qFormat/>
    <w:uiPriority w:val="99"/>
    <w:pPr>
      <w:ind w:left="420"/>
    </w:pPr>
    <w:rPr>
      <w:rFonts w:ascii="仿宋_GB2312" w:eastAsia="仿宋_GB2312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仿宋_GB2312" w:cs="Times New Roman"/>
      <w:b/>
      <w:kern w:val="2"/>
      <w:sz w:val="32"/>
      <w:lang w:val="en-US" w:eastAsia="zh-CN" w:bidi="ar-SA"/>
    </w:rPr>
  </w:style>
  <w:style w:type="paragraph" w:styleId="11">
    <w:name w:val="Body Text First Indent 2"/>
    <w:basedOn w:val="7"/>
    <w:next w:val="1"/>
    <w:unhideWhenUsed/>
    <w:qFormat/>
    <w:uiPriority w:val="99"/>
    <w:pPr>
      <w:spacing w:after="120"/>
      <w:ind w:left="200" w:leftChars="200" w:firstLine="420" w:firstLineChars="200"/>
    </w:pPr>
    <w:rPr>
      <w:rFonts w:ascii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.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黑体"/>
      <w:sz w:val="28"/>
      <w:szCs w:val="28"/>
    </w:rPr>
  </w:style>
  <w:style w:type="character" w:customStyle="1" w:styleId="16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17">
    <w:name w:val="标题 1 Char"/>
    <w:link w:val="3"/>
    <w:qFormat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4191</Words>
  <Characters>4251</Characters>
  <Lines>87</Lines>
  <Paragraphs>47</Paragraphs>
  <TotalTime>43</TotalTime>
  <ScaleCrop>false</ScaleCrop>
  <LinksUpToDate>false</LinksUpToDate>
  <CharactersWithSpaces>4251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2025-10-16T14:01:00Z</dcterms:created>
  <dc:creator>半闲</dc:creator>
  <cp:lastModifiedBy>kylin</cp:lastModifiedBy>
  <cp:lastPrinted>2025-12-03T22:14:00Z</cp:lastPrinted>
  <dcterms:modified xsi:type="dcterms:W3CDTF">2025-12-03T15:59:00Z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4DDCE53DF0062D50BD8B2E694458E675_43</vt:lpwstr>
  </property>
  <property fmtid="{D5CDD505-2E9C-101B-9397-08002B2CF9AE}" pid="4" name="KSOTemplateDocerSaveRecord">
    <vt:lpwstr>eyJoZGlkIjoiZGE2Mjg2YTZkZTMyMTYwY2M1OTQ5YzJlN2MyYmRjOGEiLCJ1c2VySWQiOiIyNjg2NTE5MDUifQ==</vt:lpwstr>
  </property>
</Properties>
</file>