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9485D">
      <w:pPr>
        <w:bidi w:val="0"/>
        <w:jc w:val="center"/>
        <w:rPr>
          <w:rFonts w:hint="eastAsia" w:ascii="黑体" w:hAnsi="黑体" w:eastAsia="黑体" w:cs="黑体"/>
          <w:b/>
          <w:bCs/>
          <w:color w:val="000000" w:themeColor="text1"/>
          <w:sz w:val="44"/>
          <w:szCs w:val="44"/>
          <w:lang w:eastAsia="zh-CN"/>
          <w14:textFill>
            <w14:solidFill>
              <w14:schemeClr w14:val="tx1"/>
            </w14:solidFill>
          </w14:textFill>
        </w:rPr>
      </w:pPr>
      <w:r>
        <w:rPr>
          <w:rFonts w:hint="eastAsia" w:ascii="黑体" w:hAnsi="黑体" w:eastAsia="黑体" w:cs="黑体"/>
          <w:b/>
          <w:bCs/>
          <w:sz w:val="44"/>
          <w:szCs w:val="44"/>
          <w:lang w:val="en-US" w:eastAsia="zh-CN"/>
        </w:rPr>
        <w:t>平罗县用水权使用费收缴和使用办法</w:t>
      </w:r>
    </w:p>
    <w:p w14:paraId="310080AD">
      <w:pPr>
        <w:bidi w:val="0"/>
        <w:jc w:val="center"/>
        <w:rPr>
          <w:rFonts w:hint="eastAsia" w:ascii="仿宋" w:hAnsi="仿宋" w:eastAsia="仿宋" w:cs="仿宋"/>
          <w:b/>
          <w:bCs/>
          <w:color w:val="000000" w:themeColor="text1"/>
          <w:sz w:val="32"/>
          <w:szCs w:val="32"/>
          <w:lang w:eastAsia="zh-CN"/>
          <w14:textFill>
            <w14:solidFill>
              <w14:schemeClr w14:val="tx1"/>
            </w14:solidFill>
          </w14:textFill>
        </w:rPr>
      </w:pPr>
    </w:p>
    <w:p w14:paraId="4BEA39A8">
      <w:pPr>
        <w:bidi w:val="0"/>
        <w:jc w:val="center"/>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eastAsia="zh-CN"/>
          <w14:textFill>
            <w14:solidFill>
              <w14:schemeClr w14:val="tx1"/>
            </w14:solidFill>
          </w14:textFill>
        </w:rPr>
        <w:t>第一章</w:t>
      </w:r>
      <w:r>
        <w:rPr>
          <w:rFonts w:hint="eastAsia" w:ascii="黑体" w:hAnsi="黑体" w:eastAsia="黑体" w:cs="黑体"/>
          <w:b/>
          <w:bCs/>
          <w:color w:val="000000" w:themeColor="text1"/>
          <w:sz w:val="32"/>
          <w:szCs w:val="32"/>
          <w:lang w:val="en-US" w:eastAsia="zh-CN"/>
          <w14:textFill>
            <w14:solidFill>
              <w14:schemeClr w14:val="tx1"/>
            </w14:solidFill>
          </w14:textFill>
        </w:rPr>
        <w:t xml:space="preserve">  总则</w:t>
      </w:r>
    </w:p>
    <w:p w14:paraId="0C9F089C">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第一条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为加强用水权使用费征收使用管理，建立完善的用水权制度，依据《中华人民共和国水法》《取水许可和水资源费征收管理条例》（国务院第 460 号令）《宁夏回族自治区水资源管理条例》《宁夏用水权</w:t>
      </w:r>
      <w:r>
        <w:rPr>
          <w:rFonts w:hint="eastAsia" w:ascii="仿宋" w:hAnsi="仿宋" w:eastAsia="仿宋" w:cs="仿宋"/>
          <w:color w:val="000000" w:themeColor="text1"/>
          <w:sz w:val="32"/>
          <w:szCs w:val="32"/>
          <w:lang w:val="en-US" w:eastAsia="zh-CN"/>
          <w14:textFill>
            <w14:solidFill>
              <w14:schemeClr w14:val="tx1"/>
            </w14:solidFill>
          </w14:textFill>
        </w:rPr>
        <w:t>价值基准（试行）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自治区《关于落实水资源“四定”原则深入推进用水权改革的实施意见》等法律、法规、规章</w:t>
      </w:r>
      <w:r>
        <w:rPr>
          <w:rFonts w:hint="eastAsia" w:ascii="仿宋" w:hAnsi="仿宋" w:eastAsia="仿宋" w:cs="仿宋"/>
          <w:color w:val="000000" w:themeColor="text1"/>
          <w:sz w:val="32"/>
          <w:szCs w:val="32"/>
          <w:lang w:eastAsia="zh-CN"/>
          <w14:textFill>
            <w14:solidFill>
              <w14:schemeClr w14:val="tx1"/>
            </w14:solidFill>
          </w14:textFill>
        </w:rPr>
        <w:t>相关规定</w:t>
      </w:r>
      <w:r>
        <w:rPr>
          <w:rFonts w:hint="eastAsia" w:ascii="仿宋" w:hAnsi="仿宋" w:eastAsia="仿宋" w:cs="仿宋"/>
          <w:color w:val="000000" w:themeColor="text1"/>
          <w:sz w:val="32"/>
          <w:szCs w:val="32"/>
          <w14:textFill>
            <w14:solidFill>
              <w14:schemeClr w14:val="tx1"/>
            </w14:solidFill>
          </w14:textFill>
        </w:rPr>
        <w:t>，结合</w:t>
      </w:r>
      <w:r>
        <w:rPr>
          <w:rFonts w:hint="eastAsia" w:ascii="仿宋" w:hAnsi="仿宋" w:eastAsia="仿宋" w:cs="仿宋"/>
          <w:color w:val="000000" w:themeColor="text1"/>
          <w:sz w:val="32"/>
          <w:szCs w:val="32"/>
          <w:lang w:eastAsia="zh-CN"/>
          <w14:textFill>
            <w14:solidFill>
              <w14:schemeClr w14:val="tx1"/>
            </w14:solidFill>
          </w14:textFill>
        </w:rPr>
        <w:t>平罗县</w:t>
      </w:r>
      <w:r>
        <w:rPr>
          <w:rFonts w:hint="eastAsia" w:ascii="仿宋" w:hAnsi="仿宋" w:eastAsia="仿宋" w:cs="仿宋"/>
          <w:color w:val="000000" w:themeColor="text1"/>
          <w:sz w:val="32"/>
          <w:szCs w:val="32"/>
          <w14:textFill>
            <w14:solidFill>
              <w14:schemeClr w14:val="tx1"/>
            </w14:solidFill>
          </w14:textFill>
        </w:rPr>
        <w:t>实际，制定本办法。</w:t>
      </w:r>
    </w:p>
    <w:p w14:paraId="0BAAF8D7">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第二条 在</w:t>
      </w:r>
      <w:r>
        <w:rPr>
          <w:rFonts w:hint="eastAsia" w:ascii="仿宋" w:hAnsi="仿宋" w:eastAsia="仿宋" w:cs="仿宋"/>
          <w:color w:val="000000" w:themeColor="text1"/>
          <w:sz w:val="32"/>
          <w:szCs w:val="32"/>
          <w:lang w:eastAsia="zh-CN"/>
          <w14:textFill>
            <w14:solidFill>
              <w14:schemeClr w14:val="tx1"/>
            </w14:solidFill>
          </w14:textFill>
        </w:rPr>
        <w:t>平罗县</w:t>
      </w:r>
      <w:r>
        <w:rPr>
          <w:rFonts w:hint="eastAsia" w:ascii="仿宋" w:hAnsi="仿宋" w:eastAsia="仿宋" w:cs="仿宋"/>
          <w:color w:val="000000" w:themeColor="text1"/>
          <w:sz w:val="32"/>
          <w:szCs w:val="32"/>
          <w14:textFill>
            <w14:solidFill>
              <w14:schemeClr w14:val="tx1"/>
            </w14:solidFill>
          </w14:textFill>
        </w:rPr>
        <w:t>行政区域内开展用水权使用费征收、使用及监督管理，适用本办法。</w:t>
      </w:r>
    </w:p>
    <w:p w14:paraId="5389F45B">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第三条 用水权使用费属于政府非税收入，全额纳入财政预算管理。</w:t>
      </w:r>
    </w:p>
    <w:p w14:paraId="770DB164">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第四条 </w:t>
      </w:r>
      <w:r>
        <w:rPr>
          <w:rFonts w:hint="eastAsia" w:ascii="仿宋" w:hAnsi="仿宋" w:eastAsia="仿宋" w:cs="仿宋"/>
          <w:color w:val="000000" w:themeColor="text1"/>
          <w:sz w:val="32"/>
          <w:szCs w:val="32"/>
          <w:lang w:val="en-US" w:eastAsia="zh-CN"/>
          <w14:textFill>
            <w14:solidFill>
              <w14:schemeClr w14:val="tx1"/>
            </w14:solidFill>
          </w14:textFill>
        </w:rPr>
        <w:t>县人民政府按照</w:t>
      </w:r>
      <w:r>
        <w:rPr>
          <w:rFonts w:hint="eastAsia" w:ascii="仿宋" w:hAnsi="仿宋" w:eastAsia="仿宋" w:cs="仿宋"/>
          <w:color w:val="000000" w:themeColor="text1"/>
          <w:sz w:val="32"/>
          <w:szCs w:val="32"/>
          <w14:textFill>
            <w14:solidFill>
              <w14:schemeClr w14:val="tx1"/>
            </w14:solidFill>
          </w14:textFill>
        </w:rPr>
        <w:t>资源有价、使用有偿的原则，推动用水权商品化，实行用水户有偿取得用水权，不免除其依法缴纳相关税费义务。</w:t>
      </w:r>
    </w:p>
    <w:p w14:paraId="43F9B1E5">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水行政主管部门在自治区分配的行业用水权管控指标内，科学合理配置用水户的用水权并依法进行确权。“十四五”时期农户暂免缴纳农业初始用水权有偿使用费，以后根据经济社会发展形势确定是否缴纳或部分缴纳。政府无偿配置用水权的工业用水户从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1月1日</w:t>
      </w:r>
      <w:r>
        <w:rPr>
          <w:rFonts w:hint="eastAsia" w:ascii="仿宋" w:hAnsi="仿宋" w:eastAsia="仿宋" w:cs="仿宋"/>
          <w:color w:val="000000" w:themeColor="text1"/>
          <w:sz w:val="32"/>
          <w:szCs w:val="32"/>
          <w14:textFill>
            <w14:solidFill>
              <w14:schemeClr w14:val="tx1"/>
            </w14:solidFill>
          </w14:textFill>
        </w:rPr>
        <w:t xml:space="preserve">起，按照基准价分年度缴纳用水权有偿使用费；规模化畜禽养殖和经营性农业企业（合作社）按自治区相关规定缴纳用水权使用费。超出行业用水权管控指标的农业、工业和规模化养殖业项目用水权应通过市场交易取得。 </w:t>
      </w:r>
    </w:p>
    <w:p w14:paraId="013D4208">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用水权基准价按照水源和用途，执行《宁夏回族自治区用水权价值基准（试行）》（宁水改专办发〔2021〕3号）中明确的基准价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具体见附表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 </w:t>
      </w:r>
    </w:p>
    <w:p w14:paraId="2D5D0C0D">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第五条 农业和规模化畜禽养殖业用水权有效期不超过5年，起止期与国家5年规划相一致。工业企业用水权有效期原则上不超过10年。 </w:t>
      </w:r>
    </w:p>
    <w:p w14:paraId="030FCE66">
      <w:pPr>
        <w:bidi w:val="0"/>
        <w:jc w:val="center"/>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 xml:space="preserve">第二章 </w:t>
      </w:r>
      <w:r>
        <w:rPr>
          <w:rFonts w:hint="eastAsia" w:ascii="黑体" w:hAnsi="黑体" w:eastAsia="黑体" w:cs="黑体"/>
          <w:b/>
          <w:bCs/>
          <w:color w:val="000000" w:themeColor="text1"/>
          <w:sz w:val="32"/>
          <w:szCs w:val="32"/>
          <w:lang w:eastAsia="zh-CN"/>
          <w14:textFill>
            <w14:solidFill>
              <w14:schemeClr w14:val="tx1"/>
            </w14:solidFill>
          </w14:textFill>
        </w:rPr>
        <w:t>监管</w:t>
      </w:r>
      <w:r>
        <w:rPr>
          <w:rFonts w:hint="eastAsia" w:ascii="黑体" w:hAnsi="黑体" w:eastAsia="黑体" w:cs="黑体"/>
          <w:b/>
          <w:bCs/>
          <w:color w:val="000000" w:themeColor="text1"/>
          <w:sz w:val="32"/>
          <w:szCs w:val="32"/>
          <w14:textFill>
            <w14:solidFill>
              <w14:schemeClr w14:val="tx1"/>
            </w14:solidFill>
          </w14:textFill>
        </w:rPr>
        <w:t>收缴使用</w:t>
      </w:r>
    </w:p>
    <w:p w14:paraId="788AFB25">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第六条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财政、审计、</w:t>
      </w:r>
      <w:r>
        <w:rPr>
          <w:rFonts w:hint="eastAsia" w:ascii="仿宋" w:hAnsi="仿宋" w:eastAsia="仿宋" w:cs="仿宋"/>
          <w:color w:val="000000" w:themeColor="text1"/>
          <w:sz w:val="32"/>
          <w:szCs w:val="32"/>
          <w:lang w:eastAsia="zh-CN"/>
          <w14:textFill>
            <w14:solidFill>
              <w14:schemeClr w14:val="tx1"/>
            </w14:solidFill>
          </w14:textFill>
        </w:rPr>
        <w:t>市场监管</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水务</w:t>
      </w:r>
      <w:r>
        <w:rPr>
          <w:rFonts w:hint="eastAsia" w:ascii="仿宋" w:hAnsi="仿宋" w:eastAsia="仿宋" w:cs="仿宋"/>
          <w:color w:val="000000" w:themeColor="text1"/>
          <w:sz w:val="32"/>
          <w:szCs w:val="32"/>
          <w14:textFill>
            <w14:solidFill>
              <w14:schemeClr w14:val="tx1"/>
            </w14:solidFill>
          </w14:textFill>
        </w:rPr>
        <w:t>部门应加强用水权有偿使用费监管。用水权有偿使用费纳入政府非税收入管理，实行收支两条线，专户存储，专项核算。</w:t>
      </w:r>
    </w:p>
    <w:p w14:paraId="43F669C9">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第七条 用水权有偿使用费由</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水行政主管部门负责征收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或由县水行政主管部门委托第三方征收。</w:t>
      </w:r>
      <w:r>
        <w:rPr>
          <w:rFonts w:hint="eastAsia" w:ascii="仿宋" w:hAnsi="仿宋" w:eastAsia="仿宋" w:cs="仿宋"/>
          <w:color w:val="000000" w:themeColor="text1"/>
          <w:sz w:val="32"/>
          <w:szCs w:val="32"/>
          <w14:textFill>
            <w14:solidFill>
              <w14:schemeClr w14:val="tx1"/>
            </w14:solidFill>
          </w14:textFill>
        </w:rPr>
        <w:t>政府无偿配置用水权的工业企业用水户自202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1月1日</w:t>
      </w:r>
      <w:r>
        <w:rPr>
          <w:rFonts w:hint="eastAsia" w:ascii="仿宋" w:hAnsi="仿宋" w:eastAsia="仿宋" w:cs="仿宋"/>
          <w:color w:val="000000" w:themeColor="text1"/>
          <w:sz w:val="32"/>
          <w:szCs w:val="32"/>
          <w14:textFill>
            <w14:solidFill>
              <w14:schemeClr w14:val="tx1"/>
            </w14:solidFill>
          </w14:textFill>
        </w:rPr>
        <w:t>起按照自治区用水权基准价分年度缴纳用水权有偿使用费。用水权有偿使用费的收费水量依据</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水行政主管部门颁发的取水许可证或用水权使用证的核定水量。规模化畜禽养殖业和经营性农业企业（合作社）的用水权使用费的收缴按自治区的相关规定执行。</w:t>
      </w:r>
    </w:p>
    <w:p w14:paraId="6D313D7C">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第八条 征收的用水权有偿使用费全部用于用水权</w:t>
      </w:r>
      <w:r>
        <w:rPr>
          <w:rFonts w:hint="eastAsia" w:ascii="仿宋" w:hAnsi="仿宋" w:eastAsia="仿宋" w:cs="仿宋"/>
          <w:color w:val="000000" w:themeColor="text1"/>
          <w:sz w:val="32"/>
          <w:szCs w:val="32"/>
          <w:lang w:val="en-US" w:eastAsia="zh-CN"/>
          <w14:textFill>
            <w14:solidFill>
              <w14:schemeClr w14:val="tx1"/>
            </w14:solidFill>
          </w14:textFill>
        </w:rPr>
        <w:t>改革、</w:t>
      </w:r>
      <w:r>
        <w:rPr>
          <w:rFonts w:hint="eastAsia" w:ascii="仿宋" w:hAnsi="仿宋" w:eastAsia="仿宋" w:cs="仿宋"/>
          <w:color w:val="000000" w:themeColor="text1"/>
          <w:sz w:val="32"/>
          <w:szCs w:val="32"/>
          <w14:textFill>
            <w14:solidFill>
              <w14:schemeClr w14:val="tx1"/>
            </w14:solidFill>
          </w14:textFill>
        </w:rPr>
        <w:t>收储、水利基础设施建设、水资源管理与保护、节水改造与奖励等水利发展投入。</w:t>
      </w:r>
      <w:r>
        <w:rPr>
          <w:rFonts w:hint="eastAsia" w:ascii="仿宋" w:hAnsi="仿宋" w:eastAsia="仿宋" w:cs="仿宋"/>
          <w:color w:val="000000" w:themeColor="text1"/>
          <w:sz w:val="32"/>
          <w:szCs w:val="32"/>
          <w:lang w:val="en-US" w:eastAsia="zh-CN"/>
          <w14:textFill>
            <w14:solidFill>
              <w14:schemeClr w14:val="tx1"/>
            </w14:solidFill>
          </w14:textFill>
        </w:rPr>
        <w:t>其中，用水权有偿使用费的10%用于日常收费工作管理费用支出。</w:t>
      </w:r>
      <w:r>
        <w:rPr>
          <w:rFonts w:hint="eastAsia" w:ascii="仿宋" w:hAnsi="仿宋" w:eastAsia="仿宋" w:cs="仿宋"/>
          <w:color w:val="000000" w:themeColor="text1"/>
          <w:sz w:val="32"/>
          <w:szCs w:val="32"/>
          <w14:textFill>
            <w14:solidFill>
              <w14:schemeClr w14:val="tx1"/>
            </w14:solidFill>
          </w14:textFill>
        </w:rPr>
        <w:t xml:space="preserve"> </w:t>
      </w:r>
    </w:p>
    <w:p w14:paraId="4B7B47B3">
      <w:pPr>
        <w:bidi w:val="0"/>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第三章 违规处理</w:t>
      </w:r>
    </w:p>
    <w:p w14:paraId="28C1C01D">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第九条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用水单位和个人违反本办法规定，拒不缴纳、拖延缴纳或者拖欠用水权使用费的，由</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水务局责令限期缴纳；逾期不缴纳的，从滞纳之日起按日加收滞纳部分2‰的滞纳金，并处应缴或者补缴用水权使用费一倍以上五倍以下的罚款。</w:t>
      </w:r>
      <w:r>
        <w:rPr>
          <w:rFonts w:hint="eastAsia" w:ascii="仿宋" w:hAnsi="仿宋" w:eastAsia="仿宋" w:cs="仿宋"/>
          <w:color w:val="000000" w:themeColor="text1"/>
          <w:sz w:val="32"/>
          <w:szCs w:val="32"/>
          <w14:textFill>
            <w14:solidFill>
              <w14:schemeClr w14:val="tx1"/>
            </w14:solidFill>
          </w14:textFill>
        </w:rPr>
        <w:t xml:space="preserve"> </w:t>
      </w:r>
    </w:p>
    <w:p w14:paraId="13D18CD1">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第十条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用水权使用费的收缴、使用</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管理单位及其工作人员，利用职务上的便利收取他人财物、其他好处或者玩忽职守</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不按照国家有关规定收取用水权使用费，不履行监督职责，或者发现违法行为不予查处</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造成严重后果</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构成犯罪的，对负有责任的主管人员和其他直接责任人依照刑法的有关规定追究刑事责任；尚不够成刑事处罚的，依法给予行政处分。</w:t>
      </w:r>
    </w:p>
    <w:p w14:paraId="221D70CD">
      <w:pPr>
        <w:bidi w:val="0"/>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lang w:eastAsia="zh-CN"/>
          <w14:textFill>
            <w14:solidFill>
              <w14:schemeClr w14:val="tx1"/>
            </w14:solidFill>
          </w14:textFill>
        </w:rPr>
        <w:t>第四章</w:t>
      </w:r>
      <w:r>
        <w:rPr>
          <w:rFonts w:hint="eastAsia" w:ascii="黑体" w:hAnsi="黑体" w:eastAsia="黑体" w:cs="黑体"/>
          <w:b/>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bCs/>
          <w:color w:val="000000" w:themeColor="text1"/>
          <w:sz w:val="32"/>
          <w:szCs w:val="32"/>
          <w14:textFill>
            <w14:solidFill>
              <w14:schemeClr w14:val="tx1"/>
            </w14:solidFill>
          </w14:textFill>
        </w:rPr>
        <w:t>附 则</w:t>
      </w:r>
    </w:p>
    <w:p w14:paraId="15AA5E9D">
      <w:pPr>
        <w:bidi w:val="0"/>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第十一条 </w:t>
      </w:r>
      <w:r>
        <w:rPr>
          <w:rFonts w:hint="eastAsia" w:ascii="仿宋" w:hAnsi="仿宋" w:eastAsia="仿宋" w:cs="仿宋"/>
          <w:color w:val="000000" w:themeColor="text1"/>
          <w:sz w:val="32"/>
          <w:szCs w:val="32"/>
          <w:lang w:eastAsia="zh-CN"/>
          <w14:textFill>
            <w14:solidFill>
              <w14:schemeClr w14:val="tx1"/>
            </w14:solidFill>
          </w14:textFill>
        </w:rPr>
        <w:t>本办法</w:t>
      </w:r>
      <w:r>
        <w:rPr>
          <w:rFonts w:hint="eastAsia" w:ascii="仿宋" w:hAnsi="仿宋" w:eastAsia="仿宋" w:cs="仿宋"/>
          <w:color w:val="000000" w:themeColor="text1"/>
          <w:sz w:val="32"/>
          <w:szCs w:val="32"/>
          <w14:textFill>
            <w14:solidFill>
              <w14:schemeClr w14:val="tx1"/>
            </w14:solidFill>
          </w14:textFill>
        </w:rPr>
        <w:t>颁布后</w:t>
      </w:r>
      <w:r>
        <w:rPr>
          <w:rFonts w:hint="eastAsia" w:ascii="仿宋" w:hAnsi="仿宋" w:eastAsia="仿宋" w:cs="仿宋"/>
          <w:color w:val="000000" w:themeColor="text1"/>
          <w:sz w:val="32"/>
          <w:szCs w:val="32"/>
          <w:lang w:eastAsia="zh-CN"/>
          <w14:textFill>
            <w14:solidFill>
              <w14:schemeClr w14:val="tx1"/>
            </w14:solidFill>
          </w14:textFill>
        </w:rPr>
        <w:t>与</w:t>
      </w:r>
      <w:r>
        <w:rPr>
          <w:rFonts w:hint="eastAsia" w:ascii="仿宋" w:hAnsi="仿宋" w:eastAsia="仿宋" w:cs="仿宋"/>
          <w:color w:val="000000" w:themeColor="text1"/>
          <w:sz w:val="32"/>
          <w:szCs w:val="32"/>
          <w14:textFill>
            <w14:solidFill>
              <w14:schemeClr w14:val="tx1"/>
            </w14:solidFill>
          </w14:textFill>
        </w:rPr>
        <w:t>自治区的相关规定有抵触</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，以上级文件之规定为准</w:t>
      </w:r>
      <w:r>
        <w:rPr>
          <w:rFonts w:hint="eastAsia" w:ascii="仿宋" w:hAnsi="仿宋" w:eastAsia="仿宋" w:cs="仿宋"/>
          <w:color w:val="000000" w:themeColor="text1"/>
          <w:sz w:val="32"/>
          <w:szCs w:val="32"/>
          <w:lang w:eastAsia="zh-CN"/>
          <w14:textFill>
            <w14:solidFill>
              <w14:schemeClr w14:val="tx1"/>
            </w14:solidFill>
          </w14:textFill>
        </w:rPr>
        <w:t>。</w:t>
      </w:r>
    </w:p>
    <w:p w14:paraId="175F09A8">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第十二条 本办法自202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月1日施行。</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由</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平罗县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人民政府</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水行政主管部门</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负责解释。</w:t>
      </w:r>
    </w:p>
    <w:p w14:paraId="37C48281">
      <w:pPr>
        <w:bidi w:val="0"/>
        <w:jc w:val="center"/>
        <w:rPr>
          <w:rFonts w:hint="eastAsia" w:ascii="华文中宋" w:hAnsi="华文中宋" w:eastAsia="华文中宋" w:cs="华文中宋"/>
          <w:b/>
          <w:bCs/>
          <w:color w:val="000000" w:themeColor="text1"/>
          <w:sz w:val="36"/>
          <w:szCs w:val="36"/>
          <w14:textFill>
            <w14:solidFill>
              <w14:schemeClr w14:val="tx1"/>
            </w14:solidFill>
          </w14:textFill>
        </w:rPr>
      </w:pPr>
      <w:r>
        <w:rPr>
          <w:rFonts w:hint="eastAsia" w:ascii="华文中宋" w:hAnsi="华文中宋" w:eastAsia="华文中宋" w:cs="华文中宋"/>
          <w:b/>
          <w:bCs/>
          <w:color w:val="000000" w:themeColor="text1"/>
          <w:sz w:val="36"/>
          <w:szCs w:val="36"/>
          <w14:textFill>
            <w14:solidFill>
              <w14:schemeClr w14:val="tx1"/>
            </w14:solidFill>
          </w14:textFill>
        </w:rPr>
        <w:t>宁夏不同水源用水权价值基准（试行）</w:t>
      </w:r>
    </w:p>
    <w:p w14:paraId="4E5B8A2F">
      <w:pPr>
        <w:bidi w:val="0"/>
        <w:jc w:val="righ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xml:space="preserve">单位：元/立方米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4"/>
        <w:gridCol w:w="1689"/>
        <w:gridCol w:w="2422"/>
        <w:gridCol w:w="1867"/>
      </w:tblGrid>
      <w:tr w14:paraId="7138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Align w:val="center"/>
          </w:tcPr>
          <w:p w14:paraId="377389C7">
            <w:pPr>
              <w:bidi w:val="0"/>
              <w:jc w:val="center"/>
              <w:rPr>
                <w:rFonts w:hint="eastAsia" w:ascii="仿宋" w:hAnsi="仿宋" w:eastAsia="仿宋" w:cs="仿宋"/>
                <w:b/>
                <w:bCs/>
                <w:color w:val="000000" w:themeColor="text1"/>
                <w:sz w:val="32"/>
                <w:szCs w:val="32"/>
                <w:vertAlign w:val="baseline"/>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水源来源</w:t>
            </w:r>
          </w:p>
        </w:tc>
        <w:tc>
          <w:tcPr>
            <w:tcW w:w="4111" w:type="dxa"/>
            <w:gridSpan w:val="2"/>
          </w:tcPr>
          <w:p w14:paraId="77072A57">
            <w:pPr>
              <w:bidi w:val="0"/>
              <w:jc w:val="center"/>
              <w:rPr>
                <w:rFonts w:hint="eastAsia" w:ascii="仿宋" w:hAnsi="仿宋" w:eastAsia="仿宋" w:cs="仿宋"/>
                <w:b/>
                <w:bCs/>
                <w:color w:val="000000" w:themeColor="text1"/>
                <w:sz w:val="32"/>
                <w:szCs w:val="32"/>
                <w:vertAlign w:val="baseline"/>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使用用途</w:t>
            </w:r>
          </w:p>
        </w:tc>
        <w:tc>
          <w:tcPr>
            <w:tcW w:w="1867" w:type="dxa"/>
          </w:tcPr>
          <w:p w14:paraId="44E4283A">
            <w:pPr>
              <w:bidi w:val="0"/>
              <w:jc w:val="center"/>
              <w:rPr>
                <w:rFonts w:hint="eastAsia" w:ascii="仿宋" w:hAnsi="仿宋" w:eastAsia="仿宋" w:cs="仿宋"/>
                <w:b/>
                <w:bCs/>
                <w:color w:val="000000" w:themeColor="text1"/>
                <w:sz w:val="32"/>
                <w:szCs w:val="32"/>
                <w:vertAlign w:val="baseline"/>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价值基准</w:t>
            </w:r>
          </w:p>
        </w:tc>
      </w:tr>
      <w:tr w14:paraId="098F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Merge w:val="restart"/>
            <w:vAlign w:val="center"/>
          </w:tcPr>
          <w:p w14:paraId="5774CDA8">
            <w:pPr>
              <w:bidi w:val="0"/>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黄河水</w:t>
            </w:r>
          </w:p>
          <w:p w14:paraId="50016F48">
            <w:pPr>
              <w:bidi w:val="0"/>
              <w:jc w:val="center"/>
              <w:rPr>
                <w:rFonts w:hint="eastAsia" w:ascii="仿宋" w:hAnsi="仿宋" w:eastAsia="仿宋" w:cs="仿宋"/>
                <w:b w:val="0"/>
                <w:bCs w:val="0"/>
                <w:color w:val="000000" w:themeColor="text1"/>
                <w:sz w:val="32"/>
                <w:szCs w:val="32"/>
                <w:vertAlign w:val="baseline"/>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含川区地表水</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tc>
        <w:tc>
          <w:tcPr>
            <w:tcW w:w="4111" w:type="dxa"/>
            <w:gridSpan w:val="2"/>
            <w:vAlign w:val="center"/>
          </w:tcPr>
          <w:p w14:paraId="5E9D189D">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工业用水</w:t>
            </w:r>
          </w:p>
        </w:tc>
        <w:tc>
          <w:tcPr>
            <w:tcW w:w="1867" w:type="dxa"/>
          </w:tcPr>
          <w:p w14:paraId="581A9746">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0.798</w:t>
            </w:r>
          </w:p>
        </w:tc>
      </w:tr>
      <w:tr w14:paraId="565E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Merge w:val="continue"/>
            <w:vAlign w:val="center"/>
          </w:tcPr>
          <w:p w14:paraId="6E5F1CC1">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p>
        </w:tc>
        <w:tc>
          <w:tcPr>
            <w:tcW w:w="1689" w:type="dxa"/>
            <w:vMerge w:val="restart"/>
            <w:vAlign w:val="center"/>
          </w:tcPr>
          <w:p w14:paraId="2847A90B">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农业用水</w:t>
            </w:r>
          </w:p>
        </w:tc>
        <w:tc>
          <w:tcPr>
            <w:tcW w:w="2422" w:type="dxa"/>
            <w:vAlign w:val="center"/>
          </w:tcPr>
          <w:p w14:paraId="734ABBF6">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谷物种植</w:t>
            </w:r>
          </w:p>
        </w:tc>
        <w:tc>
          <w:tcPr>
            <w:tcW w:w="1867" w:type="dxa"/>
          </w:tcPr>
          <w:p w14:paraId="3A3F41B8">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0.252</w:t>
            </w:r>
          </w:p>
        </w:tc>
      </w:tr>
      <w:tr w14:paraId="5F90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Merge w:val="continue"/>
            <w:vAlign w:val="center"/>
          </w:tcPr>
          <w:p w14:paraId="4732AC22">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p>
        </w:tc>
        <w:tc>
          <w:tcPr>
            <w:tcW w:w="1689" w:type="dxa"/>
            <w:vMerge w:val="continue"/>
            <w:vAlign w:val="center"/>
          </w:tcPr>
          <w:p w14:paraId="01EB2DA2">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p>
        </w:tc>
        <w:tc>
          <w:tcPr>
            <w:tcW w:w="2422" w:type="dxa"/>
            <w:vAlign w:val="center"/>
          </w:tcPr>
          <w:p w14:paraId="110BB4A7">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经济作物种植</w:t>
            </w:r>
          </w:p>
        </w:tc>
        <w:tc>
          <w:tcPr>
            <w:tcW w:w="1867" w:type="dxa"/>
          </w:tcPr>
          <w:p w14:paraId="3477F878">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0.652</w:t>
            </w:r>
          </w:p>
        </w:tc>
      </w:tr>
      <w:tr w14:paraId="1F27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Merge w:val="restart"/>
            <w:vAlign w:val="center"/>
          </w:tcPr>
          <w:p w14:paraId="594BB13B">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地下水</w:t>
            </w:r>
          </w:p>
        </w:tc>
        <w:tc>
          <w:tcPr>
            <w:tcW w:w="4111" w:type="dxa"/>
            <w:gridSpan w:val="2"/>
            <w:vAlign w:val="center"/>
          </w:tcPr>
          <w:p w14:paraId="21D85450">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工业用水</w:t>
            </w:r>
          </w:p>
        </w:tc>
        <w:tc>
          <w:tcPr>
            <w:tcW w:w="1867" w:type="dxa"/>
          </w:tcPr>
          <w:p w14:paraId="5B3CF2AC">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1.791</w:t>
            </w:r>
          </w:p>
        </w:tc>
      </w:tr>
      <w:tr w14:paraId="3375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Merge w:val="continue"/>
          </w:tcPr>
          <w:p w14:paraId="405C0D22">
            <w:pPr>
              <w:bidi w:val="0"/>
              <w:rPr>
                <w:rFonts w:hint="eastAsia" w:ascii="仿宋" w:hAnsi="仿宋" w:eastAsia="仿宋" w:cs="仿宋"/>
                <w:b w:val="0"/>
                <w:bCs w:val="0"/>
                <w:color w:val="000000" w:themeColor="text1"/>
                <w:sz w:val="32"/>
                <w:szCs w:val="32"/>
                <w:vertAlign w:val="baseline"/>
                <w14:textFill>
                  <w14:solidFill>
                    <w14:schemeClr w14:val="tx1"/>
                  </w14:solidFill>
                </w14:textFill>
              </w:rPr>
            </w:pPr>
          </w:p>
        </w:tc>
        <w:tc>
          <w:tcPr>
            <w:tcW w:w="1689" w:type="dxa"/>
            <w:vMerge w:val="restart"/>
            <w:vAlign w:val="center"/>
          </w:tcPr>
          <w:p w14:paraId="59246703">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农业用水</w:t>
            </w:r>
          </w:p>
        </w:tc>
        <w:tc>
          <w:tcPr>
            <w:tcW w:w="2422" w:type="dxa"/>
          </w:tcPr>
          <w:p w14:paraId="48E8E417">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谷物种植</w:t>
            </w:r>
          </w:p>
        </w:tc>
        <w:tc>
          <w:tcPr>
            <w:tcW w:w="1867" w:type="dxa"/>
          </w:tcPr>
          <w:p w14:paraId="29FFAC50">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0.32</w:t>
            </w:r>
          </w:p>
        </w:tc>
      </w:tr>
      <w:tr w14:paraId="0896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Merge w:val="continue"/>
          </w:tcPr>
          <w:p w14:paraId="5C7C890E">
            <w:pPr>
              <w:bidi w:val="0"/>
              <w:rPr>
                <w:rFonts w:hint="eastAsia" w:ascii="仿宋" w:hAnsi="仿宋" w:eastAsia="仿宋" w:cs="仿宋"/>
                <w:b w:val="0"/>
                <w:bCs w:val="0"/>
                <w:color w:val="000000" w:themeColor="text1"/>
                <w:sz w:val="32"/>
                <w:szCs w:val="32"/>
                <w:vertAlign w:val="baseline"/>
                <w14:textFill>
                  <w14:solidFill>
                    <w14:schemeClr w14:val="tx1"/>
                  </w14:solidFill>
                </w14:textFill>
              </w:rPr>
            </w:pPr>
          </w:p>
        </w:tc>
        <w:tc>
          <w:tcPr>
            <w:tcW w:w="1689" w:type="dxa"/>
            <w:vMerge w:val="continue"/>
          </w:tcPr>
          <w:p w14:paraId="65A07A98">
            <w:pPr>
              <w:bidi w:val="0"/>
              <w:rPr>
                <w:rFonts w:hint="eastAsia" w:ascii="仿宋" w:hAnsi="仿宋" w:eastAsia="仿宋" w:cs="仿宋"/>
                <w:b w:val="0"/>
                <w:bCs w:val="0"/>
                <w:color w:val="000000" w:themeColor="text1"/>
                <w:sz w:val="32"/>
                <w:szCs w:val="32"/>
                <w:vertAlign w:val="baseline"/>
                <w14:textFill>
                  <w14:solidFill>
                    <w14:schemeClr w14:val="tx1"/>
                  </w14:solidFill>
                </w14:textFill>
              </w:rPr>
            </w:pPr>
          </w:p>
        </w:tc>
        <w:tc>
          <w:tcPr>
            <w:tcW w:w="2422" w:type="dxa"/>
          </w:tcPr>
          <w:p w14:paraId="6FCAED89">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经济作物种植</w:t>
            </w:r>
          </w:p>
        </w:tc>
        <w:tc>
          <w:tcPr>
            <w:tcW w:w="1867" w:type="dxa"/>
          </w:tcPr>
          <w:p w14:paraId="10A16385">
            <w:pPr>
              <w:bidi w:val="0"/>
              <w:jc w:val="center"/>
              <w:rPr>
                <w:rFonts w:hint="eastAsia" w:ascii="仿宋" w:hAnsi="仿宋" w:eastAsia="仿宋" w:cs="仿宋"/>
                <w:b w:val="0"/>
                <w:bCs w:val="0"/>
                <w:color w:val="000000" w:themeColor="text1"/>
                <w:sz w:val="32"/>
                <w:szCs w:val="32"/>
                <w:vertAlign w:val="baseline"/>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1.309</w:t>
            </w:r>
          </w:p>
        </w:tc>
      </w:tr>
    </w:tbl>
    <w:p w14:paraId="5EABB168">
      <w:pPr>
        <w:bidi w:val="0"/>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p>
    <w:p w14:paraId="4B0E5618">
      <w:pPr>
        <w:bidi w:val="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bookmarkStart w:id="0" w:name="_GoBack"/>
      <w:bookmarkEnd w:id="0"/>
    </w:p>
    <w:p w14:paraId="02C51883">
      <w:pPr>
        <w:bidi w:val="0"/>
        <w:rPr>
          <w:rFonts w:hint="eastAsia" w:ascii="宋体" w:hAnsi="宋体" w:eastAsia="宋体" w:cs="宋体"/>
          <w:color w:val="000000" w:themeColor="text1"/>
          <w:sz w:val="32"/>
          <w:szCs w:val="32"/>
          <w14:textFill>
            <w14:solidFill>
              <w14:schemeClr w14:val="tx1"/>
            </w14:solidFill>
          </w14:textFill>
        </w:rPr>
      </w:pPr>
    </w:p>
    <w:p w14:paraId="0304D0C1">
      <w:pPr>
        <w:bidi w:val="0"/>
        <w:rPr>
          <w:rFonts w:hint="eastAsia" w:ascii="宋体" w:hAnsi="宋体" w:eastAsia="宋体" w:cs="宋体"/>
          <w:color w:val="000000" w:themeColor="text1"/>
          <w:sz w:val="32"/>
          <w:szCs w:val="32"/>
          <w14:textFill>
            <w14:solidFill>
              <w14:schemeClr w14:val="tx1"/>
            </w14:solidFill>
          </w14:textFill>
        </w:rPr>
      </w:pPr>
    </w:p>
    <w:p w14:paraId="006E91D6">
      <w:pPr>
        <w:bidi w:val="0"/>
        <w:rPr>
          <w:rFonts w:hint="eastAsia" w:ascii="宋体" w:hAnsi="宋体" w:eastAsia="宋体" w:cs="宋体"/>
          <w:color w:val="000000" w:themeColor="text1"/>
          <w:sz w:val="32"/>
          <w:szCs w:val="32"/>
          <w14:textFill>
            <w14:solidFill>
              <w14:schemeClr w14:val="tx1"/>
            </w14:solidFill>
          </w14:textFill>
        </w:rPr>
      </w:pPr>
    </w:p>
    <w:p w14:paraId="4D9D2F06">
      <w:pPr>
        <w:bidi w:val="0"/>
        <w:rPr>
          <w:rFonts w:hint="eastAsia" w:ascii="宋体" w:hAnsi="宋体" w:eastAsia="宋体" w:cs="宋体"/>
          <w:color w:val="000000" w:themeColor="text1"/>
          <w:sz w:val="32"/>
          <w:szCs w:val="32"/>
          <w14:textFill>
            <w14:solidFill>
              <w14:schemeClr w14:val="tx1"/>
            </w14:solidFill>
          </w14:textFill>
        </w:rPr>
      </w:pPr>
    </w:p>
    <w:p w14:paraId="4B6505F2">
      <w:pPr>
        <w:bidi w:val="0"/>
        <w:rPr>
          <w:rFonts w:hint="eastAsia" w:ascii="宋体" w:hAnsi="宋体" w:eastAsia="宋体" w:cs="宋体"/>
          <w:color w:val="000000" w:themeColor="text1"/>
          <w:sz w:val="32"/>
          <w:szCs w:val="32"/>
          <w14:textFill>
            <w14:solidFill>
              <w14:schemeClr w14:val="tx1"/>
            </w14:solidFill>
          </w14:textFill>
        </w:rPr>
      </w:pPr>
    </w:p>
    <w:p w14:paraId="539E52F8">
      <w:pPr>
        <w:bidi w:val="0"/>
        <w:rPr>
          <w:rFonts w:hint="eastAsia" w:ascii="宋体" w:hAnsi="宋体" w:eastAsia="宋体" w:cs="宋体"/>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Dc4YTVlZTcxOTRiYWJiYTM3YjNjOWU3NGY0YTYifQ=="/>
  </w:docVars>
  <w:rsids>
    <w:rsidRoot w:val="697241FD"/>
    <w:rsid w:val="06073316"/>
    <w:rsid w:val="08CB7665"/>
    <w:rsid w:val="1477445A"/>
    <w:rsid w:val="1B882A24"/>
    <w:rsid w:val="1CB10AE7"/>
    <w:rsid w:val="23CD1B74"/>
    <w:rsid w:val="2451172C"/>
    <w:rsid w:val="25E16745"/>
    <w:rsid w:val="279C0078"/>
    <w:rsid w:val="2BCC3E22"/>
    <w:rsid w:val="3C975E2B"/>
    <w:rsid w:val="59635CA3"/>
    <w:rsid w:val="5CDE780C"/>
    <w:rsid w:val="635276B6"/>
    <w:rsid w:val="68930801"/>
    <w:rsid w:val="697241FD"/>
    <w:rsid w:val="6A244C92"/>
    <w:rsid w:val="6C60799F"/>
    <w:rsid w:val="76FB321F"/>
    <w:rsid w:val="7B0F30D0"/>
    <w:rsid w:val="7D6C6706"/>
    <w:rsid w:val="7E1D0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120" w:after="120" w:line="360" w:lineRule="auto"/>
      <w:outlineLvl w:val="1"/>
    </w:pPr>
    <w:rPr>
      <w:rFonts w:ascii="Times New Roman" w:hAnsi="Times New Roman" w:eastAsia="华文中宋"/>
      <w:b/>
      <w:bCs/>
      <w:kern w:val="0"/>
      <w:sz w:val="30"/>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1439</Words>
  <Characters>1479</Characters>
  <Lines>0</Lines>
  <Paragraphs>0</Paragraphs>
  <TotalTime>38</TotalTime>
  <ScaleCrop>false</ScaleCrop>
  <LinksUpToDate>false</LinksUpToDate>
  <CharactersWithSpaces>1688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2022-05-19T06:50:00Z</dcterms:created>
  <dc:creator>旧    鸢</dc:creator>
  <cp:lastModifiedBy>lenovo</cp:lastModifiedBy>
  <cp:lastPrinted>2022-12-13T01:21:00Z</cp:lastPrinted>
  <dcterms:modified xsi:type="dcterms:W3CDTF">2025-04-21T02:13:18Z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C0B715565D674073BDDDB10182CC0A5D_13</vt:lpwstr>
  </property>
  <property fmtid="{D5CDD505-2E9C-101B-9397-08002B2CF9AE}" pid="4" name="KSOTemplateDocerSaveRecord">
    <vt:lpwstr>eyJoZGlkIjoiMDljMDc5Mzc3MDY5OTljY2JlOTc5ODNmMTI1Nzc3ZGIifQ==</vt:lpwstr>
  </property>
</Properties>
</file>