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vertAlign w:val="baseline"/>
          <w:lang w:eastAsia="zh-CN"/>
        </w:rPr>
        <w:t>灵沙乡202</w:t>
      </w:r>
      <w:r>
        <w:rPr>
          <w:rFonts w:hint="eastAsia" w:ascii="方正小标宋简体" w:hAnsi="方正小标宋简体" w:eastAsia="方正小标宋简体" w:cs="方正小标宋简体"/>
          <w:b w:val="0"/>
          <w:bCs w:val="0"/>
          <w:sz w:val="44"/>
          <w:szCs w:val="44"/>
          <w:vertAlign w:val="baseline"/>
          <w:lang w:val="en-US" w:eastAsia="zh-CN"/>
        </w:rPr>
        <w:t>4</w:t>
      </w:r>
      <w:r>
        <w:rPr>
          <w:rFonts w:hint="eastAsia" w:ascii="方正小标宋简体" w:hAnsi="方正小标宋简体" w:eastAsia="方正小标宋简体" w:cs="方正小标宋简体"/>
          <w:b w:val="0"/>
          <w:bCs w:val="0"/>
          <w:sz w:val="44"/>
          <w:szCs w:val="44"/>
          <w:vertAlign w:val="baseline"/>
          <w:lang w:eastAsia="zh-CN"/>
        </w:rPr>
        <w:t>年法治政府建设年度报告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年，在县委、县政府的正确领导下，</w:t>
      </w:r>
      <w:r>
        <w:rPr>
          <w:rFonts w:hint="eastAsia" w:ascii="仿宋_GB2312" w:hAnsi="仿宋_GB2312" w:eastAsia="仿宋_GB2312" w:cs="仿宋_GB2312"/>
          <w:sz w:val="32"/>
          <w:szCs w:val="32"/>
          <w:lang w:val="en-US" w:eastAsia="zh-CN"/>
        </w:rPr>
        <w:t>灵沙乡坚持以习近平新时代中国特色社会主义思想为指导，深入学习宣传贯彻习近平法治思想和党的二十大精神，不断推进法治建设，依法履行各项职能，规范具体行政行为，扎实推进法治政府建设各项任务指标落地落实落出成效。</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4</w:t>
      </w:r>
      <w:r>
        <w:rPr>
          <w:rFonts w:hint="eastAsia" w:ascii="黑体" w:hAnsi="黑体" w:eastAsia="黑体" w:cs="黑体"/>
          <w:sz w:val="32"/>
          <w:szCs w:val="32"/>
        </w:rPr>
        <w:t>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（一）强化领导，压实压紧工作责任。</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高度重视法治政府建设工作，乡党政主要负责人切实履行推进法治政府建设第一责任人职责，对重要工作亲自部署、重大问题亲自过问、重点环节亲自协调、重要任务亲自督办，及时调整工作领导小组，定期听取法治政府建设工作情况汇报，研究解决推进法治政府建设工作困难和问题，形成了主要领导亲自抓、分管领导具体抓、其他领导密切配合、上下齐抓共管的工作格局，确保各项工作落地落细；</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扎实推动习近平法治思想学习走深走实，将习近平法治思想纳入党员干部教育体系，结合党纪学习教育，聚焦重要时间节点，通过举办法治宣传专题讲座等多种方式普及法律法规知识。今年以来，利用党委理论中心组学习会、例会等形式开展集中学习13次，采取以会代训、网络培训等方式开展专题法治讲座2次，切实推动习近平法治思想入脑入心、走深走实；</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树立</w:t>
      </w:r>
      <w:r>
        <w:rPr>
          <w:rFonts w:hint="eastAsia" w:ascii="仿宋_GB2312" w:hAnsi="仿宋_GB2312" w:eastAsia="仿宋_GB2312" w:cs="仿宋_GB2312"/>
          <w:sz w:val="32"/>
          <w:szCs w:val="32"/>
          <w:lang w:val="en-US" w:eastAsia="zh-CN"/>
        </w:rPr>
        <w:t>领导干部依法行政观念，结合季度、年度考核注重考察领导干部遵守法律法规和党规党纪及依法行政情况，引导和督促全乡领导干部自觉养成办事依法、遇事找法、解决问题用法良好习惯。</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（二）依法依规，提高行政决策水平。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行政决策程序，认真落实“双随机、一公开”监管，落实重大行政决策的公众参与、风险评估、专家论证、合法性审查、集体讨论等制度，积极推进政务公开、健全党内情况通报制度、情况反映制度、重大决策征求意见制度，对重大事项决策、重要项目安排、大额资金的使用均由乡党委会议讨论研究决定，重大行政决策在群众参与、调查研究、民主讨论和科学论证的基础上，充分听取社会各界意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建立健全政府法律顾问体系，乡政府与大潮人律师事务所签订法律顾问合同，落实顾问报酬，充分发挥法律顾问在法治工作中的作用，让法律顾问参与到重大行政决策的制定和合同的审查等过程，本年度法律顾问审查各类合同9份，参与诉讼代理4件，有效防范了行政决策的法律风险。</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切实加强行政规范性文件管理，建立健全行政规范性文件清理工作机制，经审查本乡无行政规范性文件。</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加强执法人员资格管理，严</w:t>
      </w:r>
      <w:r>
        <w:rPr>
          <w:rFonts w:hint="eastAsia" w:ascii="仿宋_GB2312" w:hAnsi="仿宋_GB2312" w:eastAsia="仿宋_GB2312" w:cs="仿宋_GB2312"/>
          <w:sz w:val="32"/>
          <w:szCs w:val="32"/>
        </w:rPr>
        <w:t>格执行行政人员持证上岗制度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凡是申领行政执法证人员，需进行网上报名和参加统一考试，目前参加行政执法考试干部22人，持证人员22人，确保行政执法的合法性。</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val="en-US" w:eastAsia="zh-CN"/>
        </w:rPr>
        <w:t>深化行政执法全过程记录工作，坚持推</w:t>
      </w:r>
      <w:r>
        <w:rPr>
          <w:rFonts w:hint="eastAsia" w:ascii="仿宋_GB2312" w:hAnsi="仿宋_GB2312" w:eastAsia="仿宋_GB2312" w:cs="仿宋_GB2312"/>
          <w:sz w:val="32"/>
          <w:szCs w:val="32"/>
        </w:rPr>
        <w:t>进法治工作，严格落实行政执法全过程记录制度。乡政府执法部门均配备执法记录仪，保障现场执法全过程记录，有效减少后续隐患和问题，提高执法透明度。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（三）普法强基，营造法治建设氛围。</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深入实施“八五”普法工作，认真贯彻落实“八五”普法规划，充分发挥亚运会马拉松冠军何杰所在灵沙乡何家村法治教育基地作用，组织开展专题法治宣传活动，有效引导群众“有纠纷找调解”。</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做好重要时间节点法治宣传活动，加强对刑满释放、社区矫正、涉邪教和戒毒等重点人员宣传教育，重点对民族宗教、食品药品安全、道路交通安全、生产安全、网络电信诈骗等群众关心关注的问题，开展常态化法治宣传。今年开展乡村两级各类法治宣传活动100余场次，发放各类法治宣传资料8000余份，解答法律咨询600余人次。</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不断充实宣传队伍。以人民调解员、网格员、老党员等为重点开展“法律明白人”培养工程，累计培育“法律明白人”143人，开展“法律明白人”专题业务培训活动4次。</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（四）树牢法治理念，拓展提升法治效能。</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加强矛盾纠纷排查化解工作，坚持和发展新时代“枫桥经验”，充分发挥人民调解组织职能作用，打造灵沙乡数字乡村平台，对各类突发事件、紧急情况实时在线监测，对发生在村内的群众矛盾纠纷，及时发现并妥善处理，本年度累计深入开展矛盾排查270余次，受理矛盾纠纷75起，调解成功74起，调处成功率98.6%。</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持续推进一村一法律顾问工作制度。11个村实现法律顾问全覆盖，围绕中心工作，着力做好重点工程、重大项目等领域的专业法律服务工作，组织“一村一法律顾问”到辖区村委会开展“法治问诊”13场次，对村集体重大决策事项决议、村集体合同进行审查，发现并排除村集体面临的法律风险点4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做好信访维稳工作，在信访工作上再发力，积极引导群众通过综治中心表达诉求，及时受理群众线上线下信访事项，紧盯群众难心事、烦心事、揪心事，勤入户勤沟通、多交流，把脉问诊，找准问题症结，按照“统一受理、统一研判、统一处置、统一办结”的原则，强化工作合力，突破疑难信访问题化解瓶颈，保障好群众的合法权益。2024年共接待来访群众48批次，办理办结信访事项27件，及时受理率、按期办结率及网上参评率均达到100%。</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4</w:t>
      </w:r>
      <w:r>
        <w:rPr>
          <w:rFonts w:hint="eastAsia" w:ascii="黑体" w:hAnsi="黑体" w:eastAsia="黑体" w:cs="黑体"/>
          <w:sz w:val="32"/>
          <w:szCs w:val="32"/>
        </w:rPr>
        <w:t>年度推进法治政府建设存在的不足</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（一）专业机构和人员配备不足。</w:t>
      </w:r>
      <w:r>
        <w:rPr>
          <w:rFonts w:hint="eastAsia" w:ascii="仿宋_GB2312" w:hAnsi="仿宋_GB2312" w:eastAsia="仿宋_GB2312" w:cs="仿宋_GB2312"/>
          <w:sz w:val="32"/>
          <w:szCs w:val="32"/>
          <w:lang w:eastAsia="zh-CN"/>
        </w:rPr>
        <w:t>法律专业人才相对匮乏，基层执法力量配备不充足，法律专业人才较为缺乏，工作人员运用法治思维和法治方式处理日常工作的意识和能力仍不够强，对推进依法行政、加快法治政府建设的重要性认识还需加强。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法治思维建设有待加强。</w:t>
      </w:r>
      <w:r>
        <w:rPr>
          <w:rFonts w:hint="eastAsia" w:ascii="仿宋_GB2312" w:hAnsi="仿宋_GB2312" w:eastAsia="仿宋_GB2312" w:cs="仿宋_GB2312"/>
          <w:sz w:val="32"/>
          <w:szCs w:val="32"/>
          <w:lang w:eastAsia="zh-CN"/>
        </w:rPr>
        <w:t>部分干部对法治建设工作不够重视，缺乏学习法律法规的主动性、自觉性，运用法治思维、法治手段解决问题的意识和能力有待提高。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）普法形式</w:t>
      </w:r>
      <w:r>
        <w:rPr>
          <w:rFonts w:hint="eastAsia" w:ascii="楷体_GB2312" w:hAnsi="楷体_GB2312" w:eastAsia="楷体_GB2312" w:cs="楷体_GB2312"/>
          <w:b/>
          <w:bCs/>
          <w:sz w:val="32"/>
          <w:szCs w:val="32"/>
          <w:lang w:val="en-US" w:eastAsia="zh-CN"/>
        </w:rPr>
        <w:t>不够</w:t>
      </w:r>
      <w:r>
        <w:rPr>
          <w:rFonts w:hint="eastAsia" w:ascii="楷体_GB2312" w:hAnsi="楷体_GB2312" w:eastAsia="楷体_GB2312" w:cs="楷体_GB2312"/>
          <w:b/>
          <w:bCs/>
          <w:sz w:val="32"/>
          <w:szCs w:val="32"/>
          <w:lang w:eastAsia="zh-CN"/>
        </w:rPr>
        <w:t>丰富。</w:t>
      </w:r>
      <w:r>
        <w:rPr>
          <w:rFonts w:hint="eastAsia" w:ascii="仿宋_GB2312" w:hAnsi="仿宋_GB2312" w:eastAsia="仿宋_GB2312" w:cs="仿宋_GB2312"/>
          <w:sz w:val="32"/>
          <w:szCs w:val="32"/>
          <w:lang w:eastAsia="zh-CN"/>
        </w:rPr>
        <w:t>普法宣传采用老办法、硬方式较多，大多采用张贴横幅、村内广播、</w:t>
      </w:r>
      <w:r>
        <w:rPr>
          <w:rFonts w:hint="eastAsia" w:ascii="仿宋_GB2312" w:hAnsi="仿宋_GB2312" w:eastAsia="仿宋_GB2312" w:cs="仿宋_GB2312"/>
          <w:sz w:val="32"/>
          <w:szCs w:val="32"/>
          <w:lang w:val="en-US" w:eastAsia="zh-CN"/>
        </w:rPr>
        <w:t>入户</w:t>
      </w:r>
      <w:r>
        <w:rPr>
          <w:rFonts w:hint="eastAsia" w:ascii="仿宋_GB2312" w:hAnsi="仿宋_GB2312" w:eastAsia="仿宋_GB2312" w:cs="仿宋_GB2312"/>
          <w:sz w:val="32"/>
          <w:szCs w:val="32"/>
          <w:lang w:eastAsia="zh-CN"/>
        </w:rPr>
        <w:t>宣传等方式硬性宣传，宣传举措不够灵活，与群众互动较少，缺乏吸引力，满足不了群众多样性的要求。</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三、202</w:t>
      </w:r>
      <w:r>
        <w:rPr>
          <w:rFonts w:hint="eastAsia" w:ascii="黑体" w:hAnsi="黑体" w:eastAsia="黑体" w:cs="黑体"/>
          <w:sz w:val="32"/>
          <w:szCs w:val="32"/>
          <w:lang w:val="en-US" w:eastAsia="zh-CN"/>
        </w:rPr>
        <w:t>5</w:t>
      </w:r>
      <w:r>
        <w:rPr>
          <w:rFonts w:hint="eastAsia" w:ascii="黑体" w:hAnsi="黑体" w:eastAsia="黑体" w:cs="黑体"/>
          <w:sz w:val="32"/>
          <w:szCs w:val="32"/>
        </w:rPr>
        <w:t>年度推进法治政府建设的主要安排</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（一）进一步提高法治政府建设意识，做到政府建设法治化。</w:t>
      </w:r>
      <w:r>
        <w:rPr>
          <w:rFonts w:hint="eastAsia" w:ascii="仿宋_GB2312" w:hAnsi="仿宋_GB2312" w:eastAsia="仿宋_GB2312" w:cs="仿宋_GB2312"/>
          <w:sz w:val="32"/>
          <w:szCs w:val="32"/>
        </w:rPr>
        <w:t>深入学习贯彻习近平法治思想，将法治建设摆在政府建设的突出位置，严格落实党政主要负责人履行推进法治建设第一责任人的职责，不断提高领导干部的法律意识和法律素养，进一步提高依法行政水平。同时，坚持以群众法律需求为导向，不断创新活动形式，丰富活动载体，提高普法的针对性、时效性、趣味性和精准性。</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（二）进一步加强法治宣传教育，维护社会和谐稳定。</w:t>
      </w:r>
      <w:r>
        <w:rPr>
          <w:rFonts w:hint="eastAsia" w:ascii="仿宋_GB2312" w:hAnsi="仿宋_GB2312" w:eastAsia="仿宋_GB2312" w:cs="仿宋_GB2312"/>
          <w:sz w:val="32"/>
          <w:szCs w:val="32"/>
        </w:rPr>
        <w:t>结合实际开展普法宣传活动，及时化解问题，积极创建法治政府。树立民本意识，强化源头治理，坚持依法治访，努力畅通渠道，增强服务效能，为群众提供更加便捷高效的诉求表达平台；坚持和发展新时代“枫桥经验”，继续推进矛盾纠纷多元化解机制，有效整合调解资源，强化调解职能，及时有效化解矛盾纠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（三）进一步严格规范公正文明执法，提高依法行政水平。</w:t>
      </w:r>
      <w:r>
        <w:rPr>
          <w:rFonts w:hint="eastAsia" w:ascii="仿宋_GB2312" w:hAnsi="仿宋_GB2312" w:eastAsia="仿宋_GB2312" w:cs="仿宋_GB2312"/>
          <w:sz w:val="32"/>
          <w:szCs w:val="32"/>
        </w:rPr>
        <w:t>贯彻落实行政执法“三项制度”，做好行政执法公示相关工作，把好行政执法全过程记录制度质量关，积极开展重大执法决定法制审核。进一步强化法治思维，依法行政，规范执法，持续提升行政执法标准化、规范化、精细化水平。进一步发挥法律顾问作用，健全工作机制和程序，让法律顾问参与到行政决策、行政执行以及行政诉讼等行政工作的全过程中。</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5120" w:firstLineChars="16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平罗县灵沙乡人民政府</w:t>
      </w:r>
    </w:p>
    <w:p>
      <w:pPr>
        <w:pStyle w:val="2"/>
        <w:keepNext w:val="0"/>
        <w:keepLines w:val="0"/>
        <w:pageBreakBefore w:val="0"/>
        <w:widowControl w:val="0"/>
        <w:kinsoku/>
        <w:wordWrap/>
        <w:overflowPunct/>
        <w:topLinePunct w:val="0"/>
        <w:autoSpaceDE/>
        <w:autoSpaceDN/>
        <w:bidi w:val="0"/>
        <w:adjustRightInd/>
        <w:snapToGrid/>
        <w:spacing w:after="0" w:afterLines="0" w:line="540"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lang w:val="en-US" w:eastAsia="zh-CN"/>
        </w:rPr>
        <w:t>2024年11月26日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zYzViZmI1MTM2OGM1ODcyMGE1MDRiODM5MzVlZWYifQ=="/>
    <w:docVar w:name="KSO_WPS_MARK_KEY" w:val="22493b69-499f-4777-a729-ef28e04bff9c"/>
  </w:docVars>
  <w:rsids>
    <w:rsidRoot w:val="35C65B95"/>
    <w:rsid w:val="170443D8"/>
    <w:rsid w:val="30471F21"/>
    <w:rsid w:val="31CF69DC"/>
    <w:rsid w:val="35C65B95"/>
    <w:rsid w:val="365163AF"/>
    <w:rsid w:val="3A2D06E8"/>
    <w:rsid w:val="3AD11FA1"/>
    <w:rsid w:val="44780111"/>
    <w:rsid w:val="47EC5F8C"/>
    <w:rsid w:val="4B06426C"/>
    <w:rsid w:val="51501312"/>
    <w:rsid w:val="654A46E3"/>
    <w:rsid w:val="66B73531"/>
    <w:rsid w:val="689A52B4"/>
    <w:rsid w:val="6A0333FA"/>
    <w:rsid w:val="6C8F1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Times New Roman" w:hAnsi="Times New Roman" w:eastAsia="宋体" w:cs="Times New Roman"/>
    </w:rPr>
  </w:style>
  <w:style w:type="paragraph" w:customStyle="1" w:styleId="3">
    <w:name w:val="Body Text Indent1"/>
    <w:basedOn w:val="1"/>
    <w:qFormat/>
    <w:uiPriority w:val="0"/>
    <w:pPr>
      <w:spacing w:after="120" w:afterLines="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2843</Words>
  <Characters>2893</Characters>
  <Lines>0</Lines>
  <Paragraphs>0</Paragraphs>
  <TotalTime>1</TotalTime>
  <ScaleCrop>false</ScaleCrop>
  <LinksUpToDate>false</LinksUpToDate>
  <CharactersWithSpaces>2893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2024-01-18T01:59:00Z</dcterms:created>
  <dc:creator>黄桃桃º</dc:creator>
  <cp:lastModifiedBy>Administrator</cp:lastModifiedBy>
  <cp:lastPrinted>2025-04-10T00:54:05Z</cp:lastPrinted>
  <dcterms:modified xsi:type="dcterms:W3CDTF">2025-04-10T03:04:55Z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B50BD839384040AF97C1B41709DD61DC_13</vt:lpwstr>
  </property>
  <property fmtid="{D5CDD505-2E9C-101B-9397-08002B2CF9AE}" pid="4" name="KSOTemplateDocerSaveRecord">
    <vt:lpwstr>eyJoZGlkIjoiMGVlY2QyODdlZWNhODIwODU5ZDNiNzg1NTZlMWQyNzciLCJ1c2VySWQiOiIyOTE2MjI0MDMifQ==</vt:lpwstr>
  </property>
</Properties>
</file>