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7B6A7">
      <w:pPr>
        <w:jc w:val="distribute"/>
        <w:rPr>
          <w:rFonts w:hint="eastAsia" w:ascii="方正小标宋简体" w:hAnsi="方正小标宋简体" w:eastAsia="方正小标宋简体" w:cs="方正小标宋简体"/>
          <w:color w:val="FF0000"/>
          <w:w w:val="100"/>
          <w:sz w:val="72"/>
          <w:szCs w:val="72"/>
          <w:u w:val="thick"/>
          <w:lang w:eastAsia="zh-CN"/>
        </w:rPr>
      </w:pPr>
      <w:r>
        <w:rPr>
          <w:rFonts w:hint="eastAsia" w:ascii="方正小标宋简体" w:hAnsi="方正小标宋简体" w:eastAsia="方正小标宋简体" w:cs="方正小标宋简体"/>
          <w:color w:val="FF0000"/>
          <w:w w:val="100"/>
          <w:sz w:val="72"/>
          <w:szCs w:val="72"/>
          <w:u w:val="thick"/>
          <w:lang w:eastAsia="zh-CN"/>
        </w:rPr>
        <w:t>平罗县通伏乡人民政府</w:t>
      </w:r>
    </w:p>
    <w:p w14:paraId="3921B5D6">
      <w:pPr>
        <w:keepNext w:val="0"/>
        <w:keepLines w:val="0"/>
        <w:pageBreakBefore w:val="0"/>
        <w:widowControl w:val="0"/>
        <w:wordWrap/>
        <w:topLinePunct w:val="0"/>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平罗县通伏乡2022年度法治政府建设</w:t>
      </w:r>
    </w:p>
    <w:p w14:paraId="7ACFE7D6">
      <w:pPr>
        <w:keepNext w:val="0"/>
        <w:keepLines w:val="0"/>
        <w:pageBreakBefore w:val="0"/>
        <w:widowControl w:val="0"/>
        <w:wordWrap/>
        <w:topLinePunct w:val="0"/>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 w:eastAsia="zh-CN"/>
        </w:rPr>
      </w:pPr>
      <w:r>
        <w:rPr>
          <w:rFonts w:hint="eastAsia" w:ascii="方正小标宋简体" w:hAnsi="方正小标宋简体" w:eastAsia="方正小标宋简体" w:cs="方正小标宋简体"/>
          <w:spacing w:val="-11"/>
          <w:sz w:val="44"/>
          <w:szCs w:val="44"/>
          <w:lang w:val="en-US" w:eastAsia="zh-CN"/>
        </w:rPr>
        <w:t>年度报告</w:t>
      </w:r>
    </w:p>
    <w:p w14:paraId="6FB6FBC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p>
    <w:p w14:paraId="150CDA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2022年以来，在</w:t>
      </w:r>
      <w:r>
        <w:rPr>
          <w:rFonts w:hint="default" w:ascii="仿宋_GB2312" w:hAnsi="宋体" w:eastAsia="仿宋_GB2312"/>
          <w:sz w:val="32"/>
          <w:szCs w:val="32"/>
        </w:rPr>
        <w:t>县委</w:t>
      </w:r>
      <w:r>
        <w:rPr>
          <w:rFonts w:hint="eastAsia" w:ascii="仿宋_GB2312" w:hAnsi="宋体" w:eastAsia="仿宋_GB2312"/>
          <w:sz w:val="32"/>
          <w:szCs w:val="32"/>
          <w:lang w:eastAsia="zh-CN"/>
        </w:rPr>
        <w:t>、县</w:t>
      </w:r>
      <w:r>
        <w:rPr>
          <w:rFonts w:hint="default" w:ascii="仿宋_GB2312" w:hAnsi="宋体" w:eastAsia="仿宋_GB2312"/>
          <w:sz w:val="32"/>
          <w:szCs w:val="32"/>
        </w:rPr>
        <w:t>政府的正确领导下</w:t>
      </w:r>
      <w:r>
        <w:rPr>
          <w:rFonts w:hint="eastAsia" w:ascii="仿宋_GB2312" w:hAnsi="宋体" w:eastAsia="仿宋_GB2312"/>
          <w:sz w:val="32"/>
          <w:szCs w:val="32"/>
          <w:lang w:eastAsia="zh-CN"/>
        </w:rPr>
        <w:t>，</w:t>
      </w:r>
      <w:r>
        <w:rPr>
          <w:rFonts w:hint="eastAsia" w:ascii="仿宋_GB2312" w:hAnsi="仿宋_GB2312" w:eastAsia="仿宋_GB2312" w:cs="仿宋_GB2312"/>
          <w:color w:val="auto"/>
          <w:kern w:val="2"/>
          <w:sz w:val="32"/>
          <w:szCs w:val="32"/>
          <w:lang w:val="en-US" w:eastAsia="zh-CN" w:bidi="ar-SA"/>
        </w:rPr>
        <w:t>通伏乡积极推进法治政府工作进程，认真学习贯彻党的二十大和自治区第十三次党代会精神，深入贯彻落实习近平法治思想</w:t>
      </w:r>
      <w:r>
        <w:rPr>
          <w:rFonts w:hint="eastAsia" w:ascii="Times New Roman" w:hAnsi="Times New Roman" w:eastAsia="仿宋_GB2312" w:cs="仿宋"/>
          <w:color w:val="auto"/>
          <w:kern w:val="2"/>
          <w:sz w:val="32"/>
          <w:szCs w:val="32"/>
          <w:lang w:val="en-US" w:eastAsia="zh-CN" w:bidi="ar-SA"/>
        </w:rPr>
        <w:t>，工作取得明显成效</w:t>
      </w:r>
      <w:r>
        <w:rPr>
          <w:rFonts w:hint="eastAsia" w:ascii="Times New Roman" w:hAnsi="Times New Roman" w:eastAsia="仿宋_GB2312" w:cs="仿宋"/>
          <w:color w:val="auto"/>
          <w:kern w:val="2"/>
          <w:sz w:val="32"/>
          <w:szCs w:val="32"/>
          <w:lang w:val="en" w:eastAsia="zh-CN" w:bidi="ar-SA"/>
        </w:rPr>
        <w:t>。</w:t>
      </w:r>
      <w:r>
        <w:rPr>
          <w:rFonts w:hint="eastAsia" w:ascii="仿宋_GB2312" w:hAnsi="仿宋_GB2312" w:eastAsia="仿宋_GB2312" w:cs="仿宋_GB2312"/>
          <w:color w:val="auto"/>
          <w:kern w:val="2"/>
          <w:sz w:val="32"/>
          <w:szCs w:val="32"/>
          <w:lang w:val="en-US" w:eastAsia="zh-CN" w:bidi="ar-SA"/>
        </w:rPr>
        <w:t>按照有关文件要求，现将</w:t>
      </w:r>
      <w:r>
        <w:rPr>
          <w:rFonts w:hint="eastAsia" w:ascii="Calibri" w:hAnsi="Calibri" w:eastAsia="仿宋_GB2312" w:cs="黑体"/>
          <w:bCs/>
          <w:kern w:val="2"/>
          <w:sz w:val="32"/>
          <w:szCs w:val="32"/>
          <w:lang w:val="en-US" w:eastAsia="zh-CN" w:bidi="ar-SA"/>
        </w:rPr>
        <w:t>现将有关情况报告如下</w:t>
      </w:r>
      <w:r>
        <w:rPr>
          <w:rFonts w:hint="eastAsia" w:ascii="仿宋_GB2312" w:hAnsi="仿宋_GB2312" w:eastAsia="仿宋_GB2312" w:cs="仿宋_GB2312"/>
          <w:color w:val="auto"/>
          <w:kern w:val="2"/>
          <w:sz w:val="32"/>
          <w:szCs w:val="32"/>
          <w:lang w:val="en-US" w:eastAsia="zh-CN" w:bidi="ar-SA"/>
        </w:rPr>
        <w:t>：</w:t>
      </w:r>
      <w:bookmarkStart w:id="0" w:name="_GoBack"/>
      <w:bookmarkEnd w:id="0"/>
    </w:p>
    <w:p w14:paraId="22BAEB94">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b w:val="0"/>
          <w:bCs w:val="0"/>
          <w:kern w:val="2"/>
          <w:sz w:val="32"/>
          <w:szCs w:val="32"/>
          <w:lang w:val="en-US" w:eastAsia="zh-CN" w:bidi="ar-SA"/>
        </w:rPr>
        <w:t>一、</w:t>
      </w:r>
      <w:r>
        <w:rPr>
          <w:rFonts w:ascii="黑体" w:hAnsi="宋体" w:eastAsia="黑体" w:cs="黑体"/>
          <w:kern w:val="0"/>
          <w:sz w:val="31"/>
          <w:szCs w:val="31"/>
          <w:lang w:val="en-US" w:eastAsia="zh-CN" w:bidi="ar"/>
        </w:rPr>
        <w:t>202</w:t>
      </w:r>
      <w:r>
        <w:rPr>
          <w:rFonts w:hint="eastAsia" w:ascii="黑体" w:hAnsi="宋体" w:eastAsia="黑体" w:cs="黑体"/>
          <w:kern w:val="0"/>
          <w:sz w:val="31"/>
          <w:szCs w:val="31"/>
          <w:lang w:val="en-US" w:eastAsia="zh-CN" w:bidi="ar"/>
        </w:rPr>
        <w:t>2年度法治政府建设主要工作举措及成效</w:t>
      </w:r>
    </w:p>
    <w:p w14:paraId="0BFD4F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（一）推动学习贯彻习近平法治思想走深走实。一是</w:t>
      </w:r>
      <w:r>
        <w:rPr>
          <w:rFonts w:hint="eastAsia" w:ascii="仿宋_GB2312" w:hAnsi="仿宋_GB2312" w:eastAsia="仿宋_GB2312" w:cs="仿宋_GB2312"/>
          <w:sz w:val="32"/>
          <w:szCs w:val="32"/>
          <w:lang w:val="en-US" w:eastAsia="zh-CN"/>
        </w:rPr>
        <w:t>安排部署学习贯彻习近平法治思想</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sz w:val="32"/>
          <w:szCs w:val="32"/>
          <w:lang w:val="en-US" w:eastAsia="zh-CN"/>
        </w:rPr>
        <w:t>将学习习近平法治思想纵向推进落到实处</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b w:val="0"/>
          <w:bCs w:val="0"/>
          <w:color w:val="000000"/>
          <w:sz w:val="32"/>
          <w:szCs w:val="32"/>
          <w:lang w:eastAsia="zh-CN"/>
        </w:rPr>
        <w:t>通伏乡党委政府领导班子不断强化理论武装，通过不定期</w:t>
      </w:r>
      <w:r>
        <w:rPr>
          <w:rFonts w:hint="eastAsia" w:ascii="仿宋" w:hAnsi="仿宋" w:eastAsia="仿宋" w:cs="仿宋"/>
          <w:sz w:val="32"/>
          <w:szCs w:val="32"/>
          <w:lang w:val="en-US" w:eastAsia="zh-CN"/>
        </w:rPr>
        <w:t>举</w:t>
      </w:r>
      <w:r>
        <w:rPr>
          <w:rFonts w:hint="eastAsia" w:ascii="仿宋_GB2312" w:hAnsi="仿宋_GB2312" w:eastAsia="仿宋_GB2312" w:cs="仿宋_GB2312"/>
          <w:sz w:val="32"/>
          <w:szCs w:val="32"/>
          <w:lang w:val="en-US" w:eastAsia="zh-CN"/>
        </w:rPr>
        <w:t>办领导干部学习贯彻习近平法治思想专题研讨班，健全完善党委理论中心组学习习近平法治思想常态化机制等措施。</w:t>
      </w:r>
      <w:r>
        <w:rPr>
          <w:rFonts w:hint="eastAsia" w:ascii="仿宋_GB2312" w:hAnsi="仿宋_GB2312" w:eastAsia="仿宋_GB2312" w:cs="仿宋_GB2312"/>
          <w:b w:val="0"/>
          <w:bCs w:val="0"/>
          <w:color w:val="000000"/>
          <w:sz w:val="32"/>
          <w:szCs w:val="32"/>
          <w:lang w:val="en-US" w:eastAsia="zh-CN"/>
        </w:rPr>
        <w:t>2022年</w:t>
      </w:r>
      <w:r>
        <w:rPr>
          <w:rFonts w:hint="eastAsia" w:ascii="仿宋_GB2312" w:hAnsi="仿宋_GB2312" w:eastAsia="仿宋_GB2312" w:cs="仿宋_GB2312"/>
          <w:color w:val="auto"/>
          <w:kern w:val="2"/>
          <w:sz w:val="32"/>
          <w:szCs w:val="32"/>
          <w:lang w:val="en-US" w:eastAsia="zh-CN" w:bidi="ar-SA"/>
        </w:rPr>
        <w:t>制定并下发《</w:t>
      </w:r>
      <w:r>
        <w:rPr>
          <w:rFonts w:hint="eastAsia" w:ascii="仿宋_GB2312" w:hAnsi="仿宋_GB2312" w:eastAsia="仿宋_GB2312" w:cs="仿宋_GB2312"/>
          <w:b w:val="0"/>
          <w:bCs w:val="0"/>
          <w:color w:val="auto"/>
          <w:kern w:val="2"/>
          <w:sz w:val="32"/>
          <w:szCs w:val="32"/>
          <w:highlight w:val="none"/>
          <w:u w:val="none"/>
          <w:lang w:val="en" w:eastAsia="zh-CN" w:bidi="ar-SA"/>
        </w:rPr>
        <w:t>通伏乡</w:t>
      </w:r>
      <w:r>
        <w:rPr>
          <w:rFonts w:hint="eastAsia" w:ascii="仿宋_GB2312" w:hAnsi="仿宋_GB2312" w:eastAsia="仿宋_GB2312" w:cs="仿宋_GB2312"/>
          <w:b w:val="0"/>
          <w:bCs w:val="0"/>
          <w:color w:val="auto"/>
          <w:kern w:val="2"/>
          <w:sz w:val="32"/>
          <w:szCs w:val="32"/>
          <w:highlight w:val="none"/>
          <w:u w:val="none"/>
          <w:lang w:val="en-US" w:eastAsia="zh-CN" w:bidi="ar-SA"/>
        </w:rPr>
        <w:t>领导干部2022年学法安排</w:t>
      </w:r>
      <w:r>
        <w:rPr>
          <w:rFonts w:hint="eastAsia" w:ascii="仿宋_GB2312" w:hAnsi="仿宋_GB2312" w:eastAsia="仿宋_GB2312" w:cs="仿宋_GB2312"/>
          <w:b w:val="0"/>
          <w:bCs w:val="0"/>
          <w:color w:val="auto"/>
          <w:kern w:val="2"/>
          <w:sz w:val="32"/>
          <w:szCs w:val="32"/>
          <w:lang w:val="en-US" w:eastAsia="zh-CN" w:bidi="ar-SA"/>
        </w:rPr>
        <w:t>》和《平罗县</w:t>
      </w:r>
      <w:r>
        <w:rPr>
          <w:rFonts w:hint="eastAsia" w:ascii="仿宋_GB2312" w:hAnsi="仿宋_GB2312" w:eastAsia="仿宋_GB2312" w:cs="仿宋_GB2312"/>
          <w:b w:val="0"/>
          <w:bCs w:val="0"/>
          <w:color w:val="auto"/>
          <w:kern w:val="2"/>
          <w:sz w:val="32"/>
          <w:szCs w:val="32"/>
          <w:lang w:val="en" w:eastAsia="zh-CN" w:bidi="ar-SA"/>
        </w:rPr>
        <w:t>通伏乡党委理论学习中心组</w:t>
      </w:r>
      <w:r>
        <w:rPr>
          <w:rFonts w:hint="eastAsia" w:ascii="仿宋_GB2312" w:hAnsi="仿宋_GB2312" w:eastAsia="仿宋_GB2312" w:cs="仿宋_GB2312"/>
          <w:b w:val="0"/>
          <w:bCs w:val="0"/>
          <w:color w:val="auto"/>
          <w:kern w:val="2"/>
          <w:sz w:val="32"/>
          <w:szCs w:val="32"/>
          <w:lang w:val="en-US" w:eastAsia="zh-CN" w:bidi="ar-SA"/>
        </w:rPr>
        <w:t>2022年专题学习计划》</w:t>
      </w:r>
      <w:r>
        <w:rPr>
          <w:rFonts w:hint="eastAsia" w:ascii="仿宋_GB2312" w:hAnsi="仿宋_GB2312" w:eastAsia="仿宋_GB2312" w:cs="仿宋_GB2312"/>
          <w:color w:val="auto"/>
          <w:kern w:val="2"/>
          <w:sz w:val="32"/>
          <w:szCs w:val="32"/>
          <w:lang w:val="en-US" w:eastAsia="zh-CN" w:bidi="ar-SA"/>
        </w:rPr>
        <w:t>。依托党委理论中心组学习，党员冬季轮训班、</w:t>
      </w:r>
      <w:r>
        <w:rPr>
          <w:rFonts w:hint="eastAsia" w:ascii="仿宋_GB2312" w:hAnsi="仿宋_GB2312" w:eastAsia="仿宋_GB2312" w:cs="仿宋_GB2312"/>
          <w:color w:val="auto"/>
          <w:kern w:val="2"/>
          <w:sz w:val="32"/>
          <w:szCs w:val="32"/>
          <w:lang w:val="en" w:eastAsia="zh-CN" w:bidi="ar-SA"/>
        </w:rPr>
        <w:t>乡</w:t>
      </w:r>
      <w:r>
        <w:rPr>
          <w:rFonts w:hint="eastAsia" w:ascii="仿宋_GB2312" w:hAnsi="仿宋_GB2312" w:eastAsia="仿宋_GB2312" w:cs="仿宋_GB2312"/>
          <w:color w:val="auto"/>
          <w:kern w:val="2"/>
          <w:sz w:val="32"/>
          <w:szCs w:val="32"/>
          <w:lang w:val="en-US" w:eastAsia="zh-CN" w:bidi="ar-SA"/>
        </w:rPr>
        <w:t>村干部例会、支部主题党日活动等形式全面开展习近平法治思想、《习近平法治思想学习纲要》《习近平谈治国理政》以及《宪法》《民法典》等法律法规知识的学习，在全乡形成法治学习常态化机制。</w:t>
      </w:r>
      <w:r>
        <w:rPr>
          <w:rFonts w:hint="eastAsia" w:ascii="仿宋_GB2312" w:hAnsi="仿宋_GB2312" w:eastAsia="仿宋_GB2312" w:cs="仿宋_GB2312"/>
          <w:b/>
          <w:bCs/>
          <w:color w:val="000000"/>
          <w:sz w:val="32"/>
          <w:szCs w:val="32"/>
          <w:lang w:eastAsia="zh-CN"/>
        </w:rPr>
        <w:t>二是</w:t>
      </w:r>
      <w:r>
        <w:rPr>
          <w:rFonts w:hint="eastAsia" w:ascii="仿宋_GB2312" w:hAnsi="仿宋_GB2312" w:eastAsia="仿宋_GB2312" w:cs="仿宋_GB2312"/>
          <w:b w:val="0"/>
          <w:bCs w:val="0"/>
          <w:color w:val="000000"/>
          <w:sz w:val="32"/>
          <w:szCs w:val="32"/>
          <w:lang w:eastAsia="zh-CN"/>
        </w:rPr>
        <w:t>加大宣传力度，营造浓厚氛围。通伏乡利用微信公众号、微博客户端、乡村两级微信群等网络平台为载体，多方面多渠道宣传习近平法治思想、《宪法》《民法典》等相关解读内容，拓宽学习领域、丰富学习内容，线下结合重要时间节点、乡村干部例会、支部主题党日、党员冬季轮训班等契机以法治讲座、活动宣传、以案释法等形式对通伏乡党员领导干部进行习近平法治思想学习和法律法规宣传教育，着力提高我乡领导干部法治素养和依法行政能力。</w:t>
      </w:r>
      <w:r>
        <w:rPr>
          <w:rFonts w:hint="eastAsia" w:ascii="仿宋_GB2312" w:hAnsi="仿宋_GB2312" w:eastAsia="仿宋_GB2312" w:cs="仿宋_GB2312"/>
          <w:color w:val="auto"/>
          <w:kern w:val="2"/>
          <w:sz w:val="32"/>
          <w:szCs w:val="32"/>
          <w:lang w:val="en-US" w:eastAsia="zh-CN" w:bidi="ar-SA"/>
        </w:rPr>
        <w:t>截至目前，我乡利用党委理论学习中心组学习贯彻习近平法治思想4次，党委会会前学法4次，开展习近平法治思想专题宣讲6次，党委专题听取上一年度本地区法治政府建设情况1次，研究解决本单位法治政府建设有关重大问题2次，开展领导干部法治培训2次，开展领导干部网络无纸化考试1次，组织参与网络答题2次，干部法律知识测试1次，开展旁听庭审活动4次，主要领导讲法1次，进行法治宣传教育12次，受教育人群达1000余人。</w:t>
      </w:r>
    </w:p>
    <w:p w14:paraId="744FBA6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仿宋_GB2312" w:eastAsia="仿宋_GB2312" w:cs="仿宋_GB2312"/>
          <w:b/>
          <w:bCs/>
          <w:color w:val="000000"/>
          <w:kern w:val="2"/>
          <w:sz w:val="32"/>
          <w:szCs w:val="32"/>
          <w:lang w:val="en-US" w:eastAsia="zh-CN" w:bidi="ar-SA"/>
        </w:rPr>
        <w:t>（二）</w:t>
      </w:r>
      <w:r>
        <w:rPr>
          <w:rFonts w:hint="eastAsia" w:ascii="仿宋_GB2312" w:hAnsi="仿宋_GB2312" w:eastAsia="仿宋_GB2312" w:cs="仿宋_GB2312"/>
          <w:b/>
          <w:bCs/>
          <w:kern w:val="2"/>
          <w:sz w:val="32"/>
          <w:szCs w:val="32"/>
          <w:lang w:val="en-US" w:eastAsia="zh-CN" w:bidi="ar-SA"/>
        </w:rPr>
        <w:t>落实党政主要负责人履行法治建设第一责任人职责</w:t>
      </w:r>
      <w:r>
        <w:rPr>
          <w:rFonts w:hint="eastAsia" w:ascii="仿宋_GB2312" w:hAnsi="仿宋_GB2312" w:eastAsia="仿宋_GB2312" w:cs="仿宋_GB2312"/>
          <w:b/>
          <w:bCs/>
          <w:color w:val="00000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eastAsia="zh-CN" w:bidi="ar-SA"/>
        </w:rPr>
        <w:t>贯彻落实党政主要负责人履行推进法治建设第一责任人职责。</w:t>
      </w:r>
      <w:r>
        <w:rPr>
          <w:rFonts w:hint="eastAsia" w:ascii="仿宋_GB2312" w:hAnsi="宋体" w:eastAsia="仿宋_GB2312" w:cs="Times New Roman"/>
          <w:sz w:val="32"/>
          <w:szCs w:val="32"/>
          <w:lang w:val="en-US" w:eastAsia="zh-CN"/>
        </w:rPr>
        <w:t>通伏乡党委政府高度重视法治政府建设推进工作情况，将其作为本年度重点工作任务之一，根据领导干部岗位变动及时调整通伏乡法治建设工作领导小组成员，形成主要领导统筹谋划，分管领导主要负责，相关中心（办）积极配合，层层递进、逐级落实的工作体系，不断</w:t>
      </w:r>
      <w:r>
        <w:rPr>
          <w:rFonts w:hint="eastAsia" w:ascii="仿宋_GB2312" w:hAnsi="仿宋_GB2312" w:eastAsia="仿宋_GB2312" w:cs="仿宋_GB2312"/>
          <w:b w:val="0"/>
          <w:bCs w:val="0"/>
          <w:color w:val="auto"/>
          <w:kern w:val="2"/>
          <w:sz w:val="32"/>
          <w:szCs w:val="32"/>
          <w:lang w:val="en-US" w:eastAsia="zh-CN" w:bidi="ar-SA"/>
        </w:rPr>
        <w:t>细化全年工作任务，</w:t>
      </w:r>
      <w:r>
        <w:rPr>
          <w:rFonts w:hint="eastAsia" w:ascii="仿宋_GB2312" w:hAnsi="宋体" w:eastAsia="仿宋_GB2312" w:cs="Times New Roman"/>
          <w:sz w:val="32"/>
          <w:szCs w:val="32"/>
          <w:lang w:val="en-US" w:eastAsia="zh-CN"/>
        </w:rPr>
        <w:t>在责任上做到压实到人。根据通伏乡的实际情况，有针对性的制定普法依法治理工作方案，</w:t>
      </w:r>
      <w:r>
        <w:rPr>
          <w:rFonts w:hint="eastAsia" w:ascii="仿宋_GB2312" w:hAnsi="仿宋_GB2312" w:eastAsia="仿宋_GB2312" w:cs="仿宋_GB2312"/>
          <w:b w:val="0"/>
          <w:bCs w:val="0"/>
          <w:color w:val="auto"/>
          <w:kern w:val="2"/>
          <w:sz w:val="32"/>
          <w:szCs w:val="32"/>
          <w:lang w:val="en-US" w:eastAsia="zh-CN" w:bidi="ar-SA"/>
        </w:rPr>
        <w:t>有计划有步骤地推进法治政府建设工作</w:t>
      </w:r>
      <w:r>
        <w:rPr>
          <w:rFonts w:hint="eastAsia" w:ascii="仿宋_GB2312" w:hAnsi="宋体" w:eastAsia="仿宋_GB2312" w:cs="Times New Roman"/>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党员领导干部积极发挥“领头羊”示范作用，带头守法学法用法，开展年终述法，</w:t>
      </w:r>
      <w:r>
        <w:rPr>
          <w:rFonts w:hint="eastAsia" w:ascii="仿宋_GB2312" w:hAnsi="宋体" w:eastAsia="仿宋_GB2312" w:cs="Times New Roman"/>
          <w:sz w:val="32"/>
          <w:szCs w:val="32"/>
          <w:lang w:val="en-US" w:eastAsia="zh-CN"/>
        </w:rPr>
        <w:t>并将乡领导班子成员法治学习情况、依法履职情况等列入年终述职内容</w:t>
      </w:r>
      <w:r>
        <w:rPr>
          <w:rFonts w:hint="eastAsia" w:ascii="仿宋_GB2312" w:hAnsi="宋体" w:eastAsia="仿宋_GB2312" w:cs="仿宋_GB2312"/>
          <w:color w:val="auto"/>
          <w:kern w:val="0"/>
          <w:sz w:val="32"/>
          <w:szCs w:val="32"/>
          <w:lang w:val="en-US" w:eastAsia="zh-CN" w:bidi="ar"/>
        </w:rPr>
        <w:t>。</w:t>
      </w:r>
    </w:p>
    <w:p w14:paraId="1C4162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val="0"/>
          <w:bCs w:val="0"/>
          <w:color w:val="auto"/>
          <w:kern w:val="2"/>
          <w:sz w:val="32"/>
          <w:szCs w:val="32"/>
          <w:lang w:val="en-US" w:eastAsia="zh-CN" w:bidi="ar-SA"/>
        </w:rPr>
      </w:pPr>
      <w:r>
        <w:rPr>
          <w:rStyle w:val="12"/>
          <w:rFonts w:hint="eastAsia" w:ascii="楷体" w:hAnsi="楷体" w:eastAsia="楷体" w:cs="楷体"/>
          <w:b/>
          <w:bCs w:val="0"/>
          <w:i w:val="0"/>
          <w:caps w:val="0"/>
          <w:color w:val="auto"/>
          <w:spacing w:val="0"/>
          <w:kern w:val="0"/>
          <w:sz w:val="32"/>
          <w:szCs w:val="32"/>
          <w:shd w:val="clear" w:color="auto" w:fill="FFFFFF"/>
          <w:lang w:val="en-US" w:eastAsia="zh-CN" w:bidi="ar"/>
        </w:rPr>
        <w:t>（三）重大行政决策科学民主合法。</w:t>
      </w:r>
      <w:r>
        <w:rPr>
          <w:rFonts w:hint="eastAsia" w:ascii="仿宋_GB2312" w:hAnsi="仿宋_GB2312" w:eastAsia="仿宋_GB2312" w:cs="仿宋_GB2312"/>
          <w:b w:val="0"/>
          <w:bCs w:val="0"/>
          <w:color w:val="000000"/>
          <w:kern w:val="2"/>
          <w:sz w:val="32"/>
          <w:szCs w:val="32"/>
          <w:lang w:val="en-US" w:eastAsia="zh-CN" w:bidi="ar-SA"/>
        </w:rPr>
        <w:t>严格落实《重大行政决策程序暂行条例》，依法规范行政决策程序。</w:t>
      </w:r>
      <w:r>
        <w:rPr>
          <w:rFonts w:hint="eastAsia" w:ascii="仿宋_GB2312" w:hAnsi="仿宋_GB2312" w:eastAsia="仿宋_GB2312" w:cs="仿宋_GB2312"/>
          <w:sz w:val="32"/>
          <w:szCs w:val="32"/>
          <w:u w:val="none" w:color="auto"/>
          <w:lang w:val="en-US" w:eastAsia="zh-CN"/>
        </w:rPr>
        <w:t>依法接受本级人民代表大会及其常务委员会监督，严格按照法律法规规定出台相关报告；坚持重大决策公开制度，除依法应当保密的除外，其他决策事项、依据和结果全部公开，为广大人民群众查阅提供服务，对于社会关注度高的决策事项认真进行解释说明；在对专业性、行业性、技术性较强的决策事项时按照规定组织专家、专业机构论证此项决策的必要性、可行性、科学性，以及对涉及到经济社会发展和人民群众切身利益的重大政策、重大项目等决策时对社会稳定、公共安全、环境和经济等方面进行风险评估调查并形成风险评估报告；</w:t>
      </w:r>
      <w:r>
        <w:rPr>
          <w:rFonts w:hint="eastAsia" w:ascii="仿宋_GB2312" w:hAnsi="仿宋_GB2312" w:eastAsia="仿宋_GB2312" w:cs="仿宋_GB2312"/>
          <w:sz w:val="32"/>
          <w:szCs w:val="32"/>
          <w:lang w:val="en-US" w:eastAsia="zh-CN"/>
        </w:rPr>
        <w:t>结合我乡实际制定公布重大行政决策事项目录，建立健全目录动态调整机制。</w:t>
      </w:r>
      <w:r>
        <w:rPr>
          <w:rStyle w:val="12"/>
          <w:rFonts w:hint="eastAsia" w:ascii="仿宋_GB2312" w:hAnsi="仿宋_GB2312" w:eastAsia="仿宋_GB2312" w:cs="仿宋_GB2312"/>
          <w:b w:val="0"/>
          <w:bCs/>
          <w:i w:val="0"/>
          <w:caps w:val="0"/>
          <w:color w:val="auto"/>
          <w:spacing w:val="0"/>
          <w:sz w:val="32"/>
          <w:szCs w:val="32"/>
          <w:shd w:val="clear" w:color="auto" w:fill="FFFFFF"/>
          <w:lang w:eastAsia="zh-CN"/>
        </w:rPr>
        <w:t>截止目前，通伏乡没有重大行政决策事项</w:t>
      </w:r>
      <w:r>
        <w:rPr>
          <w:rFonts w:hint="eastAsia" w:ascii="仿宋_GB2312" w:hAnsi="仿宋_GB2312" w:eastAsia="仿宋_GB2312" w:cs="仿宋_GB2312"/>
          <w:i w:val="0"/>
          <w:caps w:val="0"/>
          <w:color w:val="auto"/>
          <w:spacing w:val="0"/>
          <w:sz w:val="32"/>
          <w:szCs w:val="32"/>
          <w:shd w:val="clear" w:color="auto" w:fill="FFFFFF"/>
          <w:lang w:eastAsia="zh-CN"/>
        </w:rPr>
        <w:t>。</w:t>
      </w:r>
    </w:p>
    <w:p w14:paraId="306F0514">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Style w:val="12"/>
          <w:rFonts w:hint="eastAsia" w:ascii="楷体" w:hAnsi="楷体" w:eastAsia="楷体" w:cs="楷体"/>
          <w:b/>
          <w:bCs w:val="0"/>
          <w:i w:val="0"/>
          <w:caps w:val="0"/>
          <w:color w:val="auto"/>
          <w:spacing w:val="0"/>
          <w:kern w:val="0"/>
          <w:sz w:val="32"/>
          <w:szCs w:val="32"/>
          <w:shd w:val="clear" w:color="auto" w:fill="FFFFFF"/>
          <w:lang w:val="en-US" w:eastAsia="zh-CN" w:bidi="ar"/>
        </w:rPr>
        <w:t>（四）加强“民主法治示范村”建设</w:t>
      </w:r>
      <w:r>
        <w:rPr>
          <w:rStyle w:val="12"/>
          <w:rFonts w:hint="eastAsia" w:ascii="楷体" w:hAnsi="楷体" w:eastAsia="楷体" w:cs="楷体"/>
          <w:bCs w:val="0"/>
          <w:i w:val="0"/>
          <w:caps w:val="0"/>
          <w:color w:val="auto"/>
          <w:spacing w:val="0"/>
          <w:kern w:val="0"/>
          <w:sz w:val="32"/>
          <w:szCs w:val="32"/>
          <w:shd w:val="clear" w:color="auto" w:fill="FFFFFF"/>
          <w:lang w:val="en-US" w:eastAsia="zh-CN" w:bidi="ar"/>
        </w:rPr>
        <w:t>。</w:t>
      </w:r>
      <w:r>
        <w:rPr>
          <w:rFonts w:hint="eastAsia" w:ascii="仿宋_GB2312" w:hAnsi="仿宋_GB2312" w:eastAsia="仿宋_GB2312" w:cs="仿宋_GB2312"/>
          <w:sz w:val="30"/>
          <w:szCs w:val="30"/>
        </w:rPr>
        <w:t>按照全国、全区创建指导标准，加强动态管理，组织开展第九批“全国民主法治示范村”申报工作，持续推进民主法治示范村创建，全面提升民主法治示范村建设质量，切实发挥示范引领作用。</w:t>
      </w:r>
      <w:r>
        <w:rPr>
          <w:rFonts w:hint="eastAsia" w:ascii="仿宋_GB2312" w:hAnsi="仿宋_GB2312" w:eastAsia="仿宋_GB2312" w:cs="仿宋_GB2312"/>
          <w:sz w:val="30"/>
          <w:szCs w:val="30"/>
          <w:lang w:eastAsia="zh-CN"/>
        </w:rPr>
        <w:t>平罗县通伏乡通城村成功创建并命名为</w:t>
      </w:r>
      <w:r>
        <w:rPr>
          <w:rFonts w:hint="eastAsia" w:ascii="仿宋_GB2312" w:hAnsi="仿宋_GB2312" w:eastAsia="仿宋_GB2312" w:cs="仿宋_GB2312"/>
          <w:sz w:val="30"/>
          <w:szCs w:val="30"/>
        </w:rPr>
        <w:t>第九批“全国民主法治示范村”</w:t>
      </w:r>
      <w:r>
        <w:rPr>
          <w:rFonts w:hint="eastAsia" w:ascii="仿宋_GB2312" w:hAnsi="仿宋_GB2312" w:eastAsia="仿宋_GB2312" w:cs="仿宋_GB2312"/>
          <w:sz w:val="30"/>
          <w:szCs w:val="30"/>
          <w:lang w:eastAsia="zh-CN"/>
        </w:rPr>
        <w:t>。</w:t>
      </w:r>
    </w:p>
    <w:p w14:paraId="0B75FC37">
      <w:pPr>
        <w:pStyle w:val="25"/>
        <w:keepNext w:val="0"/>
        <w:keepLines w:val="0"/>
        <w:pageBreakBefore w:val="0"/>
        <w:kinsoku/>
        <w:wordWrap/>
        <w:overflowPunct/>
        <w:topLinePunct w:val="0"/>
        <w:autoSpaceDE/>
        <w:autoSpaceDN/>
        <w:bidi w:val="0"/>
        <w:adjustRightInd/>
        <w:snapToGrid/>
        <w:spacing w:line="560" w:lineRule="exact"/>
        <w:textAlignment w:val="auto"/>
        <w:rPr>
          <w:rStyle w:val="12"/>
          <w:rFonts w:hint="eastAsia" w:ascii="楷体" w:hAnsi="楷体" w:eastAsia="楷体" w:cs="楷体"/>
          <w:b/>
          <w:bCs w:val="0"/>
          <w:i w:val="0"/>
          <w:caps w:val="0"/>
          <w:color w:val="auto"/>
          <w:spacing w:val="0"/>
          <w:kern w:val="0"/>
          <w:sz w:val="32"/>
          <w:szCs w:val="32"/>
          <w:shd w:val="clear" w:color="auto" w:fill="FFFFFF"/>
          <w:lang w:val="en-US" w:eastAsia="zh-CN" w:bidi="ar"/>
        </w:rPr>
      </w:pPr>
      <w:r>
        <w:rPr>
          <w:rStyle w:val="12"/>
          <w:rFonts w:hint="eastAsia" w:ascii="楷体" w:hAnsi="楷体" w:eastAsia="楷体" w:cs="楷体"/>
          <w:b/>
          <w:bCs w:val="0"/>
          <w:i w:val="0"/>
          <w:caps w:val="0"/>
          <w:color w:val="auto"/>
          <w:spacing w:val="0"/>
          <w:kern w:val="0"/>
          <w:sz w:val="32"/>
          <w:szCs w:val="32"/>
          <w:shd w:val="clear" w:color="auto" w:fill="FFFFFF"/>
          <w:lang w:val="en-US" w:eastAsia="zh-CN" w:bidi="ar"/>
        </w:rPr>
        <w:t>（五）完善依法行政制度体系</w:t>
      </w:r>
    </w:p>
    <w:p w14:paraId="096CBD69">
      <w:pPr>
        <w:pStyle w:val="25"/>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s="楷体"/>
          <w:b w:val="0"/>
          <w:bCs w:val="0"/>
          <w:color w:val="auto"/>
          <w:spacing w:val="0"/>
          <w:kern w:val="21"/>
          <w:sz w:val="32"/>
          <w:szCs w:val="32"/>
          <w:lang w:val="en-US" w:eastAsia="zh-CN" w:bidi="ar-SA"/>
        </w:rPr>
      </w:pPr>
      <w:r>
        <w:rPr>
          <w:rFonts w:hint="eastAsia" w:ascii="仿宋_GB2312" w:hAnsi="仿宋_GB2312" w:eastAsia="仿宋_GB2312" w:cs="仿宋_GB2312"/>
          <w:b/>
          <w:bCs/>
          <w:color w:val="000000"/>
          <w:sz w:val="32"/>
          <w:szCs w:val="32"/>
          <w:lang w:val="en-US" w:eastAsia="zh-CN"/>
        </w:rPr>
        <w:t>1.</w:t>
      </w:r>
      <w:r>
        <w:rPr>
          <w:rFonts w:hint="eastAsia" w:ascii="仿宋" w:hAnsi="仿宋" w:eastAsia="仿宋" w:cs="仿宋"/>
          <w:b/>
          <w:bCs/>
          <w:color w:val="auto"/>
          <w:kern w:val="2"/>
          <w:sz w:val="32"/>
          <w:szCs w:val="32"/>
          <w:lang w:val="en-US" w:eastAsia="zh-CN" w:bidi="ar-SA"/>
        </w:rPr>
        <w:t>强化合法性审核、备案审查和清理工作。</w:t>
      </w:r>
      <w:r>
        <w:rPr>
          <w:rFonts w:hint="eastAsia" w:ascii="仿宋_GB2312" w:hAnsi="仿宋_GB2312" w:eastAsia="仿宋_GB2312" w:cs="仿宋_GB2312"/>
          <w:b w:val="0"/>
          <w:bCs w:val="0"/>
          <w:color w:val="auto"/>
          <w:kern w:val="2"/>
          <w:sz w:val="32"/>
          <w:szCs w:val="32"/>
          <w:lang w:val="en-US" w:eastAsia="zh-CN" w:bidi="ar-SA"/>
        </w:rPr>
        <w:t>贯彻落实《关于行政机关开展合法性审核工作的意见》，常态化开展行政规范性文件清理工作，</w:t>
      </w:r>
      <w:r>
        <w:rPr>
          <w:rFonts w:hint="eastAsia" w:ascii="仿宋_GB2312" w:hAnsi="仿宋_GB2312" w:eastAsia="仿宋_GB2312" w:cs="仿宋_GB2312"/>
          <w:b w:val="0"/>
          <w:bCs w:val="0"/>
          <w:color w:val="000000"/>
          <w:sz w:val="32"/>
          <w:szCs w:val="32"/>
          <w:lang w:eastAsia="zh-CN"/>
        </w:rPr>
        <w:t>严格按照《县人民政府办公室关于实施行政规范</w:t>
      </w:r>
      <w:r>
        <w:rPr>
          <w:rFonts w:hint="eastAsia" w:ascii="仿宋_GB2312" w:hAnsi="仿宋_GB2312" w:eastAsia="仿宋_GB2312" w:cs="仿宋_GB2312"/>
          <w:color w:val="000000"/>
          <w:sz w:val="32"/>
          <w:szCs w:val="32"/>
          <w:lang w:eastAsia="zh-CN"/>
        </w:rPr>
        <w:t>性文件“三统一”和有效期制度的通知》规定，及时制定并对规范性文件统一登记、统一编号、统一印发，严格执行行政规范性文件备案审查制度，</w:t>
      </w:r>
      <w:r>
        <w:rPr>
          <w:rFonts w:hint="eastAsia" w:ascii="仿宋_GB2312" w:hAnsi="仿宋_GB2312" w:eastAsia="仿宋_GB2312" w:cs="仿宋_GB2312"/>
          <w:b w:val="0"/>
          <w:bCs w:val="0"/>
          <w:color w:val="auto"/>
          <w:kern w:val="2"/>
          <w:sz w:val="32"/>
          <w:szCs w:val="32"/>
          <w:lang w:val="en-US" w:eastAsia="zh-CN" w:bidi="ar-SA"/>
        </w:rPr>
        <w:t>维护法治统一和政令畅通。</w:t>
      </w:r>
    </w:p>
    <w:p w14:paraId="61E874BB">
      <w:pPr>
        <w:pStyle w:val="2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eastAsia="zh-CN"/>
        </w:rPr>
        <w:t>健全完善行政权力制约监督机制。</w:t>
      </w:r>
      <w:r>
        <w:rPr>
          <w:rFonts w:hint="eastAsia" w:ascii="仿宋_GB2312" w:hAnsi="仿宋_GB2312" w:eastAsia="仿宋_GB2312" w:cs="仿宋_GB2312"/>
          <w:color w:val="000000"/>
          <w:sz w:val="32"/>
          <w:szCs w:val="32"/>
          <w:lang w:eastAsia="zh-CN"/>
        </w:rPr>
        <w:t>在开展农村人居环境卫生整治过程中，积极邀请本乡人大代表进行现场观摩点评，并集中进行交流座谈，充分听取人大代表在环境整治工作中的意见建议。</w:t>
      </w:r>
    </w:p>
    <w:p w14:paraId="0204580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 w:eastAsia="仿宋_GB2312"/>
          <w:color w:val="000000"/>
          <w:sz w:val="32"/>
          <w:szCs w:val="32"/>
          <w:lang w:eastAsia="zh-CN"/>
        </w:rPr>
      </w:pPr>
      <w:r>
        <w:rPr>
          <w:rFonts w:hint="eastAsia" w:ascii="仿宋_GB2312" w:hAnsi="仿宋_GB2312" w:eastAsia="仿宋_GB2312" w:cs="仿宋_GB2312"/>
          <w:b/>
          <w:bCs/>
          <w:color w:val="000000"/>
          <w:sz w:val="32"/>
          <w:szCs w:val="32"/>
          <w:lang w:val="en-US" w:eastAsia="zh-CN"/>
        </w:rPr>
        <w:t>3.社会矛盾纠纷有效化解。</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坚</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持</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矛盾纠纷“周排查，月分析”，</w:t>
      </w:r>
      <w:r>
        <w:rPr>
          <w:rFonts w:hint="eastAsia" w:ascii="仿宋_GB2312" w:hAnsi="仿宋_GB2312" w:eastAsia="仿宋_GB2312" w:cs="仿宋_GB2312"/>
          <w:kern w:val="2"/>
          <w:sz w:val="32"/>
          <w:szCs w:val="32"/>
          <w:lang w:val="en-US" w:eastAsia="zh-CN" w:bidi="ar-SA"/>
        </w:rPr>
        <w:t>加强预防性制度机制建设，完善社会矛盾纠纷多元化预防调处化解综合机制，在</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重要节点和时期进行集中排查制度，对排查出的矛盾纠纷及时建立台账，抓好预警分析研判工作，对可能发生上访苗头的做到早介入、早化解。对重大疑难纠纷启动“1+3+X”联合调解机制，限期妥善处理。</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综合运用人民调解、司法调解、行政调解等手段，全力做好矛盾纠纷化解工作，减少信访问题存量。</w:t>
      </w:r>
      <w:r>
        <w:rPr>
          <w:rFonts w:hint="eastAsia" w:ascii="仿宋_GB2312" w:hAnsi="仿宋_GB2312" w:eastAsia="仿宋_GB2312" w:cs="仿宋_GB2312"/>
          <w:kern w:val="2"/>
          <w:sz w:val="32"/>
          <w:szCs w:val="32"/>
          <w:lang w:val="en-US" w:eastAsia="zh-CN" w:bidi="ar-SA"/>
        </w:rPr>
        <w:t>2022年，</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我乡共开展矛盾纠纷排查85次，调处矛盾纠纷32起，为建设平安通伏夯实群众基础</w:t>
      </w:r>
      <w:r>
        <w:rPr>
          <w:rFonts w:hint="eastAsia" w:ascii="仿宋_GB2312" w:hAnsi="仿宋_GB2312" w:eastAsia="仿宋_GB2312" w:cs="仿宋_GB2312"/>
          <w:kern w:val="2"/>
          <w:sz w:val="32"/>
          <w:szCs w:val="32"/>
          <w:lang w:val="en-US" w:eastAsia="zh-CN" w:bidi="ar-SA"/>
        </w:rPr>
        <w:t>。</w:t>
      </w:r>
    </w:p>
    <w:p w14:paraId="17DD4827">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Style w:val="12"/>
          <w:rFonts w:hint="eastAsia" w:ascii="楷体" w:hAnsi="楷体" w:eastAsia="楷体" w:cs="楷体"/>
          <w:b/>
          <w:bCs w:val="0"/>
          <w:i w:val="0"/>
          <w:caps w:val="0"/>
          <w:color w:val="auto"/>
          <w:spacing w:val="0"/>
          <w:kern w:val="0"/>
          <w:sz w:val="32"/>
          <w:szCs w:val="32"/>
          <w:shd w:val="clear" w:color="auto" w:fill="FFFFFF"/>
          <w:lang w:val="en-US" w:eastAsia="zh-CN" w:bidi="ar"/>
        </w:rPr>
      </w:pPr>
      <w:r>
        <w:rPr>
          <w:rStyle w:val="12"/>
          <w:rFonts w:hint="eastAsia" w:ascii="楷体" w:hAnsi="楷体" w:eastAsia="楷体" w:cs="楷体"/>
          <w:b/>
          <w:bCs w:val="0"/>
          <w:i w:val="0"/>
          <w:caps w:val="0"/>
          <w:color w:val="auto"/>
          <w:spacing w:val="0"/>
          <w:kern w:val="0"/>
          <w:sz w:val="32"/>
          <w:szCs w:val="32"/>
          <w:shd w:val="clear" w:color="auto" w:fill="FFFFFF"/>
          <w:lang w:val="en-US" w:eastAsia="zh-CN" w:bidi="ar"/>
        </w:rPr>
        <w:t>（六）深入推进全民普法，切实提升法治社会建设水平</w:t>
      </w:r>
    </w:p>
    <w:p w14:paraId="3A604C3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color w:val="auto"/>
          <w:kern w:val="2"/>
          <w:sz w:val="32"/>
          <w:szCs w:val="32"/>
          <w:lang w:val="en-US" w:eastAsia="zh-CN" w:bidi="ar-SA"/>
        </w:rPr>
        <w:t>1.大力推进全民普法工作。</w:t>
      </w:r>
      <w:r>
        <w:rPr>
          <w:rFonts w:hint="eastAsia" w:ascii="仿宋_GB2312" w:hAnsi="仿宋_GB2312" w:eastAsia="仿宋_GB2312" w:cs="仿宋_GB2312"/>
          <w:sz w:val="32"/>
          <w:szCs w:val="32"/>
          <w:lang w:val="en-US" w:eastAsia="zh-CN"/>
        </w:rPr>
        <w:t>组织实施“八五”普法规划，重点突出学习宣传习近平法治思想、宪法和民法典，加强社会主义法治文化建设，深入实施“法律明白人”培养工程，借助新媒体普法影响力，扎实推进通伏乡“谁执法谁普法”普法责任制的落实，健全完善</w:t>
      </w:r>
      <w:r>
        <w:rPr>
          <w:rFonts w:hint="eastAsia" w:ascii="仿宋_GB2312" w:hAnsi="仿宋_GB2312" w:eastAsia="仿宋_GB2312" w:cs="仿宋_GB2312"/>
          <w:sz w:val="32"/>
          <w:szCs w:val="32"/>
          <w:lang w:val="en" w:eastAsia="zh-CN"/>
        </w:rPr>
        <w:t>通伏乡</w:t>
      </w:r>
      <w:r>
        <w:rPr>
          <w:rFonts w:hint="eastAsia" w:ascii="仿宋_GB2312" w:hAnsi="仿宋_GB2312" w:eastAsia="仿宋_GB2312" w:cs="仿宋_GB2312"/>
          <w:sz w:val="32"/>
          <w:szCs w:val="32"/>
          <w:lang w:val="en-US" w:eastAsia="zh-CN"/>
        </w:rPr>
        <w:t>普法责任“四清单”，加强国家工作人员学法用法制度，推动领导干部带头尊法学法守法用法，着力构建大普法工作格局。截至目前，共发展村级“法律明白人”和“法律明白人”骨干130余名，进一步壮大基层法治力量。</w:t>
      </w:r>
    </w:p>
    <w:p w14:paraId="7E83D9A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color w:val="auto"/>
          <w:kern w:val="2"/>
          <w:sz w:val="32"/>
          <w:szCs w:val="32"/>
          <w:lang w:val="en-US" w:eastAsia="zh-CN" w:bidi="ar-SA"/>
        </w:rPr>
        <w:t>2.依法加强未成年人权益保护。</w:t>
      </w:r>
      <w:r>
        <w:rPr>
          <w:rFonts w:hint="eastAsia" w:ascii="仿宋_GB2312" w:hAnsi="仿宋_GB2312" w:eastAsia="仿宋_GB2312" w:cs="仿宋_GB2312"/>
          <w:sz w:val="32"/>
          <w:szCs w:val="32"/>
          <w:lang w:val="en-US" w:eastAsia="zh-CN"/>
        </w:rPr>
        <w:t>积极发挥法治副校长的作用，及时与通伏中心学校联系，不定期开展未成年人权益保护和</w:t>
      </w:r>
      <w:r>
        <w:rPr>
          <w:rFonts w:hint="eastAsia" w:ascii="仿宋_GB2312" w:hAnsi="仿宋_GB2312" w:eastAsia="仿宋_GB2312" w:cs="仿宋_GB2312"/>
          <w:sz w:val="32"/>
          <w:szCs w:val="32"/>
        </w:rPr>
        <w:t>婚姻家庭等</w:t>
      </w:r>
      <w:r>
        <w:rPr>
          <w:rFonts w:hint="eastAsia" w:ascii="仿宋_GB2312" w:hAnsi="仿宋_GB2312" w:eastAsia="仿宋_GB2312" w:cs="仿宋_GB2312"/>
          <w:sz w:val="32"/>
          <w:szCs w:val="32"/>
          <w:lang w:val="en-US" w:eastAsia="zh-CN"/>
        </w:rPr>
        <w:t>相关法律宣传活动，不断提高未成年人法治意识和安全意识。</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eastAsia="zh-CN"/>
        </w:rPr>
        <w:t>健全</w:t>
      </w:r>
      <w:r>
        <w:rPr>
          <w:rFonts w:hint="eastAsia" w:ascii="仿宋_GB2312" w:hAnsi="仿宋_GB2312" w:eastAsia="仿宋_GB2312" w:cs="仿宋_GB2312"/>
          <w:sz w:val="32"/>
          <w:szCs w:val="32"/>
        </w:rPr>
        <w:t>未成年人保护工作协调机制，</w:t>
      </w:r>
      <w:r>
        <w:rPr>
          <w:rFonts w:hint="eastAsia" w:ascii="仿宋_GB2312" w:hAnsi="仿宋_GB2312" w:eastAsia="仿宋_GB2312" w:cs="仿宋_GB2312"/>
          <w:sz w:val="32"/>
          <w:szCs w:val="32"/>
          <w:lang w:eastAsia="zh-CN"/>
        </w:rPr>
        <w:t>联合派出所</w:t>
      </w:r>
      <w:r>
        <w:rPr>
          <w:rFonts w:hint="eastAsia" w:ascii="仿宋_GB2312" w:hAnsi="仿宋_GB2312" w:eastAsia="仿宋_GB2312" w:cs="仿宋_GB2312"/>
          <w:sz w:val="32"/>
          <w:szCs w:val="32"/>
        </w:rPr>
        <w:t>坚决打击遗弃、虐待、性侵、霸凌未成年人的各类违法犯罪行为。依法加强反家庭暴力工作，有效预防和处置家庭暴力。</w:t>
      </w:r>
    </w:p>
    <w:p w14:paraId="555DB5AD">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Chars="200" w:firstLine="320" w:firstLineChars="1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三、</w:t>
      </w:r>
      <w:r>
        <w:rPr>
          <w:rFonts w:hint="eastAsia" w:ascii="黑体" w:hAnsi="黑体" w:eastAsia="黑体" w:cs="黑体"/>
          <w:color w:val="000000"/>
          <w:sz w:val="32"/>
          <w:szCs w:val="32"/>
          <w:lang w:val="en-US" w:eastAsia="zh-CN"/>
        </w:rPr>
        <w:t>存在不足和原因</w:t>
      </w:r>
    </w:p>
    <w:p w14:paraId="2DA88EEC">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firstLine="736" w:firstLineChars="23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自法治政府工作开展以来，通伏乡在</w:t>
      </w:r>
      <w:r>
        <w:rPr>
          <w:rFonts w:hint="default" w:ascii="仿宋_GB2312" w:hAnsi="仿宋_GB2312" w:eastAsia="仿宋_GB2312" w:cs="仿宋_GB2312"/>
          <w:color w:val="auto"/>
          <w:sz w:val="32"/>
          <w:szCs w:val="32"/>
          <w:lang w:eastAsia="zh-CN"/>
        </w:rPr>
        <w:t>法治政府建设上取得了一定的成绩，但</w:t>
      </w:r>
      <w:r>
        <w:rPr>
          <w:rFonts w:hint="eastAsia" w:ascii="仿宋_GB2312" w:hAnsi="仿宋_GB2312" w:eastAsia="仿宋_GB2312" w:cs="仿宋_GB2312"/>
          <w:color w:val="auto"/>
          <w:sz w:val="32"/>
          <w:szCs w:val="32"/>
          <w:lang w:val="en-US" w:eastAsia="zh-CN"/>
        </w:rPr>
        <w:t>还没有完全达到预期的目标</w:t>
      </w:r>
      <w:r>
        <w:rPr>
          <w:rFonts w:hint="default" w:ascii="仿宋_GB2312" w:hAnsi="仿宋_GB2312" w:eastAsia="仿宋_GB2312" w:cs="仿宋_GB2312"/>
          <w:color w:val="auto"/>
          <w:sz w:val="32"/>
          <w:szCs w:val="32"/>
          <w:lang w:eastAsia="zh-CN"/>
        </w:rPr>
        <w:t>，法治政府建设工作</w:t>
      </w:r>
      <w:r>
        <w:rPr>
          <w:rFonts w:hint="eastAsia" w:ascii="仿宋_GB2312" w:hAnsi="仿宋_GB2312" w:eastAsia="仿宋_GB2312" w:cs="仿宋_GB2312"/>
          <w:color w:val="auto"/>
          <w:sz w:val="32"/>
          <w:szCs w:val="32"/>
          <w:lang w:val="en-US" w:eastAsia="zh-CN"/>
        </w:rPr>
        <w:t>中</w:t>
      </w:r>
      <w:r>
        <w:rPr>
          <w:rFonts w:hint="default" w:ascii="仿宋_GB2312" w:hAnsi="仿宋_GB2312" w:eastAsia="仿宋_GB2312" w:cs="仿宋_GB2312"/>
          <w:color w:val="auto"/>
          <w:sz w:val="32"/>
          <w:szCs w:val="32"/>
          <w:lang w:eastAsia="zh-CN"/>
        </w:rPr>
        <w:t>仍然存在</w:t>
      </w:r>
      <w:r>
        <w:rPr>
          <w:rFonts w:hint="eastAsia" w:ascii="仿宋_GB2312" w:hAnsi="仿宋_GB2312" w:eastAsia="仿宋_GB2312" w:cs="仿宋_GB2312"/>
          <w:color w:val="auto"/>
          <w:sz w:val="32"/>
          <w:szCs w:val="32"/>
          <w:lang w:val="en-US" w:eastAsia="zh-CN"/>
        </w:rPr>
        <w:t>一些</w:t>
      </w:r>
      <w:r>
        <w:rPr>
          <w:rFonts w:hint="default" w:ascii="仿宋_GB2312" w:hAnsi="仿宋_GB2312" w:eastAsia="仿宋_GB2312" w:cs="仿宋_GB2312"/>
          <w:color w:val="auto"/>
          <w:sz w:val="32"/>
          <w:szCs w:val="32"/>
          <w:lang w:eastAsia="zh-CN"/>
        </w:rPr>
        <w:t>问题，</w:t>
      </w:r>
      <w:r>
        <w:rPr>
          <w:rFonts w:hint="eastAsia" w:ascii="仿宋_GB2312" w:hAnsi="仿宋_GB2312" w:eastAsia="仿宋_GB2312" w:cs="仿宋_GB2312"/>
          <w:color w:val="auto"/>
          <w:sz w:val="32"/>
          <w:szCs w:val="32"/>
          <w:lang w:eastAsia="zh-CN"/>
        </w:rPr>
        <w:t>主要表现在以下几个方面：</w:t>
      </w:r>
    </w:p>
    <w:p w14:paraId="5BAD2761">
      <w:pPr>
        <w:keepNext w:val="0"/>
        <w:keepLines w:val="0"/>
        <w:pageBreakBefore w:val="0"/>
        <w:widowControl w:val="0"/>
        <w:kinsoku w:val="0"/>
        <w:wordWrap/>
        <w:overflowPunct w:val="0"/>
        <w:topLinePunct w:val="0"/>
        <w:autoSpaceDE w:val="0"/>
        <w:autoSpaceDN w:val="0"/>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lang w:val="en-US" w:eastAsia="zh-CN"/>
        </w:rPr>
        <w:t>基层执法人员力量薄弱，队伍建设不完善，</w:t>
      </w:r>
      <w:r>
        <w:rPr>
          <w:rFonts w:hint="eastAsia" w:ascii="仿宋_GB2312" w:hAnsi="仿宋_GB2312" w:eastAsia="仿宋_GB2312" w:cs="仿宋_GB2312"/>
          <w:sz w:val="32"/>
          <w:szCs w:val="32"/>
          <w:lang w:eastAsia="zh-CN"/>
        </w:rPr>
        <w:t>工作人员业务能力有所欠缺，专业水平有待提高，法律知识储备不足，缺乏专业领域的培训学习，不能够灵活运用相关法律法规</w:t>
      </w:r>
      <w:r>
        <w:rPr>
          <w:rFonts w:hint="eastAsia" w:ascii="仿宋_GB2312" w:hAnsi="仿宋_GB2312" w:eastAsia="仿宋_GB2312" w:cs="仿宋_GB2312"/>
          <w:color w:val="auto"/>
          <w:sz w:val="32"/>
          <w:szCs w:val="32"/>
          <w:lang w:val="en-US" w:eastAsia="zh-CN"/>
        </w:rPr>
        <w:t>等情况</w:t>
      </w:r>
      <w:r>
        <w:rPr>
          <w:rFonts w:hint="default"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影响通伏乡法治建设工作的推进。</w:t>
      </w:r>
    </w:p>
    <w:p w14:paraId="7BB727C5">
      <w:pPr>
        <w:pStyle w:val="23"/>
        <w:keepNext w:val="0"/>
        <w:keepLines w:val="0"/>
        <w:pageBreakBefore w:val="0"/>
        <w:widowControl/>
        <w:suppressLineNumbers w:val="0"/>
        <w:shd w:val="clear" w:color="060000"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420"/>
        <w:jc w:val="both"/>
        <w:textAlignment w:val="auto"/>
        <w:outlineLvl w:val="9"/>
        <w:rPr>
          <w:rFonts w:hint="eastAsia" w:ascii="Verdana" w:hAnsi="Verdana" w:eastAsia="仿宋_GB2312"/>
          <w:color w:val="auto"/>
          <w:sz w:val="32"/>
          <w:szCs w:val="32"/>
        </w:rPr>
      </w:pPr>
      <w:r>
        <w:rPr>
          <w:rFonts w:hint="eastAsia" w:ascii="仿宋_GB2312" w:hAnsi="仿宋_GB2312" w:eastAsia="仿宋_GB2312" w:cs="仿宋_GB2312"/>
          <w:color w:val="auto"/>
          <w:sz w:val="32"/>
          <w:szCs w:val="32"/>
          <w:lang w:eastAsia="zh-CN"/>
        </w:rPr>
        <w:t>（二）法治宣传还不能做到全覆盖</w:t>
      </w:r>
      <w:r>
        <w:rPr>
          <w:rFonts w:hint="eastAsia" w:ascii="仿宋_GB2312" w:hAnsi="仿宋_GB2312" w:eastAsia="仿宋_GB2312" w:cs="仿宋_GB2312"/>
          <w:b w:val="0"/>
          <w:bCs w:val="0"/>
          <w:color w:val="auto"/>
          <w:spacing w:val="0"/>
          <w:kern w:val="0"/>
          <w:sz w:val="32"/>
          <w:szCs w:val="32"/>
          <w:lang w:val="en-US" w:eastAsia="zh-CN" w:bidi="ar-SA"/>
        </w:rPr>
        <w:t>，通伏乡常住人口大部分是文化水平较低的妇女儿童老人，对我们所宣传的内容不能够深刻透彻的理解，</w:t>
      </w:r>
      <w:r>
        <w:rPr>
          <w:rFonts w:hint="eastAsia" w:ascii="仿宋_GB2312" w:hAnsi="Verdana" w:eastAsia="仿宋_GB2312"/>
          <w:color w:val="auto"/>
          <w:sz w:val="32"/>
          <w:szCs w:val="32"/>
        </w:rPr>
        <w:t>能真正做到知法、用法的群众</w:t>
      </w:r>
      <w:r>
        <w:rPr>
          <w:rFonts w:hint="eastAsia" w:ascii="仿宋_GB2312" w:hAnsi="Verdana" w:eastAsia="仿宋_GB2312"/>
          <w:color w:val="auto"/>
          <w:sz w:val="32"/>
          <w:szCs w:val="32"/>
          <w:lang w:eastAsia="zh-CN"/>
        </w:rPr>
        <w:t>基数较少，</w:t>
      </w:r>
      <w:r>
        <w:rPr>
          <w:rFonts w:hint="eastAsia" w:ascii="仿宋_GB2312" w:hAnsi="Verdana" w:eastAsia="仿宋_GB2312"/>
          <w:color w:val="auto"/>
          <w:sz w:val="32"/>
          <w:szCs w:val="32"/>
        </w:rPr>
        <w:t>难以做到知法、懂法、用法，普法教育工作的</w:t>
      </w:r>
      <w:r>
        <w:rPr>
          <w:rFonts w:hint="eastAsia" w:ascii="仿宋_GB2312" w:hAnsi="Verdana" w:eastAsia="仿宋_GB2312"/>
          <w:color w:val="auto"/>
          <w:sz w:val="32"/>
          <w:szCs w:val="32"/>
          <w:lang w:eastAsia="zh-CN"/>
        </w:rPr>
        <w:t>全覆盖性，</w:t>
      </w:r>
      <w:r>
        <w:rPr>
          <w:rFonts w:hint="eastAsia" w:ascii="仿宋_GB2312" w:hAnsi="仿宋_GB2312" w:eastAsia="仿宋_GB2312" w:cs="仿宋_GB2312"/>
          <w:b w:val="0"/>
          <w:bCs w:val="0"/>
          <w:color w:val="auto"/>
          <w:spacing w:val="0"/>
          <w:kern w:val="0"/>
          <w:sz w:val="32"/>
          <w:szCs w:val="32"/>
          <w:lang w:val="en-US" w:eastAsia="zh-CN" w:bidi="ar-SA"/>
        </w:rPr>
        <w:t>这也导致我乡在开展法治政府工作宣传方面存在遗漏区域，宣传覆盖面和知晓率措施上有待进一步加强。</w:t>
      </w:r>
      <w:r>
        <w:rPr>
          <w:rFonts w:hint="eastAsia" w:ascii="Verdana" w:hAnsi="Verdana" w:eastAsia="仿宋_GB2312"/>
          <w:color w:val="auto"/>
          <w:sz w:val="32"/>
          <w:szCs w:val="32"/>
        </w:rPr>
        <w:t> </w:t>
      </w:r>
    </w:p>
    <w:p w14:paraId="1E13998B">
      <w:pPr>
        <w:keepNext w:val="0"/>
        <w:keepLines w:val="0"/>
        <w:pageBreakBefore w:val="0"/>
        <w:widowControl w:val="0"/>
        <w:kinsoku w:val="0"/>
        <w:wordWrap/>
        <w:overflowPunct w:val="0"/>
        <w:topLinePunct w:val="0"/>
        <w:autoSpaceDE w:val="0"/>
        <w:autoSpaceDN w:val="0"/>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lang w:val="en-US" w:eastAsia="zh-CN"/>
        </w:rPr>
        <w:t>2023年工作</w:t>
      </w:r>
      <w:r>
        <w:rPr>
          <w:rFonts w:hint="eastAsia" w:ascii="黑体" w:hAnsi="宋体" w:eastAsia="黑体" w:cs="黑体"/>
          <w:kern w:val="0"/>
          <w:sz w:val="31"/>
          <w:szCs w:val="31"/>
          <w:lang w:val="en-US" w:eastAsia="zh-CN" w:bidi="ar"/>
        </w:rPr>
        <w:t>安排</w:t>
      </w:r>
    </w:p>
    <w:p w14:paraId="0CA612F7">
      <w:pPr>
        <w:keepNext w:val="0"/>
        <w:keepLines w:val="0"/>
        <w:pageBreakBefore w:val="0"/>
        <w:widowControl w:val="0"/>
        <w:kinsoku w:val="0"/>
        <w:wordWrap/>
        <w:overflowPunct w:val="0"/>
        <w:topLinePunct w:val="0"/>
        <w:autoSpaceDE w:val="0"/>
        <w:autoSpaceDN w:val="0"/>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（一）加强组织领导，落实执法责任制。</w:t>
      </w:r>
      <w:r>
        <w:rPr>
          <w:rFonts w:hint="eastAsia" w:ascii="仿宋_GB2312" w:hAnsi="仿宋_GB2312" w:eastAsia="仿宋_GB2312" w:cs="仿宋_GB2312"/>
          <w:sz w:val="32"/>
          <w:szCs w:val="32"/>
          <w:lang w:eastAsia="zh-CN"/>
        </w:rPr>
        <w:t>建立健全党委统一领导，</w:t>
      </w:r>
      <w:r>
        <w:rPr>
          <w:rFonts w:hint="eastAsia" w:ascii="仿宋_GB2312" w:hAnsi="仿宋_GB2312" w:eastAsia="仿宋_GB2312" w:cs="仿宋_GB2312"/>
          <w:sz w:val="32"/>
          <w:szCs w:val="32"/>
          <w:lang w:val="en-US" w:eastAsia="zh-CN"/>
        </w:rPr>
        <w:t>党政齐抓共管，</w:t>
      </w:r>
      <w:r>
        <w:rPr>
          <w:rFonts w:hint="eastAsia" w:ascii="仿宋_GB2312" w:hAnsi="仿宋_GB2312" w:eastAsia="仿宋_GB2312" w:cs="仿宋_GB2312"/>
          <w:sz w:val="32"/>
          <w:szCs w:val="32"/>
          <w:lang w:eastAsia="zh-CN"/>
        </w:rPr>
        <w:t>综合执法办公室统筹协调，通伏司法所协助配合，各站所、中心（办）分工负责的工作机制，严格落实执法责任，明确执法人员。</w:t>
      </w:r>
    </w:p>
    <w:p w14:paraId="0221FF5F">
      <w:pPr>
        <w:pStyle w:val="2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（二）加强学习宣传教育。</w:t>
      </w:r>
      <w:r>
        <w:rPr>
          <w:rFonts w:hint="eastAsia" w:ascii="仿宋_GB2312" w:hAnsi="仿宋_GB2312" w:eastAsia="仿宋_GB2312" w:cs="仿宋_GB2312"/>
          <w:kern w:val="2"/>
          <w:sz w:val="32"/>
          <w:szCs w:val="32"/>
          <w:lang w:val="en-US" w:eastAsia="zh-CN" w:bidi="ar-SA"/>
        </w:rPr>
        <w:t>加大乡村干部学习习近平法治思想的力度和广度，多渠道、多元化开展习近平法治思想的学习，着力提高领导干部法治思维。</w:t>
      </w:r>
    </w:p>
    <w:p w14:paraId="0C8AF7DB">
      <w:pPr>
        <w:pStyle w:val="2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（三）健全依法决策机制。</w:t>
      </w:r>
      <w:r>
        <w:rPr>
          <w:rFonts w:hint="eastAsia" w:ascii="仿宋_GB2312" w:hAnsi="仿宋_GB2312" w:eastAsia="仿宋_GB2312" w:cs="仿宋_GB2312"/>
          <w:kern w:val="2"/>
          <w:sz w:val="32"/>
          <w:szCs w:val="32"/>
          <w:lang w:val="en-US" w:eastAsia="zh-CN" w:bidi="ar-SA"/>
        </w:rPr>
        <w:t>严格执行《宁夏回族自治区重大行政决策规则》，落实公众参与、专家论证、风险评估、合法性审查和集体讨论决定的重大决策机制，强化决策法定程序的刚性约束。严格落实重大决策向县委报告制度。落实重大决策公开征求意见制度，事关经济社会发展全局和涉及群众切身利益的重大行政决策事项，应当广泛听取公众意见，与利害关系人进行充分沟通，注重听取有关人大代表、人民团体、基层组织、社会组织的意见，并及时反馈意见采纳情况和理由。</w:t>
      </w:r>
    </w:p>
    <w:p w14:paraId="5FB11C78">
      <w:pPr>
        <w:keepNext w:val="0"/>
        <w:keepLines w:val="0"/>
        <w:pageBreakBefore w:val="0"/>
        <w:widowControl w:val="0"/>
        <w:kinsoku w:val="0"/>
        <w:wordWrap/>
        <w:overflowPunct w:val="0"/>
        <w:topLinePunct w:val="0"/>
        <w:autoSpaceDE w:val="0"/>
        <w:autoSpaceDN w:val="0"/>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sz w:val="32"/>
          <w:szCs w:val="32"/>
          <w:lang w:eastAsia="zh-CN"/>
        </w:rPr>
        <w:t>（四）严格执行地方性法规、政府规章规定。</w:t>
      </w:r>
      <w:r>
        <w:rPr>
          <w:rFonts w:hint="eastAsia" w:ascii="仿宋_GB2312" w:hAnsi="仿宋" w:eastAsia="仿宋_GB2312"/>
          <w:sz w:val="32"/>
          <w:szCs w:val="32"/>
        </w:rPr>
        <w:t>围绕机构改革等重点工作，明确规范性文件合法性审查范围、主体、程序、职责和责任，建立健全程序完备、权责一致、相互衔接、运行高效的合法性审查机制，保证规范性文件合法有效。清理与现行改革发展不相适应的行政规范性文件，落实机构改革后执法主体资格和人员资格清理工作。</w:t>
      </w:r>
    </w:p>
    <w:p w14:paraId="01D08605">
      <w:pPr>
        <w:keepNext w:val="0"/>
        <w:keepLines w:val="0"/>
        <w:pageBreakBefore w:val="0"/>
        <w:widowControl w:val="0"/>
        <w:kinsoku w:val="0"/>
        <w:wordWrap/>
        <w:overflowPunct w:val="0"/>
        <w:topLinePunct w:val="0"/>
        <w:autoSpaceDE w:val="0"/>
        <w:autoSpaceDN w:val="0"/>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sz w:val="32"/>
          <w:szCs w:val="32"/>
          <w:lang w:eastAsia="zh-CN"/>
        </w:rPr>
        <w:t>（五）积极开展</w:t>
      </w:r>
      <w:r>
        <w:rPr>
          <w:rFonts w:hint="eastAsia" w:ascii="楷体_GB2312" w:hAnsi="楷体_GB2312" w:eastAsia="楷体_GB2312" w:cs="楷体_GB2312"/>
          <w:b/>
          <w:bCs/>
          <w:sz w:val="32"/>
          <w:szCs w:val="32"/>
        </w:rPr>
        <w:t>法治政府</w:t>
      </w:r>
      <w:r>
        <w:rPr>
          <w:rFonts w:hint="eastAsia" w:ascii="楷体_GB2312" w:hAnsi="楷体_GB2312" w:eastAsia="楷体_GB2312" w:cs="楷体_GB2312"/>
          <w:b/>
          <w:bCs/>
          <w:sz w:val="32"/>
          <w:szCs w:val="32"/>
          <w:lang w:eastAsia="zh-CN"/>
        </w:rPr>
        <w:t>示范创建活动</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围绕全面推进依法治</w:t>
      </w:r>
      <w:r>
        <w:rPr>
          <w:rFonts w:hint="eastAsia" w:ascii="仿宋_GB2312" w:hAnsi="仿宋_GB2312" w:eastAsia="仿宋_GB2312" w:cs="仿宋_GB2312"/>
          <w:sz w:val="32"/>
          <w:szCs w:val="32"/>
          <w:lang w:eastAsia="zh-CN"/>
        </w:rPr>
        <w:t>县和法治政府建设</w:t>
      </w:r>
      <w:r>
        <w:rPr>
          <w:rFonts w:hint="eastAsia" w:ascii="仿宋_GB2312" w:hAnsi="仿宋_GB2312" w:eastAsia="仿宋_GB2312" w:cs="仿宋_GB2312"/>
          <w:sz w:val="32"/>
          <w:szCs w:val="32"/>
        </w:rPr>
        <w:t>工作要求，积极开展法治政府建设示范创建活动。</w:t>
      </w:r>
      <w:r>
        <w:rPr>
          <w:rFonts w:hint="eastAsia" w:ascii="仿宋_GB2312" w:hAnsi="仿宋" w:eastAsia="仿宋_GB2312"/>
          <w:sz w:val="32"/>
          <w:szCs w:val="32"/>
        </w:rPr>
        <w:t>强化、细化责任目标</w:t>
      </w:r>
      <w:r>
        <w:rPr>
          <w:rFonts w:hint="eastAsia" w:ascii="仿宋_GB2312" w:hAnsi="仿宋" w:eastAsia="仿宋_GB2312"/>
          <w:sz w:val="32"/>
          <w:szCs w:val="32"/>
          <w:lang w:eastAsia="zh-CN"/>
        </w:rPr>
        <w:t>，</w:t>
      </w:r>
      <w:r>
        <w:rPr>
          <w:rFonts w:hint="eastAsia" w:ascii="仿宋_GB2312" w:hAnsi="仿宋_GB2312" w:eastAsia="仿宋_GB2312" w:cs="仿宋_GB2312"/>
          <w:sz w:val="32"/>
          <w:szCs w:val="32"/>
        </w:rPr>
        <w:t>培育和践行社会主义核心价值观，弘扬社会主义法治精神，切实提升依法行政、文明执法、服务群众的能力和水平</w:t>
      </w:r>
      <w:r>
        <w:rPr>
          <w:rFonts w:hint="eastAsia" w:ascii="仿宋_GB2312" w:hAnsi="仿宋" w:eastAsia="仿宋_GB2312"/>
          <w:sz w:val="32"/>
          <w:szCs w:val="32"/>
        </w:rPr>
        <w:t>。</w:t>
      </w:r>
    </w:p>
    <w:p w14:paraId="18473537">
      <w:pPr>
        <w:pStyle w:val="2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lang w:val="en-US" w:eastAsia="zh-CN"/>
        </w:rPr>
      </w:pPr>
      <w:r>
        <w:rPr>
          <w:rFonts w:hint="eastAsia" w:ascii="楷体_GB2312" w:hAnsi="楷体_GB2312" w:eastAsia="楷体_GB2312" w:cs="楷体_GB2312"/>
          <w:b/>
          <w:bCs/>
          <w:kern w:val="2"/>
          <w:sz w:val="32"/>
          <w:szCs w:val="32"/>
          <w:lang w:val="en-US" w:eastAsia="zh-CN" w:bidi="ar-SA"/>
        </w:rPr>
        <w:t>（六）创新工作方式方法。</w:t>
      </w:r>
      <w:r>
        <w:rPr>
          <w:rFonts w:hint="eastAsia" w:ascii="仿宋_GB2312" w:hAnsi="仿宋_GB2312" w:eastAsia="仿宋_GB2312" w:cs="仿宋_GB2312"/>
          <w:kern w:val="2"/>
          <w:sz w:val="32"/>
          <w:szCs w:val="32"/>
          <w:lang w:val="en-US" w:eastAsia="zh-CN" w:bidi="ar-SA"/>
        </w:rPr>
        <w:t>进行多渠道、多方式的法治宣传，加大“法律八进”推进力度，</w:t>
      </w:r>
      <w:r>
        <w:rPr>
          <w:rFonts w:hint="eastAsia" w:ascii="仿宋_GB2312" w:hAnsi="仿宋_GB2312" w:eastAsia="仿宋_GB2312" w:cs="仿宋_GB2312"/>
          <w:sz w:val="32"/>
          <w:szCs w:val="32"/>
          <w:lang w:val="en-US" w:eastAsia="zh-CN"/>
        </w:rPr>
        <w:t>推动普法工作制度化、常态化，努力提高人民群众的法律水平。规范档案资料整理，做到档案资料齐全规范，确保法治建设任务落实到位。</w:t>
      </w:r>
    </w:p>
    <w:p w14:paraId="2583651C">
      <w:pPr>
        <w:keepNext w:val="0"/>
        <w:keepLines w:val="0"/>
        <w:pageBreakBefore w:val="0"/>
        <w:widowControl w:val="0"/>
        <w:kinsoku w:val="0"/>
        <w:wordWrap/>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14:paraId="263AF2DA">
      <w:pPr>
        <w:pStyle w:val="2"/>
        <w:rPr>
          <w:rFonts w:hint="eastAsia"/>
          <w:lang w:eastAsia="zh-CN"/>
        </w:rPr>
      </w:pPr>
    </w:p>
    <w:p w14:paraId="38C5246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p>
    <w:p w14:paraId="6A8DB214">
      <w:pPr>
        <w:keepNext w:val="0"/>
        <w:keepLines w:val="0"/>
        <w:pageBreakBefore w:val="0"/>
        <w:widowControl w:val="0"/>
        <w:wordWrap/>
        <w:topLinePunct w:val="0"/>
        <w:bidi w:val="0"/>
        <w:adjustRightInd/>
        <w:snapToGrid/>
        <w:spacing w:line="560" w:lineRule="exact"/>
        <w:ind w:firstLine="4160" w:firstLineChars="13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平罗县通伏乡人民政府</w:t>
      </w:r>
    </w:p>
    <w:p w14:paraId="0D0780DC">
      <w:pPr>
        <w:keepNext w:val="0"/>
        <w:keepLines w:val="0"/>
        <w:pageBreakBefore w:val="0"/>
        <w:widowControl w:val="0"/>
        <w:wordWrap/>
        <w:topLinePunct w:val="0"/>
        <w:bidi w:val="0"/>
        <w:adjustRightInd/>
        <w:snapToGrid/>
        <w:spacing w:line="560" w:lineRule="exact"/>
        <w:ind w:firstLine="4480" w:firstLineChars="14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2022年12月27日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4D837">
    <w:pPr>
      <w:pStyle w:val="6"/>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C8B7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EC8B7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mYzIwNTA5NWRlMjk5OTFlZDEzOTgwNDk2YjgwY2UifQ=="/>
  </w:docVars>
  <w:rsids>
    <w:rsidRoot w:val="19905339"/>
    <w:rsid w:val="020E6A4C"/>
    <w:rsid w:val="05946F9C"/>
    <w:rsid w:val="069F3BC7"/>
    <w:rsid w:val="073562D9"/>
    <w:rsid w:val="0B5D36F1"/>
    <w:rsid w:val="0E001426"/>
    <w:rsid w:val="0F286D08"/>
    <w:rsid w:val="12A5518F"/>
    <w:rsid w:val="162D39F0"/>
    <w:rsid w:val="19905339"/>
    <w:rsid w:val="1C7B31B0"/>
    <w:rsid w:val="1FFDE9CF"/>
    <w:rsid w:val="22E2053C"/>
    <w:rsid w:val="23624AD7"/>
    <w:rsid w:val="2526512A"/>
    <w:rsid w:val="26CA7C33"/>
    <w:rsid w:val="279D772B"/>
    <w:rsid w:val="32A454C9"/>
    <w:rsid w:val="33D06CCF"/>
    <w:rsid w:val="39EA33AD"/>
    <w:rsid w:val="3B384C6F"/>
    <w:rsid w:val="3B5F2349"/>
    <w:rsid w:val="3EF85126"/>
    <w:rsid w:val="44246EDE"/>
    <w:rsid w:val="450577A3"/>
    <w:rsid w:val="483607A6"/>
    <w:rsid w:val="4C9F1308"/>
    <w:rsid w:val="4EEA2E4A"/>
    <w:rsid w:val="4FB60D02"/>
    <w:rsid w:val="54A2005F"/>
    <w:rsid w:val="55FA0ABB"/>
    <w:rsid w:val="573C5E95"/>
    <w:rsid w:val="5CF3349A"/>
    <w:rsid w:val="5D583F04"/>
    <w:rsid w:val="5E61681E"/>
    <w:rsid w:val="619A4F52"/>
    <w:rsid w:val="663C7C5F"/>
    <w:rsid w:val="685A0DB1"/>
    <w:rsid w:val="6BA753E0"/>
    <w:rsid w:val="6BFF0F86"/>
    <w:rsid w:val="6C3E336F"/>
    <w:rsid w:val="6C7F2654"/>
    <w:rsid w:val="6E382162"/>
    <w:rsid w:val="6E386DE5"/>
    <w:rsid w:val="72770BF8"/>
    <w:rsid w:val="72B11287"/>
    <w:rsid w:val="77B43AFA"/>
    <w:rsid w:val="77CF7FA6"/>
    <w:rsid w:val="7AC706E4"/>
    <w:rsid w:val="7DF056EF"/>
    <w:rsid w:val="7EE62E54"/>
    <w:rsid w:val="7F7F4ECF"/>
    <w:rsid w:val="7F817D50"/>
    <w:rsid w:val="7FDF05E6"/>
    <w:rsid w:val="97FF6F52"/>
    <w:rsid w:val="A7DD02C8"/>
    <w:rsid w:val="BAFD088A"/>
    <w:rsid w:val="BFFF54E8"/>
    <w:rsid w:val="DCEF6AE6"/>
    <w:rsid w:val="EFFF5899"/>
    <w:rsid w:val="F58DDB88"/>
    <w:rsid w:val="F7FD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widowControl/>
      <w:ind w:left="840" w:leftChars="400"/>
      <w:jc w:val="left"/>
      <w:outlineLvl w:val="1"/>
    </w:pPr>
    <w:rPr>
      <w:rFonts w:eastAsia="仿宋"/>
      <w:b/>
      <w:bCs/>
      <w:kern w:val="0"/>
      <w:sz w:val="30"/>
      <w:szCs w:val="3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200" w:firstLine="420" w:firstLineChars="200"/>
    </w:pPr>
    <w:rPr>
      <w:rFonts w:hint="eastAsia" w:ascii="Times New Roman" w:eastAsia="仿宋_GB2312"/>
      <w:sz w:val="32"/>
    </w:rPr>
  </w:style>
  <w:style w:type="paragraph" w:styleId="3">
    <w:name w:val="Body Text Indent"/>
    <w:basedOn w:val="1"/>
    <w:qFormat/>
    <w:uiPriority w:val="0"/>
    <w:pPr>
      <w:ind w:firstLine="640" w:firstLineChars="200"/>
    </w:pPr>
    <w:rPr>
      <w:sz w:val="32"/>
      <w:szCs w:val="24"/>
      <w:lang w:val="en-GB"/>
    </w:rPr>
  </w:style>
  <w:style w:type="paragraph" w:styleId="5">
    <w:name w:val="Normal Indent"/>
    <w:basedOn w:val="1"/>
    <w:next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color w:val="166CB2"/>
    </w:rPr>
  </w:style>
  <w:style w:type="character" w:styleId="13">
    <w:name w:val="FollowedHyperlink"/>
    <w:basedOn w:val="11"/>
    <w:qFormat/>
    <w:uiPriority w:val="0"/>
    <w:rPr>
      <w:color w:val="333333"/>
      <w:u w:val="none"/>
    </w:rPr>
  </w:style>
  <w:style w:type="character" w:styleId="14">
    <w:name w:val="Emphasis"/>
    <w:basedOn w:val="11"/>
    <w:qFormat/>
    <w:uiPriority w:val="0"/>
    <w:rPr>
      <w:b/>
    </w:rPr>
  </w:style>
  <w:style w:type="character" w:styleId="15">
    <w:name w:val="HTML Definition"/>
    <w:basedOn w:val="11"/>
    <w:qFormat/>
    <w:uiPriority w:val="0"/>
  </w:style>
  <w:style w:type="character" w:styleId="16">
    <w:name w:val="HTML Variable"/>
    <w:basedOn w:val="11"/>
    <w:qFormat/>
    <w:uiPriority w:val="0"/>
  </w:style>
  <w:style w:type="character" w:styleId="17">
    <w:name w:val="Hyperlink"/>
    <w:basedOn w:val="11"/>
    <w:qFormat/>
    <w:uiPriority w:val="0"/>
    <w:rPr>
      <w:color w:val="333333"/>
      <w:u w:val="none"/>
    </w:rPr>
  </w:style>
  <w:style w:type="character" w:styleId="18">
    <w:name w:val="HTML Code"/>
    <w:basedOn w:val="11"/>
    <w:qFormat/>
    <w:uiPriority w:val="0"/>
    <w:rPr>
      <w:rFonts w:ascii="Courier New" w:hAnsi="Courier New"/>
      <w:sz w:val="20"/>
    </w:rPr>
  </w:style>
  <w:style w:type="character" w:styleId="19">
    <w:name w:val="HTML Cite"/>
    <w:basedOn w:val="11"/>
    <w:qFormat/>
    <w:uiPriority w:val="0"/>
  </w:style>
  <w:style w:type="character" w:styleId="20">
    <w:name w:val="HTML Keyboard"/>
    <w:basedOn w:val="11"/>
    <w:qFormat/>
    <w:uiPriority w:val="0"/>
    <w:rPr>
      <w:rFonts w:ascii="Courier New" w:hAnsi="Courier New"/>
      <w:sz w:val="20"/>
    </w:rPr>
  </w:style>
  <w:style w:type="character" w:styleId="21">
    <w:name w:val="HTML Sample"/>
    <w:basedOn w:val="11"/>
    <w:qFormat/>
    <w:uiPriority w:val="0"/>
    <w:rPr>
      <w:rFonts w:ascii="Courier New" w:hAnsi="Courier New"/>
    </w:rPr>
  </w:style>
  <w:style w:type="paragraph" w:customStyle="1" w:styleId="22">
    <w:name w:val="Normal Indent1"/>
    <w:basedOn w:val="1"/>
    <w:qFormat/>
    <w:uiPriority w:val="0"/>
    <w:pPr>
      <w:ind w:firstLine="200" w:firstLineChars="200"/>
    </w:pPr>
    <w:rPr>
      <w:rFonts w:ascii="Times New Roman" w:hAnsi="Times New Roman" w:eastAsia="宋体" w:cs="Times New Roman"/>
      <w:sz w:val="21"/>
    </w:rPr>
  </w:style>
  <w:style w:type="paragraph" w:customStyle="1" w:styleId="23">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character" w:customStyle="1" w:styleId="24">
    <w:name w:val="layui-laypage-curr"/>
    <w:basedOn w:val="11"/>
    <w:qFormat/>
    <w:uiPriority w:val="0"/>
  </w:style>
  <w:style w:type="paragraph" w:customStyle="1" w:styleId="25">
    <w:name w:val="Normal Indent"/>
    <w:qFormat/>
    <w:uiPriority w:val="0"/>
    <w:pPr>
      <w:widowControl w:val="0"/>
      <w:ind w:firstLine="200" w:firstLineChars="200"/>
      <w:jc w:val="both"/>
    </w:pPr>
    <w:rPr>
      <w:rFonts w:ascii="Calibri" w:hAnsi="Calibri"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3615</Words>
  <Characters>3661</Characters>
  <Lines>0</Lines>
  <Paragraphs>0</Paragraphs>
  <TotalTime>26</TotalTime>
  <ScaleCrop>false</ScaleCrop>
  <LinksUpToDate>false</LinksUpToDate>
  <CharactersWithSpaces>3666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2019-11-13T11:29:00Z</dcterms:created>
  <dc:creator>lenovo</dc:creator>
  <cp:lastModifiedBy>WPS_1602426028</cp:lastModifiedBy>
  <cp:lastPrinted>2023-01-03T17:36:00Z</cp:lastPrinted>
  <dcterms:modified xsi:type="dcterms:W3CDTF">2025-07-04T02:05:36Z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42B3268CDEBE426CADB44727C9AFD4C4</vt:lpwstr>
  </property>
  <property fmtid="{D5CDD505-2E9C-101B-9397-08002B2CF9AE}" pid="4" name="KSOTemplateDocerSaveRecord">
    <vt:lpwstr>eyJoZGlkIjoiOTUzNWFjZWJlZjk1YzhlNTEwNzdjZTBkMGRjZTBlZWYiLCJ1c2VySWQiOiIxMTMwMTI0MDcyIn0=</vt:lpwstr>
  </property>
</Properties>
</file>