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both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widowControl w:val="0"/>
        <w:jc w:val="center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 w:bidi="ar"/>
        </w:rPr>
        <w:t>平罗县畜牧业养殖发展规划主要指标（2021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 w:bidi="ar"/>
        </w:rPr>
        <w:t>—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 w:bidi="ar"/>
        </w:rPr>
        <w:t>2025）</w:t>
      </w:r>
    </w:p>
    <w:bookmarkEnd w:id="0"/>
    <w:tbl>
      <w:tblPr>
        <w:tblStyle w:val="5"/>
        <w:tblW w:w="1420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92"/>
        <w:gridCol w:w="1008"/>
        <w:gridCol w:w="1068"/>
        <w:gridCol w:w="1068"/>
        <w:gridCol w:w="1140"/>
        <w:gridCol w:w="1632"/>
        <w:gridCol w:w="1764"/>
        <w:gridCol w:w="2219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5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计划存栏量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折合猪当量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氮的排泄量</w:t>
            </w: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植物粪肥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养分需求量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（折合猪当量）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承载力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猪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奶牛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肉牛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家禽</w:t>
            </w: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2020年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2.71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5.8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41.9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65.2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60.4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0.66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156.8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2021年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5.8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89.8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0.99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156.8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2022年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111.9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156.8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2023年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6.4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133.9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1.47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156.8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2024年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6.6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144.2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1.59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156.8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2025年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4.75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6.9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161.2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1.77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156.8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0.97</w:t>
            </w:r>
          </w:p>
        </w:tc>
      </w:tr>
    </w:tbl>
    <w:p>
      <w:pPr>
        <w:widowControl w:val="0"/>
        <w:ind w:firstLine="120" w:firstLineChars="50"/>
        <w:jc w:val="both"/>
        <w:rPr>
          <w:rFonts w:ascii="仿宋_GB2312" w:hAnsi="Courier New" w:eastAsia="仿宋_GB2312" w:cs="Courier New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注：畜禽存栏数据来源于2021年平罗县九大产业发展规划，2、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植物粪肥养分需求量（折合猪当量）以2020年计算。</w:t>
      </w:r>
    </w:p>
    <w:p/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AF3380D"/>
    <w:rsid w:val="4AF3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2022-06-30T03:12:00Z</dcterms:created>
  <dc:creator>糖果</dc:creator>
  <cp:lastModifiedBy>糖果</cp:lastModifiedBy>
  <dcterms:modified xsi:type="dcterms:W3CDTF">2022-06-30T03:13:21Z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008C338778D34601ADA0659E504D532F</vt:lpwstr>
  </property>
</Properties>
</file>