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31B2C">
      <w:pPr>
        <w:spacing w:line="560" w:lineRule="exact"/>
        <w:ind w:right="20"/>
        <w:jc w:val="center"/>
        <w:rPr>
          <w:rFonts w:ascii="方正小标宋_GBK" w:hAnsi="方正小标宋简体" w:eastAsia="方正小标宋_GBK"/>
          <w:sz w:val="44"/>
          <w:szCs w:val="44"/>
        </w:rPr>
      </w:pPr>
      <w:r>
        <w:rPr>
          <w:rFonts w:hint="eastAsia" w:ascii="方正小标宋_GBK" w:hAnsi="方正小标宋简体" w:eastAsia="方正小标宋_GBK" w:cs="方正小标宋_GBK"/>
          <w:sz w:val="44"/>
          <w:szCs w:val="44"/>
        </w:rPr>
        <w:t>平罗县卫生健康事业发展</w:t>
      </w:r>
      <w:r>
        <w:rPr>
          <w:rFonts w:hint="eastAsia" w:ascii="方正小标宋_GBK" w:hAnsi="Arial" w:eastAsia="方正小标宋_GBK" w:cs="方正小标宋_GBK"/>
          <w:sz w:val="44"/>
          <w:szCs w:val="44"/>
        </w:rPr>
        <w:t>“</w:t>
      </w:r>
      <w:r>
        <w:rPr>
          <w:rFonts w:hint="eastAsia" w:ascii="方正小标宋_GBK" w:hAnsi="方正小标宋简体" w:eastAsia="方正小标宋_GBK" w:cs="方正小标宋_GBK"/>
          <w:sz w:val="44"/>
          <w:szCs w:val="44"/>
        </w:rPr>
        <w:t>十四五</w:t>
      </w:r>
      <w:r>
        <w:rPr>
          <w:rFonts w:hint="eastAsia" w:ascii="方正小标宋_GBK" w:hAnsi="Arial" w:eastAsia="方正小标宋_GBK" w:cs="方正小标宋_GBK"/>
          <w:sz w:val="44"/>
          <w:szCs w:val="44"/>
        </w:rPr>
        <w:t>”</w:t>
      </w:r>
      <w:r>
        <w:rPr>
          <w:rFonts w:hint="eastAsia" w:ascii="方正小标宋_GBK" w:hAnsi="方正小标宋简体" w:eastAsia="方正小标宋_GBK" w:cs="方正小标宋_GBK"/>
          <w:sz w:val="44"/>
          <w:szCs w:val="44"/>
        </w:rPr>
        <w:t>规划</w:t>
      </w:r>
    </w:p>
    <w:p w14:paraId="503B53DA">
      <w:pPr>
        <w:spacing w:line="560" w:lineRule="exact"/>
        <w:ind w:right="20"/>
        <w:jc w:val="center"/>
        <w:rPr>
          <w:rFonts w:ascii="方正小标宋_GBK" w:hAnsi="方正小标宋简体" w:eastAsia="方正小标宋_GBK"/>
          <w:sz w:val="44"/>
          <w:szCs w:val="44"/>
        </w:rPr>
      </w:pPr>
      <w:r>
        <w:rPr>
          <w:rFonts w:hint="eastAsia" w:ascii="方正小标宋_GBK" w:hAnsi="方正小标宋简体" w:eastAsia="方正小标宋_GBK" w:cs="方正小标宋_GBK"/>
          <w:sz w:val="44"/>
          <w:szCs w:val="44"/>
        </w:rPr>
        <w:t>（</w:t>
      </w:r>
      <w:r>
        <w:rPr>
          <w:rFonts w:ascii="方正小标宋_GBK" w:hAnsi="方正小标宋简体" w:eastAsia="方正小标宋_GBK" w:cs="方正小标宋_GBK"/>
          <w:sz w:val="44"/>
          <w:szCs w:val="44"/>
        </w:rPr>
        <w:t>2021—2025</w:t>
      </w:r>
      <w:r>
        <w:rPr>
          <w:rFonts w:hint="eastAsia" w:ascii="方正小标宋_GBK" w:hAnsi="方正小标宋简体" w:eastAsia="方正小标宋_GBK" w:cs="方正小标宋_GBK"/>
          <w:sz w:val="44"/>
          <w:szCs w:val="44"/>
        </w:rPr>
        <w:t>年）</w:t>
      </w:r>
    </w:p>
    <w:p w14:paraId="7301EA7E">
      <w:pPr>
        <w:pStyle w:val="2"/>
        <w:spacing w:beforeLines="0" w:line="560" w:lineRule="exact"/>
        <w:ind w:left="0" w:right="0"/>
        <w:rPr>
          <w:rFonts w:ascii="Times New Roman" w:hAnsi="Times New Roman" w:eastAsia="方正仿宋_GBK" w:cs="Times New Roman"/>
        </w:rPr>
      </w:pPr>
    </w:p>
    <w:p w14:paraId="7A097767">
      <w:pPr>
        <w:spacing w:line="560" w:lineRule="exact"/>
        <w:ind w:firstLine="640" w:firstLineChars="200"/>
        <w:rPr>
          <w:rFonts w:eastAsia="方正仿宋_GBK"/>
          <w:sz w:val="32"/>
          <w:szCs w:val="32"/>
        </w:rPr>
      </w:pPr>
      <w:r>
        <w:rPr>
          <w:rFonts w:hint="eastAsia" w:eastAsia="方正仿宋_GBK" w:cs="方正仿宋_GBK"/>
          <w:sz w:val="32"/>
          <w:szCs w:val="32"/>
        </w:rPr>
        <w:t>根据自治区卫健委《宁夏回族自治区卫生健康事业发展</w:t>
      </w:r>
      <w:r>
        <w:rPr>
          <w:rFonts w:eastAsia="方正仿宋_GBK"/>
          <w:sz w:val="32"/>
          <w:szCs w:val="32"/>
        </w:rPr>
        <w:t>“</w:t>
      </w:r>
      <w:r>
        <w:rPr>
          <w:rFonts w:hint="eastAsia" w:eastAsia="方正仿宋_GBK" w:cs="方正仿宋_GBK"/>
          <w:sz w:val="32"/>
          <w:szCs w:val="32"/>
        </w:rPr>
        <w:t>十四五</w:t>
      </w:r>
      <w:r>
        <w:rPr>
          <w:rFonts w:eastAsia="方正仿宋_GBK"/>
          <w:sz w:val="32"/>
          <w:szCs w:val="32"/>
        </w:rPr>
        <w:t>”</w:t>
      </w:r>
      <w:r>
        <w:rPr>
          <w:rFonts w:hint="eastAsia" w:eastAsia="方正仿宋_GBK" w:cs="方正仿宋_GBK"/>
          <w:sz w:val="32"/>
          <w:szCs w:val="32"/>
        </w:rPr>
        <w:t>规划》《</w:t>
      </w:r>
      <w:r>
        <w:rPr>
          <w:rFonts w:eastAsia="方正仿宋_GBK"/>
          <w:sz w:val="32"/>
          <w:szCs w:val="32"/>
        </w:rPr>
        <w:t>“</w:t>
      </w:r>
      <w:r>
        <w:rPr>
          <w:rFonts w:hint="eastAsia" w:eastAsia="方正仿宋_GBK" w:cs="方正仿宋_GBK"/>
          <w:sz w:val="32"/>
          <w:szCs w:val="32"/>
        </w:rPr>
        <w:t>健康宁夏</w:t>
      </w:r>
      <w:r>
        <w:rPr>
          <w:rFonts w:eastAsia="方正仿宋_GBK"/>
          <w:sz w:val="32"/>
          <w:szCs w:val="32"/>
        </w:rPr>
        <w:t>2030”</w:t>
      </w:r>
      <w:r>
        <w:rPr>
          <w:rFonts w:hint="eastAsia" w:eastAsia="方正仿宋_GBK" w:cs="方正仿宋_GBK"/>
          <w:sz w:val="32"/>
          <w:szCs w:val="32"/>
        </w:rPr>
        <w:t>规划纲要》</w:t>
      </w:r>
      <w:r>
        <w:rPr>
          <w:rFonts w:hint="eastAsia" w:eastAsia="方正仿宋_GBK" w:cs="方正仿宋_GBK"/>
          <w:color w:val="000000"/>
          <w:sz w:val="32"/>
          <w:szCs w:val="32"/>
        </w:rPr>
        <w:t>《</w:t>
      </w:r>
      <w:r>
        <w:rPr>
          <w:rFonts w:eastAsia="方正仿宋_GBK"/>
          <w:color w:val="000000"/>
          <w:sz w:val="32"/>
          <w:szCs w:val="32"/>
        </w:rPr>
        <w:t>“</w:t>
      </w:r>
      <w:r>
        <w:rPr>
          <w:rFonts w:hint="eastAsia" w:eastAsia="方正仿宋_GBK" w:cs="方正仿宋_GBK"/>
          <w:color w:val="000000"/>
          <w:sz w:val="32"/>
          <w:szCs w:val="32"/>
        </w:rPr>
        <w:t>健康平罗</w:t>
      </w:r>
      <w:r>
        <w:rPr>
          <w:rFonts w:eastAsia="方正仿宋_GBK"/>
          <w:color w:val="000000"/>
          <w:sz w:val="32"/>
          <w:szCs w:val="32"/>
        </w:rPr>
        <w:t>2030”</w:t>
      </w:r>
      <w:r>
        <w:rPr>
          <w:rFonts w:hint="eastAsia" w:eastAsia="方正仿宋_GBK" w:cs="方正仿宋_GBK"/>
          <w:color w:val="000000"/>
          <w:sz w:val="32"/>
          <w:szCs w:val="32"/>
        </w:rPr>
        <w:t>发展规划》和</w:t>
      </w:r>
      <w:r>
        <w:rPr>
          <w:rFonts w:hint="eastAsia" w:eastAsia="方正仿宋_GBK" w:cs="方正仿宋_GBK"/>
          <w:sz w:val="32"/>
          <w:szCs w:val="32"/>
        </w:rPr>
        <w:t>《中共平罗县委办公室</w:t>
      </w:r>
      <w:r>
        <w:rPr>
          <w:rFonts w:eastAsia="方正仿宋_GBK"/>
          <w:sz w:val="32"/>
          <w:szCs w:val="32"/>
        </w:rPr>
        <w:t xml:space="preserve"> </w:t>
      </w:r>
      <w:r>
        <w:rPr>
          <w:rFonts w:hint="eastAsia" w:eastAsia="方正仿宋_GBK" w:cs="方正仿宋_GBK"/>
          <w:sz w:val="32"/>
          <w:szCs w:val="32"/>
        </w:rPr>
        <w:t>政府办公室关于印发</w:t>
      </w:r>
      <w:r>
        <w:rPr>
          <w:rFonts w:eastAsia="方正仿宋_GBK"/>
          <w:sz w:val="32"/>
          <w:szCs w:val="32"/>
        </w:rPr>
        <w:t>&lt;</w:t>
      </w:r>
      <w:r>
        <w:rPr>
          <w:rFonts w:hint="eastAsia" w:eastAsia="方正仿宋_GBK" w:cs="方正仿宋_GBK"/>
          <w:sz w:val="32"/>
          <w:szCs w:val="32"/>
        </w:rPr>
        <w:t>平罗县全民健康水平提升行动实施方案</w:t>
      </w:r>
      <w:r>
        <w:rPr>
          <w:rFonts w:eastAsia="方正仿宋_GBK"/>
          <w:sz w:val="32"/>
          <w:szCs w:val="32"/>
        </w:rPr>
        <w:t>&gt;</w:t>
      </w:r>
      <w:r>
        <w:rPr>
          <w:rFonts w:hint="eastAsia" w:eastAsia="方正仿宋_GBK" w:cs="方正仿宋_GBK"/>
          <w:sz w:val="32"/>
          <w:szCs w:val="32"/>
        </w:rPr>
        <w:t>的通知》精神，结合实际，制定本规划。</w:t>
      </w:r>
    </w:p>
    <w:p w14:paraId="4D1622B2">
      <w:pPr>
        <w:spacing w:line="560" w:lineRule="exact"/>
        <w:ind w:firstLine="640" w:firstLineChars="200"/>
        <w:rPr>
          <w:rFonts w:ascii="方正黑体_GBK" w:eastAsia="方正黑体_GBK"/>
          <w:color w:val="000000"/>
          <w:sz w:val="32"/>
          <w:szCs w:val="32"/>
        </w:rPr>
      </w:pPr>
      <w:r>
        <w:rPr>
          <w:rFonts w:hint="eastAsia" w:ascii="方正黑体_GBK" w:eastAsia="方正黑体_GBK" w:cs="方正黑体_GBK"/>
          <w:sz w:val="32"/>
          <w:szCs w:val="32"/>
        </w:rPr>
        <w:t>一、规划背景</w:t>
      </w:r>
    </w:p>
    <w:p w14:paraId="197949DC">
      <w:pPr>
        <w:spacing w:line="56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（一）发展现状</w:t>
      </w:r>
    </w:p>
    <w:p w14:paraId="7AA564E5">
      <w:pPr>
        <w:spacing w:line="560" w:lineRule="exact"/>
        <w:ind w:firstLine="640" w:firstLineChars="200"/>
        <w:rPr>
          <w:rFonts w:eastAsia="方正仿宋_GBK"/>
          <w:color w:val="000000"/>
          <w:sz w:val="32"/>
          <w:szCs w:val="32"/>
        </w:rPr>
      </w:pPr>
      <w:r>
        <w:rPr>
          <w:rFonts w:eastAsia="方正仿宋_GBK"/>
          <w:color w:val="000000"/>
          <w:sz w:val="32"/>
          <w:szCs w:val="32"/>
        </w:rPr>
        <w:t>“</w:t>
      </w:r>
      <w:r>
        <w:rPr>
          <w:rFonts w:hint="eastAsia" w:eastAsia="方正仿宋_GBK" w:cs="方正仿宋_GBK"/>
          <w:color w:val="000000"/>
          <w:sz w:val="32"/>
          <w:szCs w:val="32"/>
        </w:rPr>
        <w:t>十三五</w:t>
      </w:r>
      <w:r>
        <w:rPr>
          <w:rFonts w:eastAsia="方正仿宋_GBK"/>
          <w:color w:val="000000"/>
          <w:sz w:val="32"/>
          <w:szCs w:val="32"/>
        </w:rPr>
        <w:t>”</w:t>
      </w:r>
      <w:r>
        <w:rPr>
          <w:rFonts w:hint="eastAsia" w:eastAsia="方正仿宋_GBK" w:cs="方正仿宋_GBK"/>
          <w:color w:val="000000"/>
          <w:sz w:val="32"/>
          <w:szCs w:val="32"/>
        </w:rPr>
        <w:t>期间，全县卫生健康事业改革发展坚持以人民健康为中心，深入推进健康平罗建设，持续深化医药卫生体制改革，加快</w:t>
      </w:r>
      <w:r>
        <w:rPr>
          <w:rFonts w:eastAsia="方正仿宋_GBK"/>
          <w:color w:val="000000"/>
          <w:sz w:val="32"/>
          <w:szCs w:val="32"/>
        </w:rPr>
        <w:t>“</w:t>
      </w:r>
      <w:r>
        <w:rPr>
          <w:rFonts w:hint="eastAsia" w:eastAsia="方正仿宋_GBK" w:cs="方正仿宋_GBK"/>
          <w:color w:val="000000"/>
          <w:sz w:val="32"/>
          <w:szCs w:val="32"/>
        </w:rPr>
        <w:t>互联网</w:t>
      </w:r>
      <w:r>
        <w:rPr>
          <w:rFonts w:eastAsia="方正仿宋_GBK"/>
          <w:color w:val="000000"/>
          <w:sz w:val="32"/>
          <w:szCs w:val="32"/>
        </w:rPr>
        <w:t>+</w:t>
      </w:r>
      <w:r>
        <w:rPr>
          <w:rFonts w:hint="eastAsia" w:eastAsia="方正仿宋_GBK" w:cs="方正仿宋_GBK"/>
          <w:color w:val="000000"/>
          <w:sz w:val="32"/>
          <w:szCs w:val="32"/>
        </w:rPr>
        <w:t>医疗健康</w:t>
      </w:r>
      <w:r>
        <w:rPr>
          <w:rFonts w:eastAsia="方正仿宋_GBK"/>
          <w:color w:val="000000"/>
          <w:sz w:val="32"/>
          <w:szCs w:val="32"/>
        </w:rPr>
        <w:t>”</w:t>
      </w:r>
      <w:r>
        <w:rPr>
          <w:rFonts w:hint="eastAsia" w:eastAsia="方正仿宋_GBK" w:cs="方正仿宋_GBK"/>
          <w:color w:val="000000"/>
          <w:sz w:val="32"/>
          <w:szCs w:val="32"/>
        </w:rPr>
        <w:t>示范区建设，加强公共卫生服务和重大疾病防控，扎实开展健康扶贫，推进涵盖</w:t>
      </w:r>
      <w:r>
        <w:rPr>
          <w:rFonts w:eastAsia="方正仿宋_GBK"/>
          <w:color w:val="000000"/>
          <w:sz w:val="32"/>
          <w:szCs w:val="32"/>
        </w:rPr>
        <w:t>“</w:t>
      </w:r>
      <w:r>
        <w:rPr>
          <w:rFonts w:hint="eastAsia" w:eastAsia="方正仿宋_GBK" w:cs="方正仿宋_GBK"/>
          <w:color w:val="000000"/>
          <w:sz w:val="32"/>
          <w:szCs w:val="32"/>
        </w:rPr>
        <w:t>一老一小</w:t>
      </w:r>
      <w:r>
        <w:rPr>
          <w:rFonts w:eastAsia="方正仿宋_GBK"/>
          <w:color w:val="000000"/>
          <w:sz w:val="32"/>
          <w:szCs w:val="32"/>
        </w:rPr>
        <w:t>”</w:t>
      </w:r>
      <w:r>
        <w:rPr>
          <w:rFonts w:hint="eastAsia" w:eastAsia="方正仿宋_GBK" w:cs="方正仿宋_GBK"/>
          <w:color w:val="000000"/>
          <w:sz w:val="32"/>
          <w:szCs w:val="32"/>
        </w:rPr>
        <w:t>的全生命周期健康服务，全县医疗卫生服务条件持续改善，服务能力和水平明显提升，城乡居民健康水平不断提高，人人享有的基本医疗卫生制度基本建立，为全面建成小康社会和</w:t>
      </w:r>
      <w:r>
        <w:rPr>
          <w:rFonts w:eastAsia="方正仿宋_GBK"/>
          <w:color w:val="000000"/>
          <w:sz w:val="32"/>
          <w:szCs w:val="32"/>
        </w:rPr>
        <w:t>“</w:t>
      </w:r>
      <w:r>
        <w:rPr>
          <w:rFonts w:hint="eastAsia" w:eastAsia="方正仿宋_GBK" w:cs="方正仿宋_GBK"/>
          <w:color w:val="000000"/>
          <w:sz w:val="32"/>
          <w:szCs w:val="32"/>
        </w:rPr>
        <w:t>十四五</w:t>
      </w:r>
      <w:r>
        <w:rPr>
          <w:rFonts w:eastAsia="方正仿宋_GBK"/>
          <w:color w:val="000000"/>
          <w:sz w:val="32"/>
          <w:szCs w:val="32"/>
        </w:rPr>
        <w:t>”</w:t>
      </w:r>
      <w:r>
        <w:rPr>
          <w:rFonts w:hint="eastAsia" w:eastAsia="方正仿宋_GBK" w:cs="方正仿宋_GBK"/>
          <w:color w:val="000000"/>
          <w:sz w:val="32"/>
          <w:szCs w:val="32"/>
        </w:rPr>
        <w:t>高质量发展奠定了坚实的健康基础。</w:t>
      </w:r>
      <w:r>
        <w:rPr>
          <w:rFonts w:eastAsia="方正仿宋_GBK"/>
          <w:color w:val="000000"/>
          <w:sz w:val="32"/>
          <w:szCs w:val="32"/>
        </w:rPr>
        <w:t>2020</w:t>
      </w:r>
      <w:r>
        <w:rPr>
          <w:rFonts w:hint="eastAsia" w:eastAsia="方正仿宋_GBK" w:cs="方正仿宋_GBK"/>
          <w:color w:val="000000"/>
          <w:sz w:val="32"/>
          <w:szCs w:val="32"/>
        </w:rPr>
        <w:t>年，全县人均预期寿命由</w:t>
      </w:r>
      <w:r>
        <w:rPr>
          <w:rFonts w:eastAsia="方正仿宋_GBK"/>
          <w:color w:val="000000"/>
          <w:sz w:val="32"/>
          <w:szCs w:val="32"/>
        </w:rPr>
        <w:t>2015</w:t>
      </w:r>
      <w:r>
        <w:rPr>
          <w:rFonts w:hint="eastAsia" w:eastAsia="方正仿宋_GBK" w:cs="方正仿宋_GBK"/>
          <w:color w:val="000000"/>
          <w:sz w:val="32"/>
          <w:szCs w:val="32"/>
        </w:rPr>
        <w:t>年的</w:t>
      </w:r>
      <w:r>
        <w:rPr>
          <w:rFonts w:eastAsia="方正仿宋_GBK"/>
          <w:color w:val="000000"/>
          <w:sz w:val="32"/>
          <w:szCs w:val="32"/>
        </w:rPr>
        <w:t>74.88</w:t>
      </w:r>
      <w:r>
        <w:rPr>
          <w:rFonts w:hint="eastAsia" w:eastAsia="方正仿宋_GBK" w:cs="方正仿宋_GBK"/>
          <w:color w:val="000000"/>
          <w:sz w:val="32"/>
          <w:szCs w:val="32"/>
        </w:rPr>
        <w:t>岁提高到</w:t>
      </w:r>
      <w:r>
        <w:rPr>
          <w:rFonts w:eastAsia="方正仿宋_GBK"/>
          <w:color w:val="000000"/>
          <w:sz w:val="32"/>
          <w:szCs w:val="32"/>
        </w:rPr>
        <w:t>76.46</w:t>
      </w:r>
      <w:r>
        <w:rPr>
          <w:rFonts w:hint="eastAsia" w:eastAsia="方正仿宋_GBK" w:cs="方正仿宋_GBK"/>
          <w:color w:val="000000"/>
          <w:sz w:val="32"/>
          <w:szCs w:val="32"/>
        </w:rPr>
        <w:t>岁，深化医改向纵深推进，初步建立五项基本医疗卫生制度，</w:t>
      </w:r>
      <w:r>
        <w:rPr>
          <w:rFonts w:eastAsia="方正仿宋_GBK"/>
          <w:color w:val="000000"/>
          <w:sz w:val="32"/>
          <w:szCs w:val="32"/>
        </w:rPr>
        <w:t>2020</w:t>
      </w:r>
      <w:r>
        <w:rPr>
          <w:rFonts w:hint="eastAsia" w:eastAsia="方正仿宋_GBK" w:cs="方正仿宋_GBK"/>
          <w:color w:val="000000"/>
          <w:sz w:val="32"/>
          <w:szCs w:val="32"/>
        </w:rPr>
        <w:t>年末县域内住院率达到</w:t>
      </w:r>
      <w:r>
        <w:rPr>
          <w:rFonts w:eastAsia="方正仿宋_GBK"/>
          <w:color w:val="000000"/>
          <w:sz w:val="32"/>
          <w:szCs w:val="32"/>
        </w:rPr>
        <w:t>66.72%</w:t>
      </w:r>
      <w:r>
        <w:rPr>
          <w:rFonts w:hint="eastAsia" w:eastAsia="方正仿宋_GBK" w:cs="方正仿宋_GBK"/>
          <w:color w:val="000000"/>
          <w:sz w:val="32"/>
          <w:szCs w:val="32"/>
        </w:rPr>
        <w:t>，医疗卫生服务能力不断提升</w:t>
      </w:r>
      <w:r>
        <w:rPr>
          <w:rFonts w:eastAsia="方正仿宋_GBK"/>
          <w:color w:val="000000"/>
          <w:sz w:val="32"/>
          <w:szCs w:val="32"/>
        </w:rPr>
        <w:t>,</w:t>
      </w:r>
      <w:r>
        <w:rPr>
          <w:rFonts w:hint="eastAsia" w:eastAsia="方正仿宋_GBK" w:cs="方正仿宋_GBK"/>
          <w:color w:val="000000"/>
          <w:sz w:val="32"/>
          <w:szCs w:val="32"/>
        </w:rPr>
        <w:t>县人民医院重点专科实现全覆盖，持续保持二级甲等标准，基层医疗卫生机构基本建设达标率达到</w:t>
      </w:r>
      <w:r>
        <w:rPr>
          <w:rFonts w:eastAsia="方正仿宋_GBK"/>
          <w:color w:val="000000"/>
          <w:sz w:val="32"/>
          <w:szCs w:val="32"/>
        </w:rPr>
        <w:t>100%</w:t>
      </w:r>
      <w:r>
        <w:rPr>
          <w:rFonts w:hint="eastAsia" w:eastAsia="方正仿宋_GBK" w:cs="方正仿宋_GBK"/>
          <w:color w:val="000000"/>
          <w:sz w:val="32"/>
          <w:szCs w:val="32"/>
        </w:rPr>
        <w:t>。中医药传承创新发展，建立完善以中医医院为主体、县人民医院中医科为纽带、乡村医疗机构为基础的中医医疗服务体系。实施</w:t>
      </w:r>
      <w:r>
        <w:rPr>
          <w:rFonts w:eastAsia="方正仿宋_GBK"/>
          <w:color w:val="000000"/>
          <w:sz w:val="32"/>
          <w:szCs w:val="32"/>
        </w:rPr>
        <w:t>“</w:t>
      </w:r>
      <w:r>
        <w:rPr>
          <w:rFonts w:hint="eastAsia" w:eastAsia="方正仿宋_GBK" w:cs="方正仿宋_GBK"/>
          <w:color w:val="000000"/>
          <w:sz w:val="32"/>
          <w:szCs w:val="32"/>
        </w:rPr>
        <w:t>互联网</w:t>
      </w:r>
      <w:r>
        <w:rPr>
          <w:rFonts w:eastAsia="方正仿宋_GBK"/>
          <w:color w:val="000000"/>
          <w:sz w:val="32"/>
          <w:szCs w:val="32"/>
        </w:rPr>
        <w:t>+</w:t>
      </w:r>
      <w:r>
        <w:rPr>
          <w:rFonts w:hint="eastAsia" w:eastAsia="方正仿宋_GBK" w:cs="方正仿宋_GBK"/>
          <w:color w:val="000000"/>
          <w:sz w:val="32"/>
          <w:szCs w:val="32"/>
        </w:rPr>
        <w:t>医疗健康</w:t>
      </w:r>
      <w:r>
        <w:rPr>
          <w:rFonts w:eastAsia="方正仿宋_GBK"/>
          <w:color w:val="000000"/>
          <w:sz w:val="32"/>
          <w:szCs w:val="32"/>
        </w:rPr>
        <w:t>”</w:t>
      </w:r>
      <w:r>
        <w:rPr>
          <w:rFonts w:hint="eastAsia" w:eastAsia="方正仿宋_GBK" w:cs="方正仿宋_GBK"/>
          <w:color w:val="000000"/>
          <w:sz w:val="32"/>
          <w:szCs w:val="32"/>
        </w:rPr>
        <w:t>示范区建设，一系列惠民应用、管理机制、标准规范、监管制度出台落地，大力推进医疗健康信息互联互通，远程医疗服务覆盖全部公立医疗机构，推动了互联网与医疗健康服务的深度融合。健康扶贫取得显著成效，建立健康扶贫</w:t>
      </w:r>
      <w:r>
        <w:rPr>
          <w:rFonts w:eastAsia="方正仿宋_GBK"/>
          <w:color w:val="000000"/>
          <w:sz w:val="32"/>
          <w:szCs w:val="32"/>
        </w:rPr>
        <w:t>“</w:t>
      </w:r>
      <w:r>
        <w:rPr>
          <w:rFonts w:hint="eastAsia" w:eastAsia="方正仿宋_GBK" w:cs="方正仿宋_GBK"/>
          <w:color w:val="000000"/>
          <w:sz w:val="32"/>
          <w:szCs w:val="32"/>
        </w:rPr>
        <w:t>一免一降四提高一兜底</w:t>
      </w:r>
      <w:r>
        <w:rPr>
          <w:rFonts w:eastAsia="方正仿宋_GBK"/>
          <w:color w:val="000000"/>
          <w:sz w:val="32"/>
          <w:szCs w:val="32"/>
        </w:rPr>
        <w:t>”</w:t>
      </w:r>
      <w:r>
        <w:rPr>
          <w:rFonts w:hint="eastAsia" w:eastAsia="方正仿宋_GBK" w:cs="方正仿宋_GBK"/>
          <w:color w:val="000000"/>
          <w:sz w:val="32"/>
          <w:szCs w:val="32"/>
        </w:rPr>
        <w:t>的综合医疗保障体系，</w:t>
      </w:r>
      <w:r>
        <w:rPr>
          <w:rFonts w:eastAsia="方正仿宋_GBK"/>
          <w:color w:val="000000"/>
          <w:sz w:val="32"/>
          <w:szCs w:val="32"/>
        </w:rPr>
        <w:t>“</w:t>
      </w:r>
      <w:r>
        <w:rPr>
          <w:rFonts w:hint="eastAsia" w:eastAsia="方正仿宋_GBK" w:cs="方正仿宋_GBK"/>
          <w:color w:val="000000"/>
          <w:sz w:val="32"/>
          <w:szCs w:val="32"/>
        </w:rPr>
        <w:t>三个一批</w:t>
      </w:r>
      <w:r>
        <w:rPr>
          <w:rFonts w:eastAsia="方正仿宋_GBK"/>
          <w:color w:val="000000"/>
          <w:sz w:val="32"/>
          <w:szCs w:val="32"/>
        </w:rPr>
        <w:t>”</w:t>
      </w:r>
      <w:r>
        <w:rPr>
          <w:rFonts w:hint="eastAsia" w:eastAsia="方正仿宋_GBK" w:cs="方正仿宋_GBK"/>
          <w:color w:val="000000"/>
          <w:sz w:val="32"/>
          <w:szCs w:val="32"/>
        </w:rPr>
        <w:t>救治签约服务</w:t>
      </w:r>
      <w:r>
        <w:rPr>
          <w:rFonts w:eastAsia="方正仿宋_GBK"/>
          <w:color w:val="000000"/>
          <w:sz w:val="32"/>
          <w:szCs w:val="32"/>
        </w:rPr>
        <w:t>1533</w:t>
      </w:r>
      <w:r>
        <w:rPr>
          <w:rFonts w:hint="eastAsia" w:eastAsia="方正仿宋_GBK" w:cs="方正仿宋_GBK"/>
          <w:color w:val="000000"/>
          <w:sz w:val="32"/>
          <w:szCs w:val="32"/>
        </w:rPr>
        <w:t>人，救治比例达</w:t>
      </w:r>
      <w:r>
        <w:rPr>
          <w:rFonts w:eastAsia="方正仿宋_GBK"/>
          <w:color w:val="000000"/>
          <w:sz w:val="32"/>
          <w:szCs w:val="32"/>
        </w:rPr>
        <w:t>99.68%</w:t>
      </w:r>
      <w:r>
        <w:rPr>
          <w:rFonts w:hint="eastAsia" w:eastAsia="方正仿宋_GBK" w:cs="方正仿宋_GBK"/>
          <w:color w:val="000000"/>
          <w:sz w:val="32"/>
          <w:szCs w:val="32"/>
        </w:rPr>
        <w:t>。重点人群服务管理持续加强，有序调整完善生育政策，关爱青少年健康、学校健康教育、婴幼儿照护和老龄健康工作得到加强。慢性病综合防控、传染病突发公共卫生事件处置和应对人感染禽流感、艾滋病、结核病防治等重大疾病防控工作成效显著，寄生虫病、地方病防控和严重精神障碍患者管理及职业病监测工作得到加强。新冠肺炎疫情防控取得重大战略成果，全县医药卫生体系经受住了重大考验，在维护人民生命安全和身体健康、保障经济社会发展方面发挥了重要作用。</w:t>
      </w:r>
      <w:r>
        <w:rPr>
          <w:rFonts w:eastAsia="方正仿宋_GBK"/>
          <w:color w:val="000000"/>
          <w:sz w:val="32"/>
          <w:szCs w:val="32"/>
        </w:rPr>
        <w:t>“</w:t>
      </w:r>
      <w:r>
        <w:rPr>
          <w:rFonts w:hint="eastAsia" w:eastAsia="方正仿宋_GBK" w:cs="方正仿宋_GBK"/>
          <w:color w:val="000000"/>
          <w:sz w:val="32"/>
          <w:szCs w:val="32"/>
        </w:rPr>
        <w:t>十三五</w:t>
      </w:r>
      <w:r>
        <w:rPr>
          <w:rFonts w:eastAsia="方正仿宋_GBK"/>
          <w:color w:val="000000"/>
          <w:sz w:val="32"/>
          <w:szCs w:val="32"/>
        </w:rPr>
        <w:t>”</w:t>
      </w:r>
      <w:r>
        <w:rPr>
          <w:rFonts w:hint="eastAsia" w:eastAsia="方正仿宋_GBK" w:cs="方正仿宋_GBK"/>
          <w:color w:val="000000"/>
          <w:sz w:val="32"/>
          <w:szCs w:val="32"/>
        </w:rPr>
        <w:t>时期是全县卫生健康事业改革力度最大、发展速度最快、群众受益最多的五年。但从发展全局看，还存在困难和问题，主要是</w:t>
      </w:r>
      <w:r>
        <w:rPr>
          <w:rFonts w:eastAsia="方正仿宋_GBK"/>
          <w:color w:val="000000"/>
          <w:sz w:val="32"/>
          <w:szCs w:val="32"/>
        </w:rPr>
        <w:t>“</w:t>
      </w:r>
      <w:r>
        <w:rPr>
          <w:rFonts w:hint="eastAsia" w:eastAsia="方正仿宋_GBK" w:cs="方正仿宋_GBK"/>
          <w:color w:val="000000"/>
          <w:sz w:val="32"/>
          <w:szCs w:val="32"/>
        </w:rPr>
        <w:t>以治病为中心</w:t>
      </w:r>
      <w:r>
        <w:rPr>
          <w:rFonts w:eastAsia="方正仿宋_GBK"/>
          <w:color w:val="000000"/>
          <w:sz w:val="32"/>
          <w:szCs w:val="32"/>
        </w:rPr>
        <w:t>”</w:t>
      </w:r>
      <w:r>
        <w:rPr>
          <w:rFonts w:hint="eastAsia" w:eastAsia="方正仿宋_GBK" w:cs="方正仿宋_GBK"/>
          <w:color w:val="000000"/>
          <w:sz w:val="32"/>
          <w:szCs w:val="32"/>
        </w:rPr>
        <w:t>向</w:t>
      </w:r>
      <w:r>
        <w:rPr>
          <w:rFonts w:eastAsia="方正仿宋_GBK"/>
          <w:color w:val="000000"/>
          <w:sz w:val="32"/>
          <w:szCs w:val="32"/>
        </w:rPr>
        <w:t>“</w:t>
      </w:r>
      <w:r>
        <w:rPr>
          <w:rFonts w:hint="eastAsia" w:eastAsia="方正仿宋_GBK" w:cs="方正仿宋_GBK"/>
          <w:color w:val="000000"/>
          <w:sz w:val="32"/>
          <w:szCs w:val="32"/>
        </w:rPr>
        <w:t>以人民健康为中心</w:t>
      </w:r>
      <w:r>
        <w:rPr>
          <w:rFonts w:eastAsia="方正仿宋_GBK"/>
          <w:color w:val="000000"/>
          <w:sz w:val="32"/>
          <w:szCs w:val="32"/>
        </w:rPr>
        <w:t>”</w:t>
      </w:r>
      <w:r>
        <w:rPr>
          <w:rFonts w:hint="eastAsia" w:eastAsia="方正仿宋_GBK" w:cs="方正仿宋_GBK"/>
          <w:color w:val="000000"/>
          <w:sz w:val="32"/>
          <w:szCs w:val="32"/>
        </w:rPr>
        <w:t>转变不够，深化医改的系统性、整体性和协同性不足，优质医疗卫生资源短缺，疑难重症诊疗水平不高，基层医疗卫生服务能力薄弱，互联网医疗等卫生健康服务新业态发展后劲不足，卫生健康服务质量还不能满足广大人民群众日益增长的高品质、多样化健康需要。卫生人力资源短缺和医疗卫生资源结构布局不合理、机构之间衔接协作不紧密等问题依然存在。特别是在应对新冠肺炎疫情中暴露出重大疫情防控存在短板和弱项，疾病预防控制体系不完善，管理机制不顺，人员短缺且流失严重、能力不强，卫生应急体系不健全</w:t>
      </w:r>
      <w:r>
        <w:rPr>
          <w:rFonts w:eastAsia="方正仿宋_GBK"/>
          <w:color w:val="000000"/>
          <w:sz w:val="32"/>
          <w:szCs w:val="32"/>
        </w:rPr>
        <w:t>“</w:t>
      </w:r>
      <w:r>
        <w:rPr>
          <w:rFonts w:hint="eastAsia" w:eastAsia="方正仿宋_GBK" w:cs="方正仿宋_GBK"/>
          <w:color w:val="000000"/>
          <w:sz w:val="32"/>
          <w:szCs w:val="32"/>
        </w:rPr>
        <w:t>平急</w:t>
      </w:r>
      <w:r>
        <w:rPr>
          <w:rFonts w:eastAsia="方正仿宋_GBK"/>
          <w:color w:val="000000"/>
          <w:sz w:val="32"/>
          <w:szCs w:val="32"/>
        </w:rPr>
        <w:t>”</w:t>
      </w:r>
      <w:r>
        <w:rPr>
          <w:rFonts w:hint="eastAsia" w:eastAsia="方正仿宋_GBK" w:cs="方正仿宋_GBK"/>
          <w:color w:val="000000"/>
          <w:sz w:val="32"/>
          <w:szCs w:val="32"/>
        </w:rPr>
        <w:t>转换不够快速，重大疫情监测预警、风险评估、流行病学调查、检验检测、应急处置和救治能力有待提高。</w:t>
      </w:r>
    </w:p>
    <w:p w14:paraId="6664E01D">
      <w:pPr>
        <w:spacing w:line="56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（二）面临形势</w:t>
      </w:r>
    </w:p>
    <w:p w14:paraId="793B0BD2">
      <w:pPr>
        <w:spacing w:line="560" w:lineRule="exact"/>
        <w:ind w:firstLine="640" w:firstLineChars="200"/>
        <w:rPr>
          <w:rFonts w:eastAsia="方正仿宋_GBK"/>
          <w:color w:val="000000"/>
          <w:sz w:val="32"/>
          <w:szCs w:val="32"/>
        </w:rPr>
      </w:pPr>
      <w:r>
        <w:rPr>
          <w:rFonts w:eastAsia="方正仿宋_GBK"/>
          <w:color w:val="000000"/>
          <w:sz w:val="32"/>
          <w:szCs w:val="32"/>
        </w:rPr>
        <w:t>“</w:t>
      </w:r>
      <w:r>
        <w:rPr>
          <w:rFonts w:hint="eastAsia" w:eastAsia="方正仿宋_GBK" w:cs="方正仿宋_GBK"/>
          <w:color w:val="000000"/>
          <w:sz w:val="32"/>
          <w:szCs w:val="32"/>
        </w:rPr>
        <w:t>十四五</w:t>
      </w:r>
      <w:r>
        <w:rPr>
          <w:rFonts w:eastAsia="方正仿宋_GBK"/>
          <w:color w:val="000000"/>
          <w:sz w:val="32"/>
          <w:szCs w:val="32"/>
        </w:rPr>
        <w:t>”</w:t>
      </w:r>
      <w:r>
        <w:rPr>
          <w:rFonts w:hint="eastAsia" w:eastAsia="方正仿宋_GBK" w:cs="方正仿宋_GBK"/>
          <w:color w:val="000000"/>
          <w:sz w:val="32"/>
          <w:szCs w:val="32"/>
        </w:rPr>
        <w:t>时期是开启全面建设社会主义现代化国家新征程的第一个五年，也是全面推进健康中国建设的重要机遇期。党的十九届五中全会提出了全面推进健康中国建设和实施积极应对人口老龄化国家战略的重大任务。习近平总书记视察宁夏重要讲话为宁夏卫生健康工作指明了前进方向、提供了根本遵循。自治区党委十二届十二次全会提出全面推进健康宁夏建设，坚持把保障人民健康放在优先发展的战略位置，坚持预防为主的方针，大力实施全民健康水平提升行动，加强医疗卫生体系、队伍和保障能力建设，全方位全周期维护和保障人民健康。这必将对平罗卫生健康事业发展、增进人民健康福祉产生深远积极影响。</w:t>
      </w:r>
    </w:p>
    <w:p w14:paraId="558E316F">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当前，我县公共卫生安全形势严峻，国内新发传染病风险在增加，自然灾害、事故灾难和突发公共卫生事件时有发生，生物安全威胁不容忽视，要求强化底线思维，把公共卫生作为国家和区域安全重要领域，全面提高防控和救治能力。同时，经济社会的快速发展使我县面临的健康环境因素发生重大变化。疾病谱构成中，慢性非传染性疾病、新发传染病等越来越成为健康的重要影响因素。职业健康、环境卫生等问题依然严峻，精神障碍和心理健康问题逐渐凸显，要求卫生健康工作更加注重疾病前期预防和健康综合管理，加快从以治病为中心转变为以健康为中心。</w:t>
      </w:r>
    </w:p>
    <w:p w14:paraId="13B91069">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人民群众健康需求持续增长，在关注</w:t>
      </w:r>
      <w:r>
        <w:rPr>
          <w:rFonts w:eastAsia="方正仿宋_GBK"/>
          <w:color w:val="000000"/>
          <w:sz w:val="32"/>
          <w:szCs w:val="32"/>
        </w:rPr>
        <w:t>“</w:t>
      </w:r>
      <w:r>
        <w:rPr>
          <w:rFonts w:hint="eastAsia" w:eastAsia="方正仿宋_GBK" w:cs="方正仿宋_GBK"/>
          <w:color w:val="000000"/>
          <w:sz w:val="32"/>
          <w:szCs w:val="32"/>
        </w:rPr>
        <w:t>公平可及</w:t>
      </w:r>
      <w:r>
        <w:rPr>
          <w:rFonts w:eastAsia="方正仿宋_GBK"/>
          <w:color w:val="000000"/>
          <w:sz w:val="32"/>
          <w:szCs w:val="32"/>
        </w:rPr>
        <w:t>”</w:t>
      </w:r>
      <w:r>
        <w:rPr>
          <w:rFonts w:hint="eastAsia" w:eastAsia="方正仿宋_GBK" w:cs="方正仿宋_GBK"/>
          <w:color w:val="000000"/>
          <w:sz w:val="32"/>
          <w:szCs w:val="32"/>
        </w:rPr>
        <w:t>的同时更加关注</w:t>
      </w:r>
      <w:r>
        <w:rPr>
          <w:rFonts w:eastAsia="方正仿宋_GBK"/>
          <w:color w:val="000000"/>
          <w:sz w:val="32"/>
          <w:szCs w:val="32"/>
        </w:rPr>
        <w:t>“</w:t>
      </w:r>
      <w:r>
        <w:rPr>
          <w:rFonts w:hint="eastAsia" w:eastAsia="方正仿宋_GBK" w:cs="方正仿宋_GBK"/>
          <w:color w:val="000000"/>
          <w:sz w:val="32"/>
          <w:szCs w:val="32"/>
        </w:rPr>
        <w:t>水平质量</w:t>
      </w:r>
      <w:r>
        <w:rPr>
          <w:rFonts w:eastAsia="方正仿宋_GBK"/>
          <w:color w:val="000000"/>
          <w:sz w:val="32"/>
          <w:szCs w:val="32"/>
        </w:rPr>
        <w:t>”</w:t>
      </w:r>
      <w:r>
        <w:rPr>
          <w:rFonts w:hint="eastAsia" w:eastAsia="方正仿宋_GBK" w:cs="方正仿宋_GBK"/>
          <w:color w:val="000000"/>
          <w:sz w:val="32"/>
          <w:szCs w:val="32"/>
        </w:rPr>
        <w:t>。人民群众日益增长的多元化、高质量卫生健康需求与医疗卫生服务不均衡不充分之间的矛盾还比较突出，要求加大卫生健康供给侧改革力度，加快转变服务模式，在提升全方位全生命周期健康管理和服务能力上下功夫。</w:t>
      </w:r>
    </w:p>
    <w:p w14:paraId="1644C663">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实施健康平罗战略，要求将健康融入所有政策，对多部门、多领域深入协作提出更高要求。要把人民健康放在优先发展的战略地位，加快形成有利于健康的生活方式、生产方式、经济社会发展模式和治理模式，实现健康和经济社会良性协调发展，涉及人民健康的各部门、各领域要形成合力，才能全方位全周期保障人民健康。</w:t>
      </w:r>
    </w:p>
    <w:p w14:paraId="59F5BD37">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实施全民健康水平提升行动是保障民生的重要举措。随着居民生活水平不断提高，健康越来越成为人民群众关心的重大民生问题。城市化、老龄化带来的流动人口、老年人、职业人群、孕产期妇女和青少年健康等全周期健康服务问题对卫生健康工作提出更多挑战。尤其是，随着人口老龄化程度加深，调整完善生育政策、促进人口长期均衡发展的重要意义更加凸显，积极应对老龄化国家战略和实施三孩生育政策背景下，老年人医疗保健和康复护理以及婴幼儿照护等</w:t>
      </w:r>
      <w:r>
        <w:rPr>
          <w:rFonts w:eastAsia="方正仿宋_GBK"/>
          <w:color w:val="000000"/>
          <w:sz w:val="32"/>
          <w:szCs w:val="32"/>
        </w:rPr>
        <w:t>“</w:t>
      </w:r>
      <w:r>
        <w:rPr>
          <w:rFonts w:hint="eastAsia" w:eastAsia="方正仿宋_GBK" w:cs="方正仿宋_GBK"/>
          <w:color w:val="000000"/>
          <w:sz w:val="32"/>
          <w:szCs w:val="32"/>
        </w:rPr>
        <w:t>一老一小</w:t>
      </w:r>
      <w:r>
        <w:rPr>
          <w:rFonts w:eastAsia="方正仿宋_GBK"/>
          <w:color w:val="000000"/>
          <w:sz w:val="32"/>
          <w:szCs w:val="32"/>
        </w:rPr>
        <w:t>”</w:t>
      </w:r>
      <w:r>
        <w:rPr>
          <w:rFonts w:hint="eastAsia" w:eastAsia="方正仿宋_GBK" w:cs="方正仿宋_GBK"/>
          <w:color w:val="000000"/>
          <w:sz w:val="32"/>
          <w:szCs w:val="32"/>
        </w:rPr>
        <w:t>健康需求快速增长，要求调整优化资源配置，尽快补齐重点人群服务短板，更好地保障民生。</w:t>
      </w:r>
    </w:p>
    <w:p w14:paraId="2A675FA2">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信息技术与科技创新赋能健康行业，为卫生健康治理体系和治理能力现代化提供了强大支撑。互联网、区块链、云计算、大数据、人工智能、</w:t>
      </w:r>
      <w:r>
        <w:rPr>
          <w:rFonts w:eastAsia="方正仿宋_GBK"/>
          <w:color w:val="000000"/>
          <w:sz w:val="32"/>
          <w:szCs w:val="32"/>
        </w:rPr>
        <w:t>5G</w:t>
      </w:r>
      <w:r>
        <w:rPr>
          <w:rFonts w:hint="eastAsia" w:eastAsia="方正仿宋_GBK" w:cs="方正仿宋_GBK"/>
          <w:color w:val="000000"/>
          <w:sz w:val="32"/>
          <w:szCs w:val="32"/>
        </w:rPr>
        <w:t>等为代表的新一代信息技术发展迅速，与生物医学技术加速渗透融合，推动疾病预防、检测、诊断和治疗模式正朝着个性化、精准化、智能化和远程化的方向发展，医疗服务的可及性、公平性将大幅提高。</w:t>
      </w:r>
    </w:p>
    <w:p w14:paraId="79345C66">
      <w:pPr>
        <w:spacing w:line="560" w:lineRule="exact"/>
        <w:ind w:firstLine="640" w:firstLineChars="200"/>
        <w:rPr>
          <w:rFonts w:ascii="方正黑体_GBK" w:eastAsia="方正黑体_GBK"/>
          <w:sz w:val="32"/>
          <w:szCs w:val="32"/>
        </w:rPr>
      </w:pPr>
      <w:r>
        <w:rPr>
          <w:rFonts w:hint="eastAsia" w:ascii="方正黑体_GBK" w:eastAsia="方正黑体_GBK" w:cs="方正黑体_GBK"/>
          <w:sz w:val="32"/>
          <w:szCs w:val="32"/>
        </w:rPr>
        <w:t>二、总体要求</w:t>
      </w:r>
    </w:p>
    <w:p w14:paraId="1FDDF740">
      <w:pPr>
        <w:spacing w:line="56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（一）指导思想</w:t>
      </w:r>
      <w:bookmarkStart w:id="0" w:name="page7"/>
      <w:bookmarkEnd w:id="0"/>
    </w:p>
    <w:p w14:paraId="4B8B8950">
      <w:pPr>
        <w:spacing w:line="560" w:lineRule="exact"/>
        <w:ind w:firstLine="640" w:firstLineChars="200"/>
        <w:rPr>
          <w:rFonts w:eastAsia="方正仿宋_GBK"/>
          <w:color w:val="000000"/>
          <w:sz w:val="32"/>
          <w:szCs w:val="32"/>
        </w:rPr>
      </w:pPr>
      <w:r>
        <w:rPr>
          <w:rFonts w:eastAsia="方正仿宋_GBK"/>
          <w:color w:val="000000"/>
          <w:sz w:val="32"/>
          <w:szCs w:val="32"/>
        </w:rPr>
        <w:t>“</w:t>
      </w:r>
      <w:r>
        <w:rPr>
          <w:rFonts w:hint="eastAsia" w:eastAsia="方正仿宋_GBK" w:cs="方正仿宋_GBK"/>
          <w:color w:val="000000"/>
          <w:sz w:val="32"/>
          <w:szCs w:val="32"/>
        </w:rPr>
        <w:t>十四五</w:t>
      </w:r>
      <w:r>
        <w:rPr>
          <w:rFonts w:eastAsia="方正仿宋_GBK"/>
          <w:color w:val="000000"/>
          <w:sz w:val="32"/>
          <w:szCs w:val="32"/>
        </w:rPr>
        <w:t>”</w:t>
      </w:r>
      <w:r>
        <w:rPr>
          <w:rFonts w:hint="eastAsia" w:eastAsia="方正仿宋_GBK" w:cs="方正仿宋_GBK"/>
          <w:color w:val="000000"/>
          <w:sz w:val="32"/>
          <w:szCs w:val="32"/>
        </w:rPr>
        <w:t>期间，全县卫生健康事业改革发展以习近平新时代中国特色社会主义思想为指导，深入贯彻党的十九大和十九届历次全会以及习近平总书记视察宁夏重要讲话精神，认真落实自治区党委十二届十次、十一次、十二次、十三次、十四次全会决策部署，以建设黄河流域生态保护和高质量发展先行区和健康平罗建设为统领，以全民健康水平提升行动为总载体总抓手，以维护公共卫生安全和全方位全周期维护人民健康为目标，以提高卫生健康供给质量和服务水平为核心，以体制机制改革和科技创新为动力，坚持把保障人民健康放在优先发展的战略位置，坚持新时代卫生健康工作方针，牢固树立</w:t>
      </w:r>
      <w:r>
        <w:rPr>
          <w:rFonts w:eastAsia="方正仿宋_GBK"/>
          <w:color w:val="000000"/>
          <w:sz w:val="32"/>
          <w:szCs w:val="32"/>
        </w:rPr>
        <w:t>“</w:t>
      </w:r>
      <w:r>
        <w:rPr>
          <w:rFonts w:hint="eastAsia" w:eastAsia="方正仿宋_GBK" w:cs="方正仿宋_GBK"/>
          <w:color w:val="000000"/>
          <w:sz w:val="32"/>
          <w:szCs w:val="32"/>
        </w:rPr>
        <w:t>大卫生、大健康</w:t>
      </w:r>
      <w:r>
        <w:rPr>
          <w:rFonts w:eastAsia="方正仿宋_GBK"/>
          <w:color w:val="000000"/>
          <w:sz w:val="32"/>
          <w:szCs w:val="32"/>
        </w:rPr>
        <w:t>”</w:t>
      </w:r>
      <w:r>
        <w:rPr>
          <w:rFonts w:hint="eastAsia" w:eastAsia="方正仿宋_GBK" w:cs="方正仿宋_GBK"/>
          <w:color w:val="000000"/>
          <w:sz w:val="32"/>
          <w:szCs w:val="32"/>
        </w:rPr>
        <w:t>理念，促进</w:t>
      </w:r>
      <w:r>
        <w:rPr>
          <w:rFonts w:eastAsia="方正仿宋_GBK"/>
          <w:color w:val="000000"/>
          <w:sz w:val="32"/>
          <w:szCs w:val="32"/>
        </w:rPr>
        <w:t>“</w:t>
      </w:r>
      <w:r>
        <w:rPr>
          <w:rFonts w:hint="eastAsia" w:eastAsia="方正仿宋_GBK" w:cs="方正仿宋_GBK"/>
          <w:color w:val="000000"/>
          <w:sz w:val="32"/>
          <w:szCs w:val="32"/>
        </w:rPr>
        <w:t>以治病为中心</w:t>
      </w:r>
      <w:r>
        <w:rPr>
          <w:rFonts w:eastAsia="方正仿宋_GBK"/>
          <w:color w:val="000000"/>
          <w:sz w:val="32"/>
          <w:szCs w:val="32"/>
        </w:rPr>
        <w:t>”</w:t>
      </w:r>
      <w:r>
        <w:rPr>
          <w:rFonts w:hint="eastAsia" w:eastAsia="方正仿宋_GBK" w:cs="方正仿宋_GBK"/>
          <w:color w:val="000000"/>
          <w:sz w:val="32"/>
          <w:szCs w:val="32"/>
        </w:rPr>
        <w:t>向</w:t>
      </w:r>
      <w:r>
        <w:rPr>
          <w:rFonts w:eastAsia="方正仿宋_GBK"/>
          <w:color w:val="000000"/>
          <w:sz w:val="32"/>
          <w:szCs w:val="32"/>
        </w:rPr>
        <w:t>“</w:t>
      </w:r>
      <w:r>
        <w:rPr>
          <w:rFonts w:hint="eastAsia" w:eastAsia="方正仿宋_GBK" w:cs="方正仿宋_GBK"/>
          <w:color w:val="000000"/>
          <w:sz w:val="32"/>
          <w:szCs w:val="32"/>
        </w:rPr>
        <w:t>以健康为中心</w:t>
      </w:r>
      <w:r>
        <w:rPr>
          <w:rFonts w:eastAsia="方正仿宋_GBK"/>
          <w:color w:val="000000"/>
          <w:sz w:val="32"/>
          <w:szCs w:val="32"/>
        </w:rPr>
        <w:t>”</w:t>
      </w:r>
      <w:r>
        <w:rPr>
          <w:rFonts w:hint="eastAsia" w:eastAsia="方正仿宋_GBK" w:cs="方正仿宋_GBK"/>
          <w:color w:val="000000"/>
          <w:sz w:val="32"/>
          <w:szCs w:val="32"/>
        </w:rPr>
        <w:t>转变，突出补短板、强弱项、建机制、提质量，大力实施全民健康水平提升行动，推动卫生健康事业高质量发展，让广大人民群众享有公平可及、系统连续的健康服务，全方位全周期维护和保障人民健康，为继续建设经济繁荣、民族团结、环境优美、人民富裕的美丽新平罗提供健康保障。</w:t>
      </w:r>
    </w:p>
    <w:p w14:paraId="16EFB556">
      <w:pPr>
        <w:spacing w:line="56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（二）基本原则</w:t>
      </w:r>
    </w:p>
    <w:p w14:paraId="2966A485">
      <w:pPr>
        <w:spacing w:line="560" w:lineRule="exact"/>
        <w:ind w:firstLine="643" w:firstLineChars="200"/>
        <w:rPr>
          <w:rFonts w:eastAsia="方正仿宋_GBK"/>
          <w:color w:val="000000"/>
          <w:sz w:val="32"/>
          <w:szCs w:val="32"/>
        </w:rPr>
      </w:pPr>
      <w:r>
        <w:rPr>
          <w:rFonts w:hint="eastAsia" w:eastAsia="方正仿宋_GBK" w:cs="方正仿宋_GBK"/>
          <w:b/>
          <w:bCs/>
          <w:color w:val="000000"/>
          <w:sz w:val="32"/>
          <w:szCs w:val="32"/>
        </w:rPr>
        <w:t>坚持党的领导。</w:t>
      </w:r>
      <w:r>
        <w:rPr>
          <w:rFonts w:hint="eastAsia" w:eastAsia="方正仿宋_GBK" w:cs="方正仿宋_GBK"/>
          <w:color w:val="000000"/>
          <w:sz w:val="32"/>
          <w:szCs w:val="32"/>
        </w:rPr>
        <w:t>坚持和完善党领导卫生健康发展的体制机制，全面加强卫生健康行政管理部门和医疗卫生机构党的建设，把党的领导落实到卫生健康改革发展的各领域各方面各环节，为全面推进健康平罗建设提供保障。</w:t>
      </w:r>
    </w:p>
    <w:p w14:paraId="2BCE376F">
      <w:pPr>
        <w:spacing w:line="560" w:lineRule="exact"/>
        <w:ind w:firstLine="643" w:firstLineChars="200"/>
        <w:rPr>
          <w:rFonts w:eastAsia="方正仿宋_GBK"/>
          <w:sz w:val="32"/>
          <w:szCs w:val="32"/>
        </w:rPr>
      </w:pPr>
      <w:r>
        <w:rPr>
          <w:rFonts w:hint="eastAsia" w:eastAsia="方正仿宋_GBK" w:cs="方正仿宋_GBK"/>
          <w:b/>
          <w:bCs/>
          <w:sz w:val="32"/>
          <w:szCs w:val="32"/>
        </w:rPr>
        <w:t>坚持健康优先。</w:t>
      </w:r>
      <w:r>
        <w:rPr>
          <w:rFonts w:hint="eastAsia" w:eastAsia="方正仿宋_GBK" w:cs="方正仿宋_GBK"/>
          <w:sz w:val="32"/>
          <w:szCs w:val="32"/>
        </w:rPr>
        <w:t>把健康摆在优先发展的战略地位，将健康融</w:t>
      </w:r>
      <w:bookmarkStart w:id="1" w:name="page8"/>
      <w:bookmarkEnd w:id="1"/>
      <w:r>
        <w:rPr>
          <w:rFonts w:hint="eastAsia" w:eastAsia="方正仿宋_GBK" w:cs="方正仿宋_GBK"/>
          <w:sz w:val="32"/>
          <w:szCs w:val="32"/>
        </w:rPr>
        <w:t>入所有政策，以主要健康问题为导向，从健康影响因素的广泛性、社会性、整体性出发，更加强调政府统筹协调，加快形成有利于健康的生活方式和经济社会发展模式，实现健康与经济社会良性协调发展。</w:t>
      </w:r>
    </w:p>
    <w:p w14:paraId="7D97AFC3">
      <w:pPr>
        <w:spacing w:line="560" w:lineRule="exact"/>
        <w:ind w:firstLine="643" w:firstLineChars="200"/>
        <w:rPr>
          <w:rFonts w:eastAsia="方正仿宋_GBK"/>
          <w:sz w:val="32"/>
          <w:szCs w:val="32"/>
        </w:rPr>
      </w:pPr>
      <w:r>
        <w:rPr>
          <w:rFonts w:hint="eastAsia" w:eastAsia="方正仿宋_GBK" w:cs="方正仿宋_GBK"/>
          <w:b/>
          <w:bCs/>
          <w:sz w:val="32"/>
          <w:szCs w:val="32"/>
        </w:rPr>
        <w:t>坚持强基补短。</w:t>
      </w:r>
      <w:r>
        <w:rPr>
          <w:rFonts w:hint="eastAsia" w:eastAsia="方正仿宋_GBK" w:cs="方正仿宋_GBK"/>
          <w:sz w:val="32"/>
          <w:szCs w:val="32"/>
        </w:rPr>
        <w:t>把完善机制放到更加突出位置，继续以保基本、强基层、补短板为重心，强化公共卫生服务内生动力，夯实基层公共卫生服务基础，提高基本医疗卫生服务的公平性、可及性。聚焦新冠肺炎疫情防控中暴露出的短板，优先安排项目、资金，突出补短板，提高疫情防控能力，保证公共卫生安全。要聚焦疾病预防控制、职业卫生、精神卫生、妇女儿童和老年人等健康服务、应急救治等体系弱项，不断完善公共卫生和医疗服务体系。</w:t>
      </w:r>
    </w:p>
    <w:p w14:paraId="2626E342">
      <w:pPr>
        <w:spacing w:line="560" w:lineRule="exact"/>
        <w:ind w:firstLine="643" w:firstLineChars="200"/>
        <w:rPr>
          <w:rFonts w:eastAsia="方正仿宋_GBK"/>
          <w:sz w:val="32"/>
          <w:szCs w:val="32"/>
        </w:rPr>
      </w:pPr>
      <w:r>
        <w:rPr>
          <w:rFonts w:hint="eastAsia" w:eastAsia="方正仿宋_GBK" w:cs="方正仿宋_GBK"/>
          <w:b/>
          <w:bCs/>
          <w:sz w:val="32"/>
          <w:szCs w:val="32"/>
        </w:rPr>
        <w:t>坚持强基固本。</w:t>
      </w:r>
      <w:r>
        <w:rPr>
          <w:rFonts w:hint="eastAsia" w:eastAsia="方正仿宋_GBK" w:cs="方正仿宋_GBK"/>
          <w:sz w:val="32"/>
          <w:szCs w:val="32"/>
        </w:rPr>
        <w:t>强化预防为主和医防协同，明确功能定位，合理配置资源，把重大疾病防控在早期阶段。以基层为重点，密切上下联动，推动资源下沉，强化县域医疗服务能力，巩固城乡基层医疗卫生服务网底，提升公共卫生服务和应急处置水平，实现医疗卫生服务均衡发展。</w:t>
      </w:r>
    </w:p>
    <w:p w14:paraId="4DD7DF37">
      <w:pPr>
        <w:spacing w:line="540" w:lineRule="exact"/>
        <w:ind w:firstLine="643" w:firstLineChars="200"/>
        <w:rPr>
          <w:rFonts w:eastAsia="方正仿宋_GBK"/>
          <w:color w:val="000000"/>
          <w:sz w:val="32"/>
          <w:szCs w:val="32"/>
        </w:rPr>
      </w:pPr>
      <w:r>
        <w:rPr>
          <w:rFonts w:hint="eastAsia" w:eastAsia="方正仿宋_GBK" w:cs="方正仿宋_GBK"/>
          <w:b/>
          <w:bCs/>
          <w:color w:val="000000"/>
          <w:sz w:val="32"/>
          <w:szCs w:val="32"/>
        </w:rPr>
        <w:t>坚持改革推动。</w:t>
      </w:r>
      <w:r>
        <w:rPr>
          <w:rFonts w:hint="eastAsia" w:eastAsia="方正仿宋_GBK" w:cs="方正仿宋_GBK"/>
          <w:color w:val="000000"/>
          <w:sz w:val="32"/>
          <w:szCs w:val="32"/>
        </w:rPr>
        <w:t>通过改革，不断推进卫生健康领域制度创新、管理创新、技术创新，实现优质医疗卫生资源显著扩容。以人民健康需求为导向，加快优质资源区域均衡布局，发挥科技创新和信息化的引领、支撑作用，建立以健康为中心的激励相容机制，建立完善促进全民健康的制度体系。</w:t>
      </w:r>
      <w:bookmarkStart w:id="2" w:name="page9"/>
      <w:bookmarkEnd w:id="2"/>
    </w:p>
    <w:p w14:paraId="7A504F2E">
      <w:pPr>
        <w:spacing w:line="540" w:lineRule="exact"/>
        <w:ind w:firstLine="630" w:firstLineChars="196"/>
        <w:rPr>
          <w:rFonts w:eastAsia="方正仿宋_GBK"/>
          <w:color w:val="000000"/>
          <w:sz w:val="32"/>
          <w:szCs w:val="32"/>
        </w:rPr>
      </w:pPr>
      <w:r>
        <w:rPr>
          <w:rFonts w:hint="eastAsia" w:eastAsia="方正仿宋_GBK" w:cs="方正仿宋_GBK"/>
          <w:b/>
          <w:bCs/>
          <w:color w:val="000000"/>
          <w:sz w:val="32"/>
          <w:szCs w:val="32"/>
        </w:rPr>
        <w:t>坚持共治共享。</w:t>
      </w:r>
      <w:r>
        <w:rPr>
          <w:rFonts w:hint="eastAsia" w:eastAsia="方正仿宋_GBK" w:cs="方正仿宋_GBK"/>
          <w:color w:val="000000"/>
          <w:sz w:val="32"/>
          <w:szCs w:val="32"/>
        </w:rPr>
        <w:t>强化落实政府责任，维护卫生健康的公益性，建立完善卫生健康高质量发展机制。鼓励社会力量提供服务，大力发展智慧医疗，满足群众多样化、差异化、个性化健康需求。发挥政府的组织和引导作用，动员全社会参与，引导人人加强自我健康管理，有效控制影响健康的危险因素，形成维护和促进健康的强大合力。</w:t>
      </w:r>
    </w:p>
    <w:p w14:paraId="22727C61">
      <w:pPr>
        <w:spacing w:line="54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（三）发展目标</w:t>
      </w:r>
    </w:p>
    <w:p w14:paraId="7B33858D">
      <w:pPr>
        <w:spacing w:line="540" w:lineRule="exact"/>
        <w:ind w:firstLine="640" w:firstLineChars="200"/>
        <w:rPr>
          <w:rFonts w:eastAsia="方正仿宋_GBK"/>
          <w:sz w:val="32"/>
          <w:szCs w:val="32"/>
        </w:rPr>
      </w:pPr>
      <w:r>
        <w:rPr>
          <w:rFonts w:hint="eastAsia" w:eastAsia="方正仿宋_GBK" w:cs="方正仿宋_GBK"/>
          <w:sz w:val="32"/>
          <w:szCs w:val="32"/>
        </w:rPr>
        <w:t>到</w:t>
      </w:r>
      <w:r>
        <w:rPr>
          <w:rFonts w:eastAsia="方正仿宋_GBK"/>
          <w:sz w:val="32"/>
          <w:szCs w:val="32"/>
        </w:rPr>
        <w:t>2025</w:t>
      </w:r>
      <w:r>
        <w:rPr>
          <w:rFonts w:hint="eastAsia" w:eastAsia="方正仿宋_GBK" w:cs="方正仿宋_GBK"/>
          <w:sz w:val="32"/>
          <w:szCs w:val="32"/>
        </w:rPr>
        <w:t>年，基本建成能有效应对重大疫情和突发公共卫生事件、基本满足公共安全形势需要、有力支撑全面推进健康平罗建设的强大公共卫生体系和整合型医疗卫生服务体系，卫生健康服务体系更加完善，居民主要健康影响因素得到有效控制，重大慢性病、传染病得到有效防控，公共卫生服务体系、基层防控能力明显增强，医防协同机制更加完善，公共卫生安全风险防范和化解能力显著提升，中医药特色优势进一步发挥，健康公平显著改善，人人就近享有公平可及、系统连续、优质高效的基本医疗卫生服务，全民健康素养水平显著提升，全县人均预期寿命等主要健康指标达到全区平均水平。形成发展更安全、生活更健康、服务更优质、治理更加现代化的高质量卫生健康事业发展局面。</w:t>
      </w:r>
    </w:p>
    <w:p w14:paraId="093448CB">
      <w:pPr>
        <w:topLinePunct/>
        <w:spacing w:line="540" w:lineRule="exact"/>
        <w:ind w:firstLine="640" w:firstLineChars="200"/>
        <w:rPr>
          <w:rFonts w:eastAsia="方正仿宋_GBK"/>
          <w:sz w:val="32"/>
          <w:szCs w:val="32"/>
        </w:rPr>
      </w:pPr>
      <w:r>
        <w:rPr>
          <w:rFonts w:hint="eastAsia" w:eastAsia="方正仿宋_GBK" w:cs="方正仿宋_GBK"/>
          <w:sz w:val="32"/>
          <w:szCs w:val="32"/>
        </w:rPr>
        <w:t>到</w:t>
      </w:r>
      <w:r>
        <w:rPr>
          <w:rFonts w:eastAsia="方正仿宋_GBK"/>
          <w:sz w:val="32"/>
          <w:szCs w:val="32"/>
        </w:rPr>
        <w:t>2035</w:t>
      </w:r>
      <w:r>
        <w:rPr>
          <w:rFonts w:hint="eastAsia" w:eastAsia="方正仿宋_GBK" w:cs="方正仿宋_GBK"/>
          <w:sz w:val="32"/>
          <w:szCs w:val="32"/>
        </w:rPr>
        <w:t>年，基本实现全县卫生健康体系建设现代化，中国特色基本医疗卫生制度更加完善，强大公共卫生体系和优质高效整合型医疗卫生服务体系全面建立，中医药实现传承创新发展，</w:t>
      </w:r>
      <w:bookmarkStart w:id="3" w:name="page10"/>
      <w:bookmarkEnd w:id="3"/>
      <w:r>
        <w:rPr>
          <w:rFonts w:hint="eastAsia" w:eastAsia="方正仿宋_GBK" w:cs="方正仿宋_GBK"/>
          <w:sz w:val="32"/>
          <w:szCs w:val="32"/>
        </w:rPr>
        <w:t>人民健康素质达到新水平，健康文明生活方式全面普及，人均预期寿命达到</w:t>
      </w:r>
      <w:r>
        <w:rPr>
          <w:rFonts w:eastAsia="方正仿宋_GBK"/>
          <w:color w:val="000000"/>
          <w:sz w:val="32"/>
          <w:szCs w:val="32"/>
        </w:rPr>
        <w:t>80</w:t>
      </w:r>
      <w:r>
        <w:rPr>
          <w:rFonts w:hint="eastAsia" w:eastAsia="方正仿宋_GBK" w:cs="方正仿宋_GBK"/>
          <w:color w:val="000000"/>
          <w:sz w:val="32"/>
          <w:szCs w:val="32"/>
        </w:rPr>
        <w:t>岁左右，</w:t>
      </w:r>
      <w:r>
        <w:rPr>
          <w:rFonts w:hint="eastAsia" w:eastAsia="方正仿宋_GBK" w:cs="方正仿宋_GBK"/>
          <w:sz w:val="32"/>
          <w:szCs w:val="32"/>
        </w:rPr>
        <w:t>健康预期寿命相应提高。</w:t>
      </w:r>
    </w:p>
    <w:p w14:paraId="6712F54A">
      <w:pPr>
        <w:topLinePunct/>
        <w:spacing w:line="540" w:lineRule="exact"/>
        <w:ind w:firstLine="640" w:firstLineChars="200"/>
        <w:rPr>
          <w:rFonts w:eastAsia="方正仿宋_GBK"/>
          <w:sz w:val="32"/>
          <w:szCs w:val="32"/>
        </w:rPr>
      </w:pPr>
      <w:r>
        <w:rPr>
          <w:rFonts w:hint="eastAsia" w:eastAsia="方正仿宋_GBK" w:cs="方正仿宋_GBK"/>
          <w:sz w:val="32"/>
          <w:szCs w:val="32"/>
        </w:rPr>
        <w:t>到</w:t>
      </w:r>
      <w:r>
        <w:rPr>
          <w:rFonts w:eastAsia="方正仿宋_GBK"/>
          <w:sz w:val="32"/>
          <w:szCs w:val="32"/>
        </w:rPr>
        <w:t xml:space="preserve"> 2025 </w:t>
      </w:r>
      <w:r>
        <w:rPr>
          <w:rFonts w:hint="eastAsia" w:eastAsia="方正仿宋_GBK" w:cs="方正仿宋_GBK"/>
          <w:sz w:val="32"/>
          <w:szCs w:val="32"/>
        </w:rPr>
        <w:t>年具体实现以下目标：</w:t>
      </w:r>
    </w:p>
    <w:p w14:paraId="6095A565">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重大疫情防控能力明显提升。</w:t>
      </w:r>
      <w:r>
        <w:rPr>
          <w:rFonts w:hint="eastAsia" w:eastAsia="方正仿宋_GBK" w:cs="方正仿宋_GBK"/>
          <w:sz w:val="32"/>
          <w:szCs w:val="32"/>
        </w:rPr>
        <w:t>疾病预防控制体系改革完成，重大疫情救治体系不断完善，涉及多行业的公共卫生监测预警网络基本建立，重大疫情和突发公共卫生事件早期监测、智能预警、风险评估、流行病学调查、检验检测、应急处置、医疗救治能力显著提升，快速反应、高效处置、综合救治的工作机制进一步健全且高效运行。</w:t>
      </w:r>
    </w:p>
    <w:p w14:paraId="6F7BF58F">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卫生健康服务能力明显提升。</w:t>
      </w:r>
      <w:r>
        <w:rPr>
          <w:rFonts w:hint="eastAsia" w:eastAsia="方正仿宋_GBK" w:cs="方正仿宋_GBK"/>
          <w:sz w:val="32"/>
          <w:szCs w:val="32"/>
        </w:rPr>
        <w:t>紧密型的县域医共体建设取得实效，基层普遍具备首诊分诊和健康守门能力，县域内人人就近享有便捷可及、系统连续的基本医疗卫生服务。区域医疗中心基本建立，县级胸痛、脑卒中、创伤、肿瘤、危重孕产妇救治、危重新生儿救治、健康管理中心基本建立，促进县域内人人享有同质化的危急重症、疑难病症诊疗服务。健康服务智能化水平显著提升。老年医学中心（科）建设切实加强。全民医保制度进一步健全。县域内人人享有均等化的基本医疗卫生服务。</w:t>
      </w:r>
    </w:p>
    <w:p w14:paraId="4514D897">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全民健康水平得到明显提升。</w:t>
      </w:r>
      <w:r>
        <w:rPr>
          <w:rFonts w:hint="eastAsia" w:eastAsia="方正仿宋_GBK" w:cs="方正仿宋_GBK"/>
          <w:sz w:val="32"/>
          <w:szCs w:val="32"/>
        </w:rPr>
        <w:t>体系完整、分工明确、功能互补、密切协作、运行高效的整合型医疗卫生服务体系基本建成，以</w:t>
      </w:r>
      <w:r>
        <w:rPr>
          <w:rFonts w:eastAsia="方正仿宋_GBK"/>
          <w:sz w:val="32"/>
          <w:szCs w:val="32"/>
        </w:rPr>
        <w:t>“</w:t>
      </w:r>
      <w:r>
        <w:rPr>
          <w:rFonts w:hint="eastAsia" w:eastAsia="方正仿宋_GBK" w:cs="方正仿宋_GBK"/>
          <w:sz w:val="32"/>
          <w:szCs w:val="32"/>
        </w:rPr>
        <w:t>一老一小</w:t>
      </w:r>
      <w:r>
        <w:rPr>
          <w:rFonts w:eastAsia="方正仿宋_GBK"/>
          <w:sz w:val="32"/>
          <w:szCs w:val="32"/>
        </w:rPr>
        <w:t>”</w:t>
      </w:r>
      <w:r>
        <w:rPr>
          <w:rFonts w:hint="eastAsia" w:eastAsia="方正仿宋_GBK" w:cs="方正仿宋_GBK"/>
          <w:sz w:val="32"/>
          <w:szCs w:val="32"/>
        </w:rPr>
        <w:t>为重点的全周期健康服务能力明显增强，综合连续的老年健康服务体系基本构建，婴幼儿照护服务供给有效</w:t>
      </w:r>
      <w:bookmarkStart w:id="4" w:name="page11"/>
      <w:bookmarkEnd w:id="4"/>
      <w:r>
        <w:rPr>
          <w:rFonts w:hint="eastAsia" w:eastAsia="方正仿宋_GBK" w:cs="方正仿宋_GBK"/>
          <w:sz w:val="32"/>
          <w:szCs w:val="32"/>
        </w:rPr>
        <w:t>增加，从生命全周期、健康全过程维护和保障人民健康。全民健康素养水平明显提高，健康生活方式得到全面普及。有利于健康的生产生活方式基本形成，居民自我健康管理能力明显提高。</w:t>
      </w:r>
    </w:p>
    <w:p w14:paraId="2EBF7F55">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健康产业科技创新能力明显增强。</w:t>
      </w:r>
      <w:r>
        <w:rPr>
          <w:rFonts w:hint="eastAsia" w:eastAsia="方正仿宋_GBK" w:cs="方正仿宋_GBK"/>
          <w:sz w:val="32"/>
          <w:szCs w:val="32"/>
        </w:rPr>
        <w:t>适应行业特点的医学教育和人才培养体系更加完善，健康科技创新能力明显提升。建立起体系完善、结构优化的健康产业体系，产业规模显著扩大。</w:t>
      </w:r>
    </w:p>
    <w:p w14:paraId="59196C8B">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卫生健康治理能力明显提升。</w:t>
      </w:r>
      <w:r>
        <w:rPr>
          <w:rFonts w:hint="eastAsia" w:eastAsia="方正仿宋_GBK" w:cs="方正仿宋_GBK"/>
          <w:sz w:val="32"/>
          <w:szCs w:val="32"/>
        </w:rPr>
        <w:t>卫生健康行业党的建设全面加强。医疗卫生行业综合监管制度更加完善。卫生健康法制体系建设、医疗行业作风建设和卫生健康文化建设进一步加强。信息技术与科技创新赋能卫生健康，跨区域、跨层级、跨部门、跨机构的卫生健康信息实现共享和业务协同，为群众提供记录一生、服务一生、管理一生的全生命周期健康服务。基于</w:t>
      </w:r>
      <w:r>
        <w:rPr>
          <w:rFonts w:eastAsia="方正仿宋_GBK"/>
          <w:sz w:val="32"/>
          <w:szCs w:val="32"/>
        </w:rPr>
        <w:t>5G</w:t>
      </w:r>
      <w:r>
        <w:rPr>
          <w:rFonts w:hint="eastAsia" w:eastAsia="方正仿宋_GBK" w:cs="方正仿宋_GBK"/>
          <w:sz w:val="32"/>
          <w:szCs w:val="32"/>
        </w:rPr>
        <w:t>、物联网、区块链等信息技术的考核评价、综合监管机制初步建立，全县卫生健康服务效能和现代化治理水平明显提高。</w:t>
      </w:r>
    </w:p>
    <w:p w14:paraId="1F57E7FC">
      <w:pPr>
        <w:topLinePunct/>
        <w:spacing w:line="560" w:lineRule="exact"/>
        <w:ind w:right="160"/>
        <w:rPr>
          <w:rFonts w:ascii="仿宋_GB2312" w:hAnsi="仿宋_GB2312" w:eastAsia="仿宋_GB2312"/>
          <w:sz w:val="32"/>
          <w:szCs w:val="32"/>
        </w:rPr>
      </w:pPr>
    </w:p>
    <w:p w14:paraId="71C53696">
      <w:pPr>
        <w:spacing w:line="341" w:lineRule="exact"/>
        <w:jc w:val="center"/>
        <w:rPr>
          <w:color w:val="000000"/>
          <w:sz w:val="20"/>
          <w:szCs w:val="20"/>
        </w:rPr>
      </w:pPr>
      <w:r>
        <w:rPr>
          <w:b/>
          <w:bCs/>
          <w:color w:val="000000"/>
          <w:sz w:val="28"/>
          <w:szCs w:val="28"/>
        </w:rPr>
        <w:t>“</w:t>
      </w:r>
      <w:r>
        <w:rPr>
          <w:rFonts w:hint="eastAsia" w:ascii="宋体" w:hAnsi="宋体" w:cs="宋体"/>
          <w:b/>
          <w:bCs/>
          <w:color w:val="000000"/>
          <w:sz w:val="28"/>
          <w:szCs w:val="28"/>
        </w:rPr>
        <w:t>十四五</w:t>
      </w:r>
      <w:r>
        <w:rPr>
          <w:b/>
          <w:bCs/>
          <w:color w:val="000000"/>
          <w:sz w:val="28"/>
          <w:szCs w:val="28"/>
        </w:rPr>
        <w:t>”</w:t>
      </w:r>
      <w:r>
        <w:rPr>
          <w:rFonts w:hint="eastAsia" w:ascii="宋体" w:hAnsi="宋体" w:cs="宋体"/>
          <w:b/>
          <w:bCs/>
          <w:color w:val="000000"/>
          <w:sz w:val="28"/>
          <w:szCs w:val="28"/>
        </w:rPr>
        <w:t>时期卫生健康事业发展指标</w:t>
      </w:r>
    </w:p>
    <w:p w14:paraId="0CF276EF">
      <w:pPr>
        <w:spacing w:line="20" w:lineRule="exact"/>
        <w:rPr>
          <w:sz w:val="20"/>
          <w:szCs w:val="20"/>
        </w:rPr>
      </w:pPr>
      <w:r>
        <w:pict>
          <v:line id="_x0000_s1026" o:spid="_x0000_s1026" o:spt="20" style="position:absolute;left:0pt;margin-left:0.45pt;margin-top:8.7pt;height:1.05pt;width:454.55pt;z-index:-251655168;mso-width-relative:page;mso-height-relative:page;" filled="t" coordsize="21600,21600" o:allowincell="f">
            <v:path arrowok="t"/>
            <v:fill on="t" focussize="0,0"/>
            <v:stroke weight="1.43992125984252pt" joinstyle="miter"/>
            <v:imagedata o:title=""/>
            <o:lock v:ext="edit"/>
          </v:line>
        </w:pict>
      </w:r>
    </w:p>
    <w:p w14:paraId="79F1985F">
      <w:pPr>
        <w:spacing w:line="169" w:lineRule="exact"/>
        <w:rPr>
          <w:sz w:val="20"/>
          <w:szCs w:val="20"/>
        </w:rPr>
      </w:pPr>
    </w:p>
    <w:tbl>
      <w:tblPr>
        <w:tblStyle w:val="9"/>
        <w:tblW w:w="0" w:type="auto"/>
        <w:tblInd w:w="2" w:type="dxa"/>
        <w:tblLayout w:type="fixed"/>
        <w:tblCellMar>
          <w:top w:w="0" w:type="dxa"/>
          <w:left w:w="0" w:type="dxa"/>
          <w:bottom w:w="0" w:type="dxa"/>
          <w:right w:w="0" w:type="dxa"/>
        </w:tblCellMar>
      </w:tblPr>
      <w:tblGrid>
        <w:gridCol w:w="527"/>
        <w:gridCol w:w="710"/>
        <w:gridCol w:w="3379"/>
        <w:gridCol w:w="136"/>
        <w:gridCol w:w="813"/>
        <w:gridCol w:w="1151"/>
        <w:gridCol w:w="1319"/>
        <w:gridCol w:w="1050"/>
        <w:gridCol w:w="1555"/>
      </w:tblGrid>
      <w:tr w14:paraId="52F4812C">
        <w:tblPrEx>
          <w:tblCellMar>
            <w:top w:w="0" w:type="dxa"/>
            <w:left w:w="0" w:type="dxa"/>
            <w:bottom w:w="0" w:type="dxa"/>
            <w:right w:w="0" w:type="dxa"/>
          </w:tblCellMar>
        </w:tblPrEx>
        <w:trPr>
          <w:trHeight w:val="272" w:hRule="atLeast"/>
        </w:trPr>
        <w:tc>
          <w:tcPr>
            <w:tcW w:w="527" w:type="dxa"/>
            <w:vMerge w:val="restart"/>
            <w:vAlign w:val="center"/>
          </w:tcPr>
          <w:p w14:paraId="3B9198D6">
            <w:pPr>
              <w:spacing w:line="274" w:lineRule="exact"/>
              <w:jc w:val="center"/>
              <w:rPr>
                <w:sz w:val="20"/>
                <w:szCs w:val="20"/>
              </w:rPr>
            </w:pPr>
            <w:r>
              <w:rPr>
                <w:rFonts w:hint="eastAsia" w:ascii="宋体" w:hAnsi="宋体" w:cs="宋体"/>
                <w:w w:val="99"/>
                <w:sz w:val="24"/>
                <w:szCs w:val="24"/>
              </w:rPr>
              <w:t>序号</w:t>
            </w:r>
          </w:p>
        </w:tc>
        <w:tc>
          <w:tcPr>
            <w:tcW w:w="710" w:type="dxa"/>
            <w:vMerge w:val="restart"/>
            <w:vAlign w:val="center"/>
          </w:tcPr>
          <w:p w14:paraId="43500CEF">
            <w:pPr>
              <w:spacing w:line="274" w:lineRule="exact"/>
              <w:jc w:val="center"/>
              <w:rPr>
                <w:rFonts w:ascii="宋体"/>
                <w:w w:val="99"/>
                <w:sz w:val="24"/>
                <w:szCs w:val="24"/>
              </w:rPr>
            </w:pPr>
            <w:r>
              <w:rPr>
                <w:rFonts w:hint="eastAsia" w:ascii="宋体" w:hAnsi="宋体" w:cs="宋体"/>
                <w:w w:val="99"/>
                <w:sz w:val="24"/>
                <w:szCs w:val="24"/>
              </w:rPr>
              <w:t>领域</w:t>
            </w:r>
          </w:p>
        </w:tc>
        <w:tc>
          <w:tcPr>
            <w:tcW w:w="3515" w:type="dxa"/>
            <w:gridSpan w:val="2"/>
            <w:vMerge w:val="restart"/>
            <w:vAlign w:val="center"/>
          </w:tcPr>
          <w:p w14:paraId="68BE0F41">
            <w:pPr>
              <w:spacing w:line="274" w:lineRule="exact"/>
              <w:ind w:firstLine="948" w:firstLineChars="400"/>
              <w:rPr>
                <w:rFonts w:ascii="宋体"/>
                <w:w w:val="99"/>
                <w:sz w:val="24"/>
                <w:szCs w:val="24"/>
              </w:rPr>
            </w:pPr>
            <w:r>
              <w:rPr>
                <w:rFonts w:hint="eastAsia" w:ascii="宋体" w:hAnsi="宋体" w:cs="宋体"/>
                <w:w w:val="99"/>
                <w:sz w:val="24"/>
                <w:szCs w:val="24"/>
              </w:rPr>
              <w:t>主要指标</w:t>
            </w:r>
          </w:p>
        </w:tc>
        <w:tc>
          <w:tcPr>
            <w:tcW w:w="813" w:type="dxa"/>
            <w:vMerge w:val="restart"/>
            <w:vAlign w:val="center"/>
          </w:tcPr>
          <w:p w14:paraId="7F24BB85">
            <w:pPr>
              <w:spacing w:line="274" w:lineRule="exact"/>
              <w:jc w:val="center"/>
              <w:rPr>
                <w:sz w:val="20"/>
                <w:szCs w:val="20"/>
              </w:rPr>
            </w:pPr>
            <w:r>
              <w:rPr>
                <w:rFonts w:hint="eastAsia" w:ascii="宋体" w:hAnsi="宋体" w:cs="宋体"/>
                <w:w w:val="95"/>
                <w:sz w:val="24"/>
                <w:szCs w:val="24"/>
              </w:rPr>
              <w:t>单位</w:t>
            </w:r>
          </w:p>
        </w:tc>
        <w:tc>
          <w:tcPr>
            <w:tcW w:w="1151" w:type="dxa"/>
            <w:vMerge w:val="restart"/>
            <w:vAlign w:val="center"/>
          </w:tcPr>
          <w:p w14:paraId="763A1106">
            <w:pPr>
              <w:jc w:val="center"/>
              <w:rPr>
                <w:sz w:val="20"/>
                <w:szCs w:val="20"/>
              </w:rPr>
            </w:pPr>
            <w:r>
              <w:rPr>
                <w:w w:val="99"/>
                <w:sz w:val="24"/>
                <w:szCs w:val="24"/>
              </w:rPr>
              <w:t>2020</w:t>
            </w:r>
          </w:p>
        </w:tc>
        <w:tc>
          <w:tcPr>
            <w:tcW w:w="1319" w:type="dxa"/>
            <w:vMerge w:val="restart"/>
            <w:vAlign w:val="center"/>
          </w:tcPr>
          <w:p w14:paraId="4FDD039C">
            <w:pPr>
              <w:spacing w:line="292" w:lineRule="exact"/>
              <w:jc w:val="center"/>
              <w:rPr>
                <w:sz w:val="20"/>
                <w:szCs w:val="20"/>
              </w:rPr>
            </w:pPr>
            <w:r>
              <w:rPr>
                <w:w w:val="99"/>
                <w:sz w:val="24"/>
                <w:szCs w:val="24"/>
              </w:rPr>
              <w:t xml:space="preserve">2025 </w:t>
            </w:r>
            <w:r>
              <w:rPr>
                <w:rFonts w:hint="eastAsia" w:ascii="宋体" w:hAnsi="宋体" w:cs="宋体"/>
                <w:w w:val="99"/>
                <w:sz w:val="24"/>
                <w:szCs w:val="24"/>
              </w:rPr>
              <w:t>年</w:t>
            </w:r>
          </w:p>
        </w:tc>
        <w:tc>
          <w:tcPr>
            <w:tcW w:w="1050" w:type="dxa"/>
            <w:vMerge w:val="restart"/>
            <w:vAlign w:val="center"/>
          </w:tcPr>
          <w:p w14:paraId="5CB881C3">
            <w:pPr>
              <w:spacing w:line="274" w:lineRule="exact"/>
              <w:jc w:val="center"/>
              <w:rPr>
                <w:sz w:val="20"/>
                <w:szCs w:val="20"/>
              </w:rPr>
            </w:pPr>
            <w:r>
              <w:rPr>
                <w:rFonts w:hint="eastAsia" w:ascii="宋体" w:hAnsi="宋体" w:cs="宋体"/>
                <w:w w:val="99"/>
                <w:sz w:val="24"/>
                <w:szCs w:val="24"/>
              </w:rPr>
              <w:t>指标</w:t>
            </w:r>
          </w:p>
        </w:tc>
        <w:tc>
          <w:tcPr>
            <w:tcW w:w="1555" w:type="dxa"/>
            <w:vAlign w:val="bottom"/>
          </w:tcPr>
          <w:p w14:paraId="1DB9533D">
            <w:pPr>
              <w:rPr>
                <w:sz w:val="2"/>
                <w:szCs w:val="2"/>
              </w:rPr>
            </w:pPr>
          </w:p>
        </w:tc>
      </w:tr>
      <w:tr w14:paraId="6E7AA0DF">
        <w:tblPrEx>
          <w:tblCellMar>
            <w:top w:w="0" w:type="dxa"/>
            <w:left w:w="0" w:type="dxa"/>
            <w:bottom w:w="0" w:type="dxa"/>
            <w:right w:w="0" w:type="dxa"/>
          </w:tblCellMar>
        </w:tblPrEx>
        <w:trPr>
          <w:trHeight w:val="153" w:hRule="atLeast"/>
        </w:trPr>
        <w:tc>
          <w:tcPr>
            <w:tcW w:w="527" w:type="dxa"/>
            <w:vMerge w:val="continue"/>
            <w:vAlign w:val="center"/>
          </w:tcPr>
          <w:p w14:paraId="0A8EE3EA">
            <w:pPr>
              <w:jc w:val="center"/>
              <w:rPr>
                <w:sz w:val="13"/>
                <w:szCs w:val="13"/>
              </w:rPr>
            </w:pPr>
          </w:p>
        </w:tc>
        <w:tc>
          <w:tcPr>
            <w:tcW w:w="710" w:type="dxa"/>
            <w:vMerge w:val="continue"/>
            <w:vAlign w:val="bottom"/>
          </w:tcPr>
          <w:p w14:paraId="54DCAC9E">
            <w:pPr>
              <w:rPr>
                <w:sz w:val="13"/>
                <w:szCs w:val="13"/>
              </w:rPr>
            </w:pPr>
          </w:p>
        </w:tc>
        <w:tc>
          <w:tcPr>
            <w:tcW w:w="3515" w:type="dxa"/>
            <w:gridSpan w:val="2"/>
            <w:vMerge w:val="continue"/>
            <w:vAlign w:val="bottom"/>
          </w:tcPr>
          <w:p w14:paraId="06EC5BEB">
            <w:pPr>
              <w:rPr>
                <w:sz w:val="13"/>
                <w:szCs w:val="13"/>
              </w:rPr>
            </w:pPr>
          </w:p>
        </w:tc>
        <w:tc>
          <w:tcPr>
            <w:tcW w:w="813" w:type="dxa"/>
            <w:vMerge w:val="continue"/>
            <w:vAlign w:val="bottom"/>
          </w:tcPr>
          <w:p w14:paraId="2B19EEEA">
            <w:pPr>
              <w:rPr>
                <w:sz w:val="13"/>
                <w:szCs w:val="13"/>
              </w:rPr>
            </w:pPr>
          </w:p>
        </w:tc>
        <w:tc>
          <w:tcPr>
            <w:tcW w:w="1151" w:type="dxa"/>
            <w:vMerge w:val="continue"/>
            <w:vAlign w:val="center"/>
          </w:tcPr>
          <w:p w14:paraId="2CBD1A35">
            <w:pPr>
              <w:jc w:val="center"/>
              <w:rPr>
                <w:sz w:val="13"/>
                <w:szCs w:val="13"/>
              </w:rPr>
            </w:pPr>
          </w:p>
        </w:tc>
        <w:tc>
          <w:tcPr>
            <w:tcW w:w="1319" w:type="dxa"/>
            <w:vMerge w:val="continue"/>
            <w:vAlign w:val="center"/>
          </w:tcPr>
          <w:p w14:paraId="670C83AD">
            <w:pPr>
              <w:jc w:val="center"/>
              <w:rPr>
                <w:sz w:val="13"/>
                <w:szCs w:val="13"/>
              </w:rPr>
            </w:pPr>
          </w:p>
        </w:tc>
        <w:tc>
          <w:tcPr>
            <w:tcW w:w="1050" w:type="dxa"/>
            <w:vMerge w:val="continue"/>
            <w:vAlign w:val="center"/>
          </w:tcPr>
          <w:p w14:paraId="6B68327E">
            <w:pPr>
              <w:jc w:val="center"/>
              <w:rPr>
                <w:sz w:val="13"/>
                <w:szCs w:val="13"/>
              </w:rPr>
            </w:pPr>
          </w:p>
        </w:tc>
        <w:tc>
          <w:tcPr>
            <w:tcW w:w="1555" w:type="dxa"/>
            <w:vAlign w:val="bottom"/>
          </w:tcPr>
          <w:p w14:paraId="22A1A48E">
            <w:pPr>
              <w:rPr>
                <w:sz w:val="2"/>
                <w:szCs w:val="2"/>
              </w:rPr>
            </w:pPr>
          </w:p>
        </w:tc>
      </w:tr>
      <w:tr w14:paraId="2C888467">
        <w:tblPrEx>
          <w:tblCellMar>
            <w:top w:w="0" w:type="dxa"/>
            <w:left w:w="0" w:type="dxa"/>
            <w:bottom w:w="0" w:type="dxa"/>
            <w:right w:w="0" w:type="dxa"/>
          </w:tblCellMar>
        </w:tblPrEx>
        <w:trPr>
          <w:trHeight w:val="115" w:hRule="atLeast"/>
        </w:trPr>
        <w:tc>
          <w:tcPr>
            <w:tcW w:w="527" w:type="dxa"/>
            <w:vMerge w:val="continue"/>
            <w:tcBorders>
              <w:bottom w:val="single" w:color="auto" w:sz="8" w:space="0"/>
            </w:tcBorders>
            <w:vAlign w:val="center"/>
          </w:tcPr>
          <w:p w14:paraId="29CB2A10">
            <w:pPr>
              <w:jc w:val="center"/>
              <w:rPr>
                <w:sz w:val="23"/>
                <w:szCs w:val="23"/>
              </w:rPr>
            </w:pPr>
          </w:p>
        </w:tc>
        <w:tc>
          <w:tcPr>
            <w:tcW w:w="710" w:type="dxa"/>
            <w:vMerge w:val="continue"/>
            <w:tcBorders>
              <w:bottom w:val="single" w:color="auto" w:sz="8" w:space="0"/>
            </w:tcBorders>
            <w:vAlign w:val="bottom"/>
          </w:tcPr>
          <w:p w14:paraId="13DA55D4">
            <w:pPr>
              <w:rPr>
                <w:sz w:val="23"/>
                <w:szCs w:val="23"/>
              </w:rPr>
            </w:pPr>
          </w:p>
        </w:tc>
        <w:tc>
          <w:tcPr>
            <w:tcW w:w="3515" w:type="dxa"/>
            <w:gridSpan w:val="2"/>
            <w:vMerge w:val="continue"/>
            <w:tcBorders>
              <w:bottom w:val="single" w:color="auto" w:sz="8" w:space="0"/>
            </w:tcBorders>
            <w:vAlign w:val="bottom"/>
          </w:tcPr>
          <w:p w14:paraId="163FA9D5">
            <w:pPr>
              <w:rPr>
                <w:sz w:val="23"/>
                <w:szCs w:val="23"/>
              </w:rPr>
            </w:pPr>
          </w:p>
        </w:tc>
        <w:tc>
          <w:tcPr>
            <w:tcW w:w="813" w:type="dxa"/>
            <w:vMerge w:val="continue"/>
            <w:tcBorders>
              <w:bottom w:val="single" w:color="auto" w:sz="8" w:space="0"/>
            </w:tcBorders>
            <w:vAlign w:val="bottom"/>
          </w:tcPr>
          <w:p w14:paraId="6FB9A708">
            <w:pPr>
              <w:rPr>
                <w:sz w:val="23"/>
                <w:szCs w:val="23"/>
              </w:rPr>
            </w:pPr>
          </w:p>
        </w:tc>
        <w:tc>
          <w:tcPr>
            <w:tcW w:w="1151" w:type="dxa"/>
            <w:tcBorders>
              <w:bottom w:val="single" w:color="auto" w:sz="8" w:space="0"/>
            </w:tcBorders>
            <w:vAlign w:val="center"/>
          </w:tcPr>
          <w:p w14:paraId="201DA536">
            <w:pPr>
              <w:spacing w:line="270" w:lineRule="exact"/>
              <w:jc w:val="center"/>
              <w:rPr>
                <w:sz w:val="20"/>
                <w:szCs w:val="20"/>
              </w:rPr>
            </w:pPr>
            <w:r>
              <w:rPr>
                <w:rFonts w:hint="eastAsia" w:ascii="宋体" w:hAnsi="宋体" w:cs="宋体"/>
                <w:w w:val="99"/>
                <w:sz w:val="24"/>
                <w:szCs w:val="24"/>
              </w:rPr>
              <w:t>年值</w:t>
            </w:r>
          </w:p>
        </w:tc>
        <w:tc>
          <w:tcPr>
            <w:tcW w:w="1319" w:type="dxa"/>
            <w:tcBorders>
              <w:bottom w:val="single" w:color="auto" w:sz="8" w:space="0"/>
            </w:tcBorders>
            <w:vAlign w:val="center"/>
          </w:tcPr>
          <w:p w14:paraId="5F22445D">
            <w:pPr>
              <w:spacing w:line="270" w:lineRule="exact"/>
              <w:jc w:val="center"/>
              <w:rPr>
                <w:sz w:val="20"/>
                <w:szCs w:val="20"/>
              </w:rPr>
            </w:pPr>
            <w:r>
              <w:rPr>
                <w:rFonts w:hint="eastAsia" w:ascii="宋体" w:hAnsi="宋体" w:cs="宋体"/>
                <w:w w:val="97"/>
                <w:sz w:val="24"/>
                <w:szCs w:val="24"/>
              </w:rPr>
              <w:t>目标值</w:t>
            </w:r>
          </w:p>
        </w:tc>
        <w:tc>
          <w:tcPr>
            <w:tcW w:w="1050" w:type="dxa"/>
            <w:tcBorders>
              <w:bottom w:val="single" w:color="auto" w:sz="8" w:space="0"/>
            </w:tcBorders>
            <w:vAlign w:val="center"/>
          </w:tcPr>
          <w:p w14:paraId="4F6867C7">
            <w:pPr>
              <w:spacing w:line="270" w:lineRule="exact"/>
              <w:jc w:val="center"/>
              <w:rPr>
                <w:sz w:val="20"/>
                <w:szCs w:val="20"/>
              </w:rPr>
            </w:pPr>
            <w:r>
              <w:rPr>
                <w:rFonts w:hint="eastAsia" w:ascii="宋体" w:hAnsi="宋体" w:cs="宋体"/>
                <w:w w:val="99"/>
                <w:sz w:val="24"/>
                <w:szCs w:val="24"/>
              </w:rPr>
              <w:t>属性</w:t>
            </w:r>
          </w:p>
        </w:tc>
        <w:tc>
          <w:tcPr>
            <w:tcW w:w="1555" w:type="dxa"/>
            <w:vAlign w:val="bottom"/>
          </w:tcPr>
          <w:p w14:paraId="2C7DAC40">
            <w:pPr>
              <w:rPr>
                <w:sz w:val="2"/>
                <w:szCs w:val="2"/>
              </w:rPr>
            </w:pPr>
          </w:p>
        </w:tc>
      </w:tr>
      <w:tr w14:paraId="585162BF">
        <w:tblPrEx>
          <w:tblCellMar>
            <w:top w:w="0" w:type="dxa"/>
            <w:left w:w="0" w:type="dxa"/>
            <w:bottom w:w="0" w:type="dxa"/>
            <w:right w:w="0" w:type="dxa"/>
          </w:tblCellMar>
        </w:tblPrEx>
        <w:trPr>
          <w:trHeight w:val="356" w:hRule="atLeast"/>
        </w:trPr>
        <w:tc>
          <w:tcPr>
            <w:tcW w:w="527" w:type="dxa"/>
            <w:vAlign w:val="bottom"/>
          </w:tcPr>
          <w:p w14:paraId="032211B2">
            <w:pPr>
              <w:spacing w:line="274" w:lineRule="exact"/>
              <w:jc w:val="center"/>
              <w:rPr>
                <w:sz w:val="20"/>
                <w:szCs w:val="20"/>
              </w:rPr>
            </w:pPr>
            <w:r>
              <w:rPr>
                <w:rFonts w:ascii="仿宋" w:hAnsi="仿宋" w:eastAsia="仿宋" w:cs="仿宋"/>
                <w:w w:val="99"/>
                <w:sz w:val="24"/>
                <w:szCs w:val="24"/>
              </w:rPr>
              <w:t>1</w:t>
            </w:r>
          </w:p>
        </w:tc>
        <w:tc>
          <w:tcPr>
            <w:tcW w:w="710" w:type="dxa"/>
            <w:vMerge w:val="restart"/>
            <w:vAlign w:val="center"/>
          </w:tcPr>
          <w:p w14:paraId="754041D2">
            <w:pPr>
              <w:spacing w:line="274" w:lineRule="exact"/>
              <w:ind w:left="160"/>
              <w:jc w:val="center"/>
              <w:rPr>
                <w:sz w:val="20"/>
                <w:szCs w:val="20"/>
              </w:rPr>
            </w:pPr>
            <w:r>
              <w:rPr>
                <w:rFonts w:hint="eastAsia" w:ascii="仿宋" w:hAnsi="仿宋" w:eastAsia="仿宋" w:cs="仿宋"/>
                <w:sz w:val="24"/>
                <w:szCs w:val="24"/>
              </w:rPr>
              <w:t>健康</w:t>
            </w:r>
          </w:p>
          <w:p w14:paraId="2A687ADE">
            <w:pPr>
              <w:spacing w:line="274" w:lineRule="exact"/>
              <w:ind w:left="160"/>
              <w:jc w:val="center"/>
              <w:rPr>
                <w:sz w:val="20"/>
                <w:szCs w:val="20"/>
              </w:rPr>
            </w:pPr>
            <w:r>
              <w:rPr>
                <w:rFonts w:hint="eastAsia" w:ascii="仿宋" w:hAnsi="仿宋" w:eastAsia="仿宋" w:cs="仿宋"/>
                <w:sz w:val="24"/>
                <w:szCs w:val="24"/>
              </w:rPr>
              <w:t>水平</w:t>
            </w:r>
          </w:p>
        </w:tc>
        <w:tc>
          <w:tcPr>
            <w:tcW w:w="3515" w:type="dxa"/>
            <w:gridSpan w:val="2"/>
            <w:vAlign w:val="bottom"/>
          </w:tcPr>
          <w:p w14:paraId="59A11E12">
            <w:pPr>
              <w:spacing w:line="274" w:lineRule="exact"/>
              <w:ind w:left="140"/>
              <w:rPr>
                <w:sz w:val="20"/>
                <w:szCs w:val="20"/>
              </w:rPr>
            </w:pPr>
            <w:r>
              <w:rPr>
                <w:rFonts w:hint="eastAsia" w:ascii="仿宋" w:hAnsi="仿宋" w:eastAsia="仿宋" w:cs="仿宋"/>
                <w:sz w:val="24"/>
                <w:szCs w:val="24"/>
              </w:rPr>
              <w:t>人均预期寿命</w:t>
            </w:r>
          </w:p>
        </w:tc>
        <w:tc>
          <w:tcPr>
            <w:tcW w:w="813" w:type="dxa"/>
            <w:vAlign w:val="bottom"/>
          </w:tcPr>
          <w:p w14:paraId="2B0B59F2">
            <w:pPr>
              <w:spacing w:line="274" w:lineRule="exact"/>
              <w:jc w:val="center"/>
              <w:rPr>
                <w:sz w:val="20"/>
                <w:szCs w:val="20"/>
              </w:rPr>
            </w:pPr>
            <w:r>
              <w:rPr>
                <w:rFonts w:hint="eastAsia" w:ascii="仿宋" w:hAnsi="仿宋" w:eastAsia="仿宋" w:cs="仿宋"/>
                <w:w w:val="99"/>
                <w:sz w:val="24"/>
                <w:szCs w:val="24"/>
              </w:rPr>
              <w:t>岁</w:t>
            </w:r>
          </w:p>
        </w:tc>
        <w:tc>
          <w:tcPr>
            <w:tcW w:w="1151" w:type="dxa"/>
            <w:vAlign w:val="bottom"/>
          </w:tcPr>
          <w:p w14:paraId="1D38F077">
            <w:pPr>
              <w:spacing w:line="320" w:lineRule="exact"/>
              <w:jc w:val="center"/>
              <w:rPr>
                <w:sz w:val="20"/>
                <w:szCs w:val="20"/>
              </w:rPr>
            </w:pPr>
            <w:r>
              <w:rPr>
                <w:sz w:val="20"/>
                <w:szCs w:val="20"/>
              </w:rPr>
              <w:t>76.46</w:t>
            </w:r>
          </w:p>
        </w:tc>
        <w:tc>
          <w:tcPr>
            <w:tcW w:w="1319" w:type="dxa"/>
            <w:vAlign w:val="bottom"/>
          </w:tcPr>
          <w:p w14:paraId="6FD1281B">
            <w:pPr>
              <w:spacing w:line="274" w:lineRule="exact"/>
              <w:jc w:val="center"/>
              <w:rPr>
                <w:sz w:val="20"/>
                <w:szCs w:val="20"/>
              </w:rPr>
            </w:pPr>
            <w:r>
              <w:rPr>
                <w:rFonts w:ascii="仿宋" w:hAnsi="仿宋" w:eastAsia="仿宋" w:cs="仿宋"/>
                <w:w w:val="95"/>
                <w:sz w:val="24"/>
                <w:szCs w:val="24"/>
              </w:rPr>
              <w:t>78.2</w:t>
            </w:r>
          </w:p>
        </w:tc>
        <w:tc>
          <w:tcPr>
            <w:tcW w:w="1050" w:type="dxa"/>
            <w:vAlign w:val="bottom"/>
          </w:tcPr>
          <w:p w14:paraId="33E3A361">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14:paraId="293C4ED1">
            <w:pPr>
              <w:rPr>
                <w:sz w:val="2"/>
                <w:szCs w:val="2"/>
              </w:rPr>
            </w:pPr>
          </w:p>
        </w:tc>
      </w:tr>
      <w:tr w14:paraId="2F4AE0F1">
        <w:tblPrEx>
          <w:tblCellMar>
            <w:top w:w="0" w:type="dxa"/>
            <w:left w:w="0" w:type="dxa"/>
            <w:bottom w:w="0" w:type="dxa"/>
            <w:right w:w="0" w:type="dxa"/>
          </w:tblCellMar>
        </w:tblPrEx>
        <w:trPr>
          <w:trHeight w:val="90" w:hRule="atLeast"/>
        </w:trPr>
        <w:tc>
          <w:tcPr>
            <w:tcW w:w="527" w:type="dxa"/>
            <w:vAlign w:val="bottom"/>
          </w:tcPr>
          <w:p w14:paraId="67D41E0B">
            <w:pPr>
              <w:spacing w:line="274" w:lineRule="exact"/>
              <w:jc w:val="center"/>
              <w:rPr>
                <w:sz w:val="20"/>
                <w:szCs w:val="20"/>
              </w:rPr>
            </w:pPr>
            <w:r>
              <w:rPr>
                <w:rFonts w:ascii="仿宋" w:hAnsi="仿宋" w:eastAsia="仿宋" w:cs="仿宋"/>
                <w:w w:val="99"/>
                <w:sz w:val="24"/>
                <w:szCs w:val="24"/>
              </w:rPr>
              <w:t>2</w:t>
            </w:r>
          </w:p>
        </w:tc>
        <w:tc>
          <w:tcPr>
            <w:tcW w:w="710" w:type="dxa"/>
            <w:vMerge w:val="continue"/>
            <w:vAlign w:val="center"/>
          </w:tcPr>
          <w:p w14:paraId="4873044D">
            <w:pPr>
              <w:jc w:val="center"/>
              <w:rPr>
                <w:sz w:val="24"/>
                <w:szCs w:val="24"/>
              </w:rPr>
            </w:pPr>
          </w:p>
        </w:tc>
        <w:tc>
          <w:tcPr>
            <w:tcW w:w="3515" w:type="dxa"/>
            <w:gridSpan w:val="2"/>
            <w:vAlign w:val="bottom"/>
          </w:tcPr>
          <w:p w14:paraId="37578D0B">
            <w:pPr>
              <w:spacing w:line="274" w:lineRule="exact"/>
              <w:ind w:left="140"/>
              <w:rPr>
                <w:sz w:val="20"/>
                <w:szCs w:val="20"/>
              </w:rPr>
            </w:pPr>
            <w:r>
              <w:rPr>
                <w:rFonts w:hint="eastAsia" w:ascii="仿宋" w:hAnsi="仿宋" w:eastAsia="仿宋" w:cs="仿宋"/>
                <w:sz w:val="24"/>
                <w:szCs w:val="24"/>
              </w:rPr>
              <w:t>健康预期寿命</w:t>
            </w:r>
          </w:p>
        </w:tc>
        <w:tc>
          <w:tcPr>
            <w:tcW w:w="813" w:type="dxa"/>
            <w:vAlign w:val="bottom"/>
          </w:tcPr>
          <w:p w14:paraId="42DA0404">
            <w:pPr>
              <w:spacing w:line="274" w:lineRule="exact"/>
              <w:jc w:val="center"/>
              <w:rPr>
                <w:sz w:val="20"/>
                <w:szCs w:val="20"/>
              </w:rPr>
            </w:pPr>
            <w:r>
              <w:rPr>
                <w:rFonts w:hint="eastAsia" w:ascii="仿宋" w:hAnsi="仿宋" w:eastAsia="仿宋" w:cs="仿宋"/>
                <w:w w:val="99"/>
                <w:sz w:val="24"/>
                <w:szCs w:val="24"/>
              </w:rPr>
              <w:t>岁</w:t>
            </w:r>
          </w:p>
        </w:tc>
        <w:tc>
          <w:tcPr>
            <w:tcW w:w="1151" w:type="dxa"/>
            <w:vAlign w:val="bottom"/>
          </w:tcPr>
          <w:p w14:paraId="09B5A8EC">
            <w:pPr>
              <w:spacing w:line="274" w:lineRule="exact"/>
              <w:jc w:val="center"/>
              <w:rPr>
                <w:sz w:val="20"/>
                <w:szCs w:val="20"/>
              </w:rPr>
            </w:pPr>
            <w:r>
              <w:rPr>
                <w:rFonts w:ascii="仿宋" w:hAnsi="仿宋" w:eastAsia="仿宋" w:cs="仿宋"/>
                <w:b/>
                <w:bCs/>
                <w:w w:val="99"/>
                <w:sz w:val="24"/>
                <w:szCs w:val="24"/>
              </w:rPr>
              <w:t>-</w:t>
            </w:r>
          </w:p>
        </w:tc>
        <w:tc>
          <w:tcPr>
            <w:tcW w:w="1319" w:type="dxa"/>
            <w:vAlign w:val="bottom"/>
          </w:tcPr>
          <w:p w14:paraId="437B855A">
            <w:pPr>
              <w:spacing w:line="274" w:lineRule="exact"/>
              <w:jc w:val="center"/>
              <w:rPr>
                <w:spacing w:val="-12"/>
                <w:sz w:val="20"/>
                <w:szCs w:val="20"/>
              </w:rPr>
            </w:pPr>
            <w:r>
              <w:rPr>
                <w:rFonts w:hint="eastAsia" w:ascii="仿宋" w:hAnsi="仿宋" w:eastAsia="仿宋" w:cs="仿宋"/>
                <w:spacing w:val="-12"/>
                <w:w w:val="98"/>
                <w:sz w:val="24"/>
                <w:szCs w:val="24"/>
              </w:rPr>
              <w:t>同比例提高</w:t>
            </w:r>
          </w:p>
        </w:tc>
        <w:tc>
          <w:tcPr>
            <w:tcW w:w="1050" w:type="dxa"/>
            <w:vAlign w:val="bottom"/>
          </w:tcPr>
          <w:p w14:paraId="5CE461E2">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14:paraId="518F28C3">
            <w:pPr>
              <w:rPr>
                <w:sz w:val="2"/>
                <w:szCs w:val="2"/>
              </w:rPr>
            </w:pPr>
          </w:p>
        </w:tc>
      </w:tr>
      <w:tr w14:paraId="618CCA81">
        <w:tblPrEx>
          <w:tblCellMar>
            <w:top w:w="0" w:type="dxa"/>
            <w:left w:w="0" w:type="dxa"/>
            <w:bottom w:w="0" w:type="dxa"/>
            <w:right w:w="0" w:type="dxa"/>
          </w:tblCellMar>
        </w:tblPrEx>
        <w:trPr>
          <w:trHeight w:val="442" w:hRule="atLeast"/>
        </w:trPr>
        <w:tc>
          <w:tcPr>
            <w:tcW w:w="527" w:type="dxa"/>
            <w:vAlign w:val="bottom"/>
          </w:tcPr>
          <w:p w14:paraId="70804626">
            <w:pPr>
              <w:spacing w:line="274" w:lineRule="exact"/>
              <w:jc w:val="center"/>
              <w:rPr>
                <w:sz w:val="20"/>
                <w:szCs w:val="20"/>
              </w:rPr>
            </w:pPr>
            <w:r>
              <w:rPr>
                <w:rFonts w:ascii="仿宋" w:hAnsi="仿宋" w:eastAsia="仿宋" w:cs="仿宋"/>
                <w:w w:val="99"/>
                <w:sz w:val="24"/>
                <w:szCs w:val="24"/>
              </w:rPr>
              <w:t>3</w:t>
            </w:r>
          </w:p>
        </w:tc>
        <w:tc>
          <w:tcPr>
            <w:tcW w:w="710" w:type="dxa"/>
            <w:vMerge w:val="continue"/>
            <w:vAlign w:val="center"/>
          </w:tcPr>
          <w:p w14:paraId="19E2ECB9">
            <w:pPr>
              <w:spacing w:line="274" w:lineRule="exact"/>
              <w:ind w:left="160"/>
              <w:jc w:val="center"/>
              <w:rPr>
                <w:sz w:val="20"/>
                <w:szCs w:val="20"/>
              </w:rPr>
            </w:pPr>
          </w:p>
        </w:tc>
        <w:tc>
          <w:tcPr>
            <w:tcW w:w="3515" w:type="dxa"/>
            <w:gridSpan w:val="2"/>
            <w:vAlign w:val="bottom"/>
          </w:tcPr>
          <w:p w14:paraId="4AEA3D3D">
            <w:pPr>
              <w:spacing w:line="274" w:lineRule="exact"/>
              <w:ind w:left="140"/>
              <w:rPr>
                <w:color w:val="FF0000"/>
                <w:sz w:val="20"/>
                <w:szCs w:val="20"/>
              </w:rPr>
            </w:pPr>
            <w:r>
              <w:rPr>
                <w:rFonts w:hint="eastAsia" w:ascii="仿宋" w:hAnsi="仿宋" w:eastAsia="仿宋" w:cs="仿宋"/>
                <w:color w:val="000000"/>
                <w:sz w:val="24"/>
                <w:szCs w:val="24"/>
              </w:rPr>
              <w:t>孕产妇死亡率</w:t>
            </w:r>
          </w:p>
        </w:tc>
        <w:tc>
          <w:tcPr>
            <w:tcW w:w="813" w:type="dxa"/>
            <w:vAlign w:val="bottom"/>
          </w:tcPr>
          <w:p w14:paraId="531693D3">
            <w:pPr>
              <w:spacing w:line="274" w:lineRule="exact"/>
              <w:jc w:val="center"/>
              <w:rPr>
                <w:sz w:val="20"/>
                <w:szCs w:val="20"/>
              </w:rPr>
            </w:pPr>
            <w:r>
              <w:rPr>
                <w:rFonts w:ascii="仿宋" w:hAnsi="仿宋" w:eastAsia="仿宋" w:cs="仿宋"/>
                <w:w w:val="92"/>
                <w:sz w:val="24"/>
                <w:szCs w:val="24"/>
              </w:rPr>
              <w:t>1/10</w:t>
            </w:r>
            <w:r>
              <w:rPr>
                <w:rFonts w:hint="eastAsia" w:ascii="仿宋" w:hAnsi="仿宋" w:eastAsia="仿宋" w:cs="仿宋"/>
                <w:w w:val="92"/>
                <w:sz w:val="24"/>
                <w:szCs w:val="24"/>
              </w:rPr>
              <w:t>万</w:t>
            </w:r>
            <w:r>
              <w:rPr>
                <w:rFonts w:ascii="仿宋" w:hAnsi="仿宋" w:eastAsia="仿宋" w:cs="仿宋"/>
                <w:w w:val="92"/>
                <w:sz w:val="24"/>
                <w:szCs w:val="24"/>
              </w:rPr>
              <w:t xml:space="preserve"> </w:t>
            </w:r>
          </w:p>
        </w:tc>
        <w:tc>
          <w:tcPr>
            <w:tcW w:w="1151" w:type="dxa"/>
            <w:vAlign w:val="bottom"/>
          </w:tcPr>
          <w:p w14:paraId="38D01875">
            <w:pPr>
              <w:spacing w:line="274" w:lineRule="exact"/>
              <w:jc w:val="center"/>
              <w:rPr>
                <w:color w:val="000000"/>
                <w:sz w:val="20"/>
                <w:szCs w:val="20"/>
              </w:rPr>
            </w:pPr>
            <w:r>
              <w:rPr>
                <w:color w:val="000000"/>
                <w:sz w:val="20"/>
                <w:szCs w:val="20"/>
              </w:rPr>
              <w:t>44.5</w:t>
            </w:r>
          </w:p>
        </w:tc>
        <w:tc>
          <w:tcPr>
            <w:tcW w:w="1319" w:type="dxa"/>
            <w:vAlign w:val="bottom"/>
          </w:tcPr>
          <w:p w14:paraId="7EFF0F14">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17</w:t>
            </w:r>
          </w:p>
        </w:tc>
        <w:tc>
          <w:tcPr>
            <w:tcW w:w="1050" w:type="dxa"/>
            <w:vAlign w:val="bottom"/>
          </w:tcPr>
          <w:p w14:paraId="720AEACF">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14:paraId="112EAA89">
            <w:pPr>
              <w:rPr>
                <w:sz w:val="2"/>
                <w:szCs w:val="2"/>
              </w:rPr>
            </w:pPr>
          </w:p>
        </w:tc>
      </w:tr>
      <w:tr w14:paraId="6784EC12">
        <w:tblPrEx>
          <w:tblCellMar>
            <w:top w:w="0" w:type="dxa"/>
            <w:left w:w="0" w:type="dxa"/>
            <w:bottom w:w="0" w:type="dxa"/>
            <w:right w:w="0" w:type="dxa"/>
          </w:tblCellMar>
        </w:tblPrEx>
        <w:trPr>
          <w:trHeight w:val="310" w:hRule="atLeast"/>
        </w:trPr>
        <w:tc>
          <w:tcPr>
            <w:tcW w:w="527" w:type="dxa"/>
            <w:vMerge w:val="restart"/>
            <w:vAlign w:val="bottom"/>
          </w:tcPr>
          <w:p w14:paraId="4F3305E4">
            <w:pPr>
              <w:spacing w:line="274" w:lineRule="exact"/>
              <w:jc w:val="center"/>
              <w:rPr>
                <w:sz w:val="20"/>
                <w:szCs w:val="20"/>
              </w:rPr>
            </w:pPr>
            <w:r>
              <w:rPr>
                <w:rFonts w:ascii="仿宋" w:hAnsi="仿宋" w:eastAsia="仿宋" w:cs="仿宋"/>
                <w:w w:val="99"/>
                <w:sz w:val="24"/>
                <w:szCs w:val="24"/>
              </w:rPr>
              <w:t>4</w:t>
            </w:r>
          </w:p>
        </w:tc>
        <w:tc>
          <w:tcPr>
            <w:tcW w:w="710" w:type="dxa"/>
            <w:vMerge w:val="continue"/>
            <w:vAlign w:val="center"/>
          </w:tcPr>
          <w:p w14:paraId="5CACA914">
            <w:pPr>
              <w:spacing w:line="274" w:lineRule="exact"/>
              <w:ind w:left="160"/>
              <w:jc w:val="center"/>
              <w:rPr>
                <w:sz w:val="20"/>
                <w:szCs w:val="20"/>
              </w:rPr>
            </w:pPr>
          </w:p>
        </w:tc>
        <w:tc>
          <w:tcPr>
            <w:tcW w:w="3515" w:type="dxa"/>
            <w:gridSpan w:val="2"/>
            <w:vMerge w:val="restart"/>
            <w:vAlign w:val="bottom"/>
          </w:tcPr>
          <w:p w14:paraId="2D33850B">
            <w:pPr>
              <w:spacing w:line="274" w:lineRule="exact"/>
              <w:ind w:left="140"/>
              <w:rPr>
                <w:color w:val="000000"/>
                <w:sz w:val="20"/>
                <w:szCs w:val="20"/>
              </w:rPr>
            </w:pPr>
            <w:r>
              <w:rPr>
                <w:rFonts w:hint="eastAsia" w:ascii="仿宋" w:hAnsi="仿宋" w:eastAsia="仿宋" w:cs="仿宋"/>
                <w:color w:val="000000"/>
                <w:sz w:val="24"/>
                <w:szCs w:val="24"/>
              </w:rPr>
              <w:t>婴儿死亡率</w:t>
            </w:r>
          </w:p>
        </w:tc>
        <w:tc>
          <w:tcPr>
            <w:tcW w:w="813" w:type="dxa"/>
            <w:vMerge w:val="restart"/>
            <w:vAlign w:val="bottom"/>
          </w:tcPr>
          <w:p w14:paraId="7AFC20AB">
            <w:pPr>
              <w:spacing w:line="274" w:lineRule="exact"/>
              <w:jc w:val="center"/>
              <w:rPr>
                <w:color w:val="000000"/>
                <w:sz w:val="20"/>
                <w:szCs w:val="20"/>
              </w:rPr>
            </w:pPr>
            <w:r>
              <w:rPr>
                <w:rFonts w:hint="eastAsia" w:ascii="仿宋" w:hAnsi="仿宋" w:eastAsia="仿宋" w:cs="仿宋"/>
                <w:color w:val="000000"/>
                <w:w w:val="99"/>
                <w:sz w:val="24"/>
                <w:szCs w:val="24"/>
              </w:rPr>
              <w:t>‰</w:t>
            </w:r>
          </w:p>
        </w:tc>
        <w:tc>
          <w:tcPr>
            <w:tcW w:w="1151" w:type="dxa"/>
            <w:vMerge w:val="restart"/>
            <w:vAlign w:val="bottom"/>
          </w:tcPr>
          <w:p w14:paraId="35C4DA1A">
            <w:pPr>
              <w:spacing w:line="274" w:lineRule="exact"/>
              <w:jc w:val="center"/>
              <w:rPr>
                <w:color w:val="000000"/>
                <w:sz w:val="20"/>
                <w:szCs w:val="20"/>
              </w:rPr>
            </w:pPr>
            <w:r>
              <w:rPr>
                <w:color w:val="000000"/>
                <w:sz w:val="20"/>
                <w:szCs w:val="20"/>
              </w:rPr>
              <w:t>3.56</w:t>
            </w:r>
          </w:p>
        </w:tc>
        <w:tc>
          <w:tcPr>
            <w:tcW w:w="1319" w:type="dxa"/>
            <w:vMerge w:val="restart"/>
            <w:vAlign w:val="bottom"/>
          </w:tcPr>
          <w:p w14:paraId="11519E63">
            <w:pPr>
              <w:spacing w:line="274" w:lineRule="exact"/>
              <w:jc w:val="center"/>
              <w:rPr>
                <w:color w:val="000000"/>
                <w:sz w:val="20"/>
                <w:szCs w:val="20"/>
              </w:rPr>
            </w:pPr>
            <w:r>
              <w:rPr>
                <w:rFonts w:hint="eastAsia" w:ascii="仿宋" w:hAnsi="仿宋" w:eastAsia="仿宋" w:cs="仿宋"/>
                <w:color w:val="000000"/>
                <w:w w:val="94"/>
                <w:sz w:val="24"/>
                <w:szCs w:val="24"/>
              </w:rPr>
              <w:t>≤</w:t>
            </w:r>
            <w:r>
              <w:rPr>
                <w:rFonts w:ascii="仿宋" w:hAnsi="仿宋" w:eastAsia="仿宋" w:cs="仿宋"/>
                <w:color w:val="000000"/>
                <w:w w:val="94"/>
                <w:sz w:val="24"/>
                <w:szCs w:val="24"/>
              </w:rPr>
              <w:t>3</w:t>
            </w:r>
          </w:p>
        </w:tc>
        <w:tc>
          <w:tcPr>
            <w:tcW w:w="1050" w:type="dxa"/>
            <w:vMerge w:val="restart"/>
            <w:vAlign w:val="bottom"/>
          </w:tcPr>
          <w:p w14:paraId="39C8B9D5">
            <w:pPr>
              <w:spacing w:line="274" w:lineRule="exact"/>
              <w:jc w:val="center"/>
              <w:rPr>
                <w:color w:val="000000"/>
                <w:sz w:val="20"/>
                <w:szCs w:val="20"/>
              </w:rPr>
            </w:pPr>
            <w:r>
              <w:rPr>
                <w:rFonts w:hint="eastAsia" w:ascii="仿宋" w:hAnsi="仿宋" w:eastAsia="仿宋" w:cs="仿宋"/>
                <w:color w:val="000000"/>
                <w:w w:val="99"/>
                <w:sz w:val="24"/>
                <w:szCs w:val="24"/>
              </w:rPr>
              <w:t>预期性</w:t>
            </w:r>
          </w:p>
        </w:tc>
        <w:tc>
          <w:tcPr>
            <w:tcW w:w="1555" w:type="dxa"/>
            <w:vAlign w:val="bottom"/>
          </w:tcPr>
          <w:p w14:paraId="01F47E7B">
            <w:pPr>
              <w:rPr>
                <w:sz w:val="2"/>
                <w:szCs w:val="2"/>
              </w:rPr>
            </w:pPr>
          </w:p>
        </w:tc>
      </w:tr>
      <w:tr w14:paraId="29B3E94F">
        <w:tblPrEx>
          <w:tblCellMar>
            <w:top w:w="0" w:type="dxa"/>
            <w:left w:w="0" w:type="dxa"/>
            <w:bottom w:w="0" w:type="dxa"/>
            <w:right w:w="0" w:type="dxa"/>
          </w:tblCellMar>
        </w:tblPrEx>
        <w:trPr>
          <w:trHeight w:val="72" w:hRule="atLeast"/>
        </w:trPr>
        <w:tc>
          <w:tcPr>
            <w:tcW w:w="527" w:type="dxa"/>
            <w:vMerge w:val="continue"/>
            <w:vAlign w:val="bottom"/>
          </w:tcPr>
          <w:p w14:paraId="277316B4">
            <w:pPr>
              <w:rPr>
                <w:sz w:val="6"/>
                <w:szCs w:val="6"/>
              </w:rPr>
            </w:pPr>
          </w:p>
        </w:tc>
        <w:tc>
          <w:tcPr>
            <w:tcW w:w="710" w:type="dxa"/>
            <w:vMerge w:val="continue"/>
            <w:vAlign w:val="center"/>
          </w:tcPr>
          <w:p w14:paraId="5C41803A">
            <w:pPr>
              <w:jc w:val="center"/>
              <w:rPr>
                <w:sz w:val="6"/>
                <w:szCs w:val="6"/>
              </w:rPr>
            </w:pPr>
          </w:p>
        </w:tc>
        <w:tc>
          <w:tcPr>
            <w:tcW w:w="3515" w:type="dxa"/>
            <w:gridSpan w:val="2"/>
            <w:vMerge w:val="continue"/>
            <w:vAlign w:val="bottom"/>
          </w:tcPr>
          <w:p w14:paraId="10364182">
            <w:pPr>
              <w:rPr>
                <w:color w:val="000000"/>
                <w:sz w:val="6"/>
                <w:szCs w:val="6"/>
              </w:rPr>
            </w:pPr>
          </w:p>
        </w:tc>
        <w:tc>
          <w:tcPr>
            <w:tcW w:w="813" w:type="dxa"/>
            <w:vMerge w:val="continue"/>
            <w:vAlign w:val="bottom"/>
          </w:tcPr>
          <w:p w14:paraId="469EFD59">
            <w:pPr>
              <w:rPr>
                <w:color w:val="000000"/>
                <w:sz w:val="6"/>
                <w:szCs w:val="6"/>
              </w:rPr>
            </w:pPr>
          </w:p>
        </w:tc>
        <w:tc>
          <w:tcPr>
            <w:tcW w:w="1151" w:type="dxa"/>
            <w:vMerge w:val="continue"/>
            <w:vAlign w:val="bottom"/>
          </w:tcPr>
          <w:p w14:paraId="55E24BCD">
            <w:pPr>
              <w:rPr>
                <w:color w:val="000000"/>
                <w:sz w:val="6"/>
                <w:szCs w:val="6"/>
              </w:rPr>
            </w:pPr>
          </w:p>
        </w:tc>
        <w:tc>
          <w:tcPr>
            <w:tcW w:w="1319" w:type="dxa"/>
            <w:vMerge w:val="continue"/>
            <w:vAlign w:val="bottom"/>
          </w:tcPr>
          <w:p w14:paraId="19AE1ADC">
            <w:pPr>
              <w:rPr>
                <w:color w:val="000000"/>
                <w:sz w:val="6"/>
                <w:szCs w:val="6"/>
              </w:rPr>
            </w:pPr>
          </w:p>
        </w:tc>
        <w:tc>
          <w:tcPr>
            <w:tcW w:w="1050" w:type="dxa"/>
            <w:vMerge w:val="continue"/>
            <w:vAlign w:val="bottom"/>
          </w:tcPr>
          <w:p w14:paraId="0AE84538">
            <w:pPr>
              <w:rPr>
                <w:color w:val="000000"/>
                <w:sz w:val="6"/>
                <w:szCs w:val="6"/>
              </w:rPr>
            </w:pPr>
          </w:p>
        </w:tc>
        <w:tc>
          <w:tcPr>
            <w:tcW w:w="1555" w:type="dxa"/>
            <w:vAlign w:val="bottom"/>
          </w:tcPr>
          <w:p w14:paraId="720A2300">
            <w:pPr>
              <w:rPr>
                <w:sz w:val="2"/>
                <w:szCs w:val="2"/>
              </w:rPr>
            </w:pPr>
          </w:p>
        </w:tc>
      </w:tr>
      <w:tr w14:paraId="06429BA8">
        <w:tblPrEx>
          <w:tblCellMar>
            <w:top w:w="0" w:type="dxa"/>
            <w:left w:w="0" w:type="dxa"/>
            <w:bottom w:w="0" w:type="dxa"/>
            <w:right w:w="0" w:type="dxa"/>
          </w:tblCellMar>
        </w:tblPrEx>
        <w:trPr>
          <w:trHeight w:val="408" w:hRule="atLeast"/>
        </w:trPr>
        <w:tc>
          <w:tcPr>
            <w:tcW w:w="527" w:type="dxa"/>
            <w:vAlign w:val="bottom"/>
          </w:tcPr>
          <w:p w14:paraId="6D8C72A4">
            <w:pPr>
              <w:spacing w:line="274" w:lineRule="exact"/>
              <w:jc w:val="center"/>
              <w:rPr>
                <w:sz w:val="20"/>
                <w:szCs w:val="20"/>
              </w:rPr>
            </w:pPr>
            <w:r>
              <w:rPr>
                <w:rFonts w:ascii="仿宋" w:hAnsi="仿宋" w:eastAsia="仿宋" w:cs="仿宋"/>
                <w:w w:val="99"/>
                <w:sz w:val="24"/>
                <w:szCs w:val="24"/>
              </w:rPr>
              <w:t>5</w:t>
            </w:r>
          </w:p>
        </w:tc>
        <w:tc>
          <w:tcPr>
            <w:tcW w:w="710" w:type="dxa"/>
            <w:vMerge w:val="continue"/>
            <w:vAlign w:val="center"/>
          </w:tcPr>
          <w:p w14:paraId="6C8C78DD">
            <w:pPr>
              <w:jc w:val="center"/>
              <w:rPr>
                <w:sz w:val="24"/>
                <w:szCs w:val="24"/>
              </w:rPr>
            </w:pPr>
          </w:p>
        </w:tc>
        <w:tc>
          <w:tcPr>
            <w:tcW w:w="3515" w:type="dxa"/>
            <w:gridSpan w:val="2"/>
            <w:vAlign w:val="bottom"/>
          </w:tcPr>
          <w:p w14:paraId="0B66405A">
            <w:pPr>
              <w:spacing w:line="274" w:lineRule="exact"/>
              <w:ind w:left="140"/>
              <w:rPr>
                <w:color w:val="000000"/>
                <w:sz w:val="20"/>
                <w:szCs w:val="20"/>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岁以下儿童死亡率</w:t>
            </w:r>
          </w:p>
        </w:tc>
        <w:tc>
          <w:tcPr>
            <w:tcW w:w="813" w:type="dxa"/>
            <w:vAlign w:val="bottom"/>
          </w:tcPr>
          <w:p w14:paraId="00243C5A">
            <w:pPr>
              <w:spacing w:line="274" w:lineRule="exact"/>
              <w:jc w:val="center"/>
              <w:rPr>
                <w:color w:val="000000"/>
                <w:sz w:val="20"/>
                <w:szCs w:val="20"/>
              </w:rPr>
            </w:pPr>
            <w:r>
              <w:rPr>
                <w:rFonts w:hint="eastAsia" w:ascii="仿宋" w:hAnsi="仿宋" w:eastAsia="仿宋" w:cs="仿宋"/>
                <w:color w:val="000000"/>
                <w:w w:val="99"/>
                <w:sz w:val="24"/>
                <w:szCs w:val="24"/>
              </w:rPr>
              <w:t>‰</w:t>
            </w:r>
          </w:p>
        </w:tc>
        <w:tc>
          <w:tcPr>
            <w:tcW w:w="1151" w:type="dxa"/>
            <w:vAlign w:val="bottom"/>
          </w:tcPr>
          <w:p w14:paraId="1C3025BB">
            <w:pPr>
              <w:spacing w:line="274" w:lineRule="exact"/>
              <w:jc w:val="center"/>
              <w:rPr>
                <w:color w:val="000000"/>
                <w:sz w:val="20"/>
                <w:szCs w:val="20"/>
              </w:rPr>
            </w:pPr>
            <w:r>
              <w:rPr>
                <w:rFonts w:ascii="仿宋" w:hAnsi="仿宋" w:eastAsia="仿宋" w:cs="仿宋"/>
                <w:color w:val="000000"/>
                <w:w w:val="99"/>
                <w:sz w:val="24"/>
                <w:szCs w:val="24"/>
              </w:rPr>
              <w:t>5.79</w:t>
            </w:r>
          </w:p>
        </w:tc>
        <w:tc>
          <w:tcPr>
            <w:tcW w:w="1319" w:type="dxa"/>
            <w:vAlign w:val="bottom"/>
          </w:tcPr>
          <w:p w14:paraId="3BE07166">
            <w:pPr>
              <w:spacing w:line="274" w:lineRule="exact"/>
              <w:jc w:val="center"/>
              <w:rPr>
                <w:color w:val="000000"/>
                <w:sz w:val="20"/>
                <w:szCs w:val="20"/>
              </w:rPr>
            </w:pPr>
            <w:r>
              <w:rPr>
                <w:rFonts w:hint="eastAsia" w:ascii="仿宋" w:hAnsi="仿宋" w:eastAsia="仿宋" w:cs="仿宋"/>
                <w:color w:val="000000"/>
                <w:w w:val="94"/>
                <w:sz w:val="24"/>
                <w:szCs w:val="24"/>
              </w:rPr>
              <w:t>≤</w:t>
            </w:r>
            <w:r>
              <w:rPr>
                <w:rFonts w:ascii="仿宋" w:hAnsi="仿宋" w:eastAsia="仿宋" w:cs="仿宋"/>
                <w:color w:val="000000"/>
                <w:w w:val="94"/>
                <w:sz w:val="24"/>
                <w:szCs w:val="24"/>
              </w:rPr>
              <w:t>5</w:t>
            </w:r>
          </w:p>
        </w:tc>
        <w:tc>
          <w:tcPr>
            <w:tcW w:w="1050" w:type="dxa"/>
            <w:vAlign w:val="bottom"/>
          </w:tcPr>
          <w:p w14:paraId="6F00271F">
            <w:pPr>
              <w:spacing w:line="274" w:lineRule="exact"/>
              <w:jc w:val="center"/>
              <w:rPr>
                <w:color w:val="000000"/>
                <w:sz w:val="20"/>
                <w:szCs w:val="20"/>
              </w:rPr>
            </w:pPr>
            <w:r>
              <w:rPr>
                <w:rFonts w:hint="eastAsia" w:ascii="仿宋" w:hAnsi="仿宋" w:eastAsia="仿宋" w:cs="仿宋"/>
                <w:color w:val="000000"/>
                <w:w w:val="99"/>
                <w:sz w:val="24"/>
                <w:szCs w:val="24"/>
              </w:rPr>
              <w:t>预期性</w:t>
            </w:r>
          </w:p>
        </w:tc>
        <w:tc>
          <w:tcPr>
            <w:tcW w:w="1555" w:type="dxa"/>
            <w:vAlign w:val="bottom"/>
          </w:tcPr>
          <w:p w14:paraId="4A1787C6">
            <w:pPr>
              <w:rPr>
                <w:sz w:val="2"/>
                <w:szCs w:val="2"/>
              </w:rPr>
            </w:pPr>
          </w:p>
        </w:tc>
      </w:tr>
      <w:tr w14:paraId="3F830E53">
        <w:tblPrEx>
          <w:tblCellMar>
            <w:top w:w="0" w:type="dxa"/>
            <w:left w:w="0" w:type="dxa"/>
            <w:bottom w:w="0" w:type="dxa"/>
            <w:right w:w="0" w:type="dxa"/>
          </w:tblCellMar>
        </w:tblPrEx>
        <w:trPr>
          <w:trHeight w:val="408" w:hRule="atLeast"/>
        </w:trPr>
        <w:tc>
          <w:tcPr>
            <w:tcW w:w="527" w:type="dxa"/>
            <w:vAlign w:val="bottom"/>
          </w:tcPr>
          <w:p w14:paraId="315E5774">
            <w:pPr>
              <w:spacing w:line="274" w:lineRule="exact"/>
              <w:jc w:val="center"/>
              <w:rPr>
                <w:sz w:val="20"/>
                <w:szCs w:val="20"/>
              </w:rPr>
            </w:pPr>
            <w:r>
              <w:rPr>
                <w:rFonts w:ascii="仿宋" w:hAnsi="仿宋" w:eastAsia="仿宋" w:cs="仿宋"/>
                <w:w w:val="99"/>
                <w:sz w:val="24"/>
                <w:szCs w:val="24"/>
              </w:rPr>
              <w:t>6</w:t>
            </w:r>
          </w:p>
        </w:tc>
        <w:tc>
          <w:tcPr>
            <w:tcW w:w="710" w:type="dxa"/>
            <w:vMerge w:val="continue"/>
            <w:vAlign w:val="center"/>
          </w:tcPr>
          <w:p w14:paraId="0A5DC614">
            <w:pPr>
              <w:jc w:val="center"/>
              <w:rPr>
                <w:sz w:val="24"/>
                <w:szCs w:val="24"/>
              </w:rPr>
            </w:pPr>
          </w:p>
        </w:tc>
        <w:tc>
          <w:tcPr>
            <w:tcW w:w="3515" w:type="dxa"/>
            <w:gridSpan w:val="2"/>
            <w:vAlign w:val="bottom"/>
          </w:tcPr>
          <w:p w14:paraId="6940D659">
            <w:pPr>
              <w:spacing w:line="274" w:lineRule="exact"/>
              <w:ind w:left="140"/>
              <w:rPr>
                <w:color w:val="000000"/>
                <w:sz w:val="20"/>
                <w:szCs w:val="20"/>
              </w:rPr>
            </w:pPr>
            <w:r>
              <w:rPr>
                <w:rFonts w:hint="eastAsia" w:ascii="仿宋" w:hAnsi="仿宋" w:eastAsia="仿宋" w:cs="仿宋"/>
                <w:color w:val="000000"/>
                <w:sz w:val="24"/>
                <w:szCs w:val="24"/>
              </w:rPr>
              <w:t>重大慢性病过早死亡率</w:t>
            </w:r>
          </w:p>
        </w:tc>
        <w:tc>
          <w:tcPr>
            <w:tcW w:w="813" w:type="dxa"/>
            <w:vAlign w:val="bottom"/>
          </w:tcPr>
          <w:p w14:paraId="66200297">
            <w:pPr>
              <w:spacing w:line="274" w:lineRule="exact"/>
              <w:jc w:val="center"/>
              <w:rPr>
                <w:color w:val="000000"/>
                <w:sz w:val="20"/>
                <w:szCs w:val="20"/>
              </w:rPr>
            </w:pPr>
            <w:r>
              <w:rPr>
                <w:rFonts w:ascii="仿宋" w:hAnsi="仿宋" w:eastAsia="仿宋" w:cs="仿宋"/>
                <w:color w:val="000000"/>
                <w:w w:val="99"/>
                <w:sz w:val="24"/>
                <w:szCs w:val="24"/>
              </w:rPr>
              <w:t>%</w:t>
            </w:r>
          </w:p>
        </w:tc>
        <w:tc>
          <w:tcPr>
            <w:tcW w:w="1151" w:type="dxa"/>
            <w:vAlign w:val="bottom"/>
          </w:tcPr>
          <w:p w14:paraId="2F3F348E">
            <w:pPr>
              <w:spacing w:line="274" w:lineRule="exact"/>
              <w:jc w:val="center"/>
              <w:rPr>
                <w:color w:val="000000"/>
                <w:sz w:val="20"/>
                <w:szCs w:val="20"/>
              </w:rPr>
            </w:pPr>
            <w:r>
              <w:rPr>
                <w:rFonts w:ascii="仿宋" w:hAnsi="仿宋" w:eastAsia="仿宋" w:cs="仿宋"/>
                <w:color w:val="000000"/>
                <w:w w:val="99"/>
                <w:sz w:val="24"/>
                <w:szCs w:val="24"/>
              </w:rPr>
              <w:t>11.92</w:t>
            </w:r>
          </w:p>
        </w:tc>
        <w:tc>
          <w:tcPr>
            <w:tcW w:w="1319" w:type="dxa"/>
            <w:vAlign w:val="bottom"/>
          </w:tcPr>
          <w:p w14:paraId="76BA639D">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15</w:t>
            </w:r>
          </w:p>
        </w:tc>
        <w:tc>
          <w:tcPr>
            <w:tcW w:w="1050" w:type="dxa"/>
            <w:vAlign w:val="bottom"/>
          </w:tcPr>
          <w:p w14:paraId="243E0A5E">
            <w:pPr>
              <w:spacing w:line="274" w:lineRule="exact"/>
              <w:jc w:val="center"/>
              <w:rPr>
                <w:color w:val="000000"/>
                <w:sz w:val="20"/>
                <w:szCs w:val="20"/>
              </w:rPr>
            </w:pPr>
            <w:r>
              <w:rPr>
                <w:rFonts w:hint="eastAsia" w:ascii="仿宋" w:hAnsi="仿宋" w:eastAsia="仿宋" w:cs="仿宋"/>
                <w:color w:val="000000"/>
                <w:w w:val="99"/>
                <w:sz w:val="24"/>
                <w:szCs w:val="24"/>
              </w:rPr>
              <w:t>预期性</w:t>
            </w:r>
          </w:p>
        </w:tc>
        <w:tc>
          <w:tcPr>
            <w:tcW w:w="1555" w:type="dxa"/>
            <w:vAlign w:val="bottom"/>
          </w:tcPr>
          <w:p w14:paraId="722AB7AF">
            <w:pPr>
              <w:rPr>
                <w:sz w:val="2"/>
                <w:szCs w:val="2"/>
              </w:rPr>
            </w:pPr>
          </w:p>
        </w:tc>
      </w:tr>
      <w:tr w14:paraId="7321B5F1">
        <w:tblPrEx>
          <w:tblCellMar>
            <w:top w:w="0" w:type="dxa"/>
            <w:left w:w="0" w:type="dxa"/>
            <w:bottom w:w="0" w:type="dxa"/>
            <w:right w:w="0" w:type="dxa"/>
          </w:tblCellMar>
        </w:tblPrEx>
        <w:trPr>
          <w:trHeight w:val="360" w:hRule="atLeast"/>
        </w:trPr>
        <w:tc>
          <w:tcPr>
            <w:tcW w:w="527" w:type="dxa"/>
            <w:vMerge w:val="restart"/>
            <w:vAlign w:val="bottom"/>
          </w:tcPr>
          <w:p w14:paraId="49C8B58F">
            <w:pPr>
              <w:spacing w:line="274" w:lineRule="exact"/>
              <w:jc w:val="center"/>
              <w:rPr>
                <w:sz w:val="20"/>
                <w:szCs w:val="20"/>
              </w:rPr>
            </w:pPr>
            <w:r>
              <w:rPr>
                <w:rFonts w:ascii="仿宋" w:hAnsi="仿宋" w:eastAsia="仿宋" w:cs="仿宋"/>
                <w:w w:val="99"/>
                <w:sz w:val="24"/>
                <w:szCs w:val="24"/>
              </w:rPr>
              <w:t>7</w:t>
            </w:r>
          </w:p>
        </w:tc>
        <w:tc>
          <w:tcPr>
            <w:tcW w:w="710" w:type="dxa"/>
            <w:vMerge w:val="continue"/>
            <w:vAlign w:val="center"/>
          </w:tcPr>
          <w:p w14:paraId="2A1C48AD">
            <w:pPr>
              <w:jc w:val="center"/>
              <w:rPr>
                <w:sz w:val="24"/>
                <w:szCs w:val="24"/>
              </w:rPr>
            </w:pPr>
          </w:p>
        </w:tc>
        <w:tc>
          <w:tcPr>
            <w:tcW w:w="3515" w:type="dxa"/>
            <w:gridSpan w:val="2"/>
            <w:vMerge w:val="restart"/>
          </w:tcPr>
          <w:p w14:paraId="217DF64D">
            <w:pPr>
              <w:spacing w:line="274" w:lineRule="exact"/>
              <w:ind w:left="118" w:leftChars="56"/>
              <w:rPr>
                <w:rFonts w:ascii="仿宋" w:hAnsi="仿宋" w:eastAsia="仿宋"/>
                <w:w w:val="99"/>
                <w:sz w:val="24"/>
                <w:szCs w:val="24"/>
              </w:rPr>
            </w:pPr>
            <w:r>
              <w:rPr>
                <w:rFonts w:hint="eastAsia" w:ascii="仿宋" w:hAnsi="仿宋" w:eastAsia="仿宋" w:cs="仿宋"/>
                <w:w w:val="99"/>
                <w:sz w:val="24"/>
                <w:szCs w:val="24"/>
              </w:rPr>
              <w:t>城乡居民达到《国民体质测定</w:t>
            </w:r>
          </w:p>
          <w:p w14:paraId="189E1E1D">
            <w:pPr>
              <w:spacing w:line="274" w:lineRule="exact"/>
              <w:ind w:left="118" w:leftChars="56"/>
              <w:rPr>
                <w:sz w:val="20"/>
                <w:szCs w:val="20"/>
              </w:rPr>
            </w:pPr>
            <w:r>
              <w:rPr>
                <w:rFonts w:hint="eastAsia" w:ascii="仿宋" w:hAnsi="仿宋" w:eastAsia="仿宋" w:cs="仿宋"/>
                <w:w w:val="99"/>
                <w:sz w:val="24"/>
                <w:szCs w:val="24"/>
              </w:rPr>
              <w:t>标准》合格</w:t>
            </w:r>
            <w:r>
              <w:rPr>
                <w:rFonts w:hint="eastAsia" w:ascii="仿宋" w:hAnsi="仿宋" w:eastAsia="仿宋" w:cs="仿宋"/>
                <w:sz w:val="24"/>
                <w:szCs w:val="24"/>
              </w:rPr>
              <w:t>以上人数比例</w:t>
            </w:r>
          </w:p>
        </w:tc>
        <w:tc>
          <w:tcPr>
            <w:tcW w:w="813" w:type="dxa"/>
            <w:vMerge w:val="restart"/>
            <w:vAlign w:val="bottom"/>
          </w:tcPr>
          <w:p w14:paraId="6A2F823E">
            <w:pPr>
              <w:spacing w:line="274" w:lineRule="exact"/>
              <w:jc w:val="center"/>
              <w:rPr>
                <w:sz w:val="20"/>
                <w:szCs w:val="20"/>
              </w:rPr>
            </w:pPr>
            <w:r>
              <w:rPr>
                <w:rFonts w:ascii="仿宋" w:hAnsi="仿宋" w:eastAsia="仿宋" w:cs="仿宋"/>
                <w:w w:val="99"/>
                <w:sz w:val="24"/>
                <w:szCs w:val="24"/>
              </w:rPr>
              <w:t>%</w:t>
            </w:r>
          </w:p>
        </w:tc>
        <w:tc>
          <w:tcPr>
            <w:tcW w:w="1151" w:type="dxa"/>
            <w:vMerge w:val="restart"/>
            <w:vAlign w:val="bottom"/>
          </w:tcPr>
          <w:p w14:paraId="23D555C0">
            <w:pPr>
              <w:spacing w:line="274" w:lineRule="exact"/>
              <w:jc w:val="center"/>
              <w:rPr>
                <w:sz w:val="20"/>
                <w:szCs w:val="20"/>
              </w:rPr>
            </w:pPr>
            <w:r>
              <w:rPr>
                <w:rFonts w:ascii="仿宋" w:hAnsi="仿宋" w:eastAsia="仿宋" w:cs="仿宋"/>
                <w:w w:val="99"/>
                <w:sz w:val="24"/>
                <w:szCs w:val="24"/>
              </w:rPr>
              <w:t>90.14</w:t>
            </w:r>
          </w:p>
        </w:tc>
        <w:tc>
          <w:tcPr>
            <w:tcW w:w="1319" w:type="dxa"/>
            <w:vMerge w:val="restart"/>
            <w:vAlign w:val="bottom"/>
          </w:tcPr>
          <w:p w14:paraId="573FAB44">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90</w:t>
            </w:r>
          </w:p>
        </w:tc>
        <w:tc>
          <w:tcPr>
            <w:tcW w:w="1050" w:type="dxa"/>
            <w:vMerge w:val="restart"/>
            <w:vAlign w:val="bottom"/>
          </w:tcPr>
          <w:p w14:paraId="5E3B875F">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14:paraId="358B7DEE">
            <w:pPr>
              <w:rPr>
                <w:sz w:val="2"/>
                <w:szCs w:val="2"/>
              </w:rPr>
            </w:pPr>
          </w:p>
        </w:tc>
      </w:tr>
      <w:tr w14:paraId="6C4DA27B">
        <w:tblPrEx>
          <w:tblCellMar>
            <w:top w:w="0" w:type="dxa"/>
            <w:left w:w="0" w:type="dxa"/>
            <w:bottom w:w="0" w:type="dxa"/>
            <w:right w:w="0" w:type="dxa"/>
          </w:tblCellMar>
        </w:tblPrEx>
        <w:trPr>
          <w:trHeight w:val="90" w:hRule="atLeast"/>
        </w:trPr>
        <w:tc>
          <w:tcPr>
            <w:tcW w:w="527" w:type="dxa"/>
            <w:vMerge w:val="continue"/>
            <w:vAlign w:val="bottom"/>
          </w:tcPr>
          <w:p w14:paraId="4B746D7B">
            <w:pPr>
              <w:rPr>
                <w:sz w:val="13"/>
                <w:szCs w:val="13"/>
              </w:rPr>
            </w:pPr>
          </w:p>
        </w:tc>
        <w:tc>
          <w:tcPr>
            <w:tcW w:w="710" w:type="dxa"/>
            <w:vMerge w:val="continue"/>
            <w:vAlign w:val="center"/>
          </w:tcPr>
          <w:p w14:paraId="0AE1D3C7">
            <w:pPr>
              <w:jc w:val="center"/>
              <w:rPr>
                <w:sz w:val="13"/>
                <w:szCs w:val="13"/>
              </w:rPr>
            </w:pPr>
          </w:p>
        </w:tc>
        <w:tc>
          <w:tcPr>
            <w:tcW w:w="3515" w:type="dxa"/>
            <w:gridSpan w:val="2"/>
            <w:vMerge w:val="continue"/>
            <w:vAlign w:val="bottom"/>
          </w:tcPr>
          <w:p w14:paraId="3FB8F888">
            <w:pPr>
              <w:spacing w:line="274" w:lineRule="exact"/>
              <w:rPr>
                <w:sz w:val="20"/>
                <w:szCs w:val="20"/>
              </w:rPr>
            </w:pPr>
          </w:p>
        </w:tc>
        <w:tc>
          <w:tcPr>
            <w:tcW w:w="813" w:type="dxa"/>
            <w:vMerge w:val="continue"/>
            <w:vAlign w:val="bottom"/>
          </w:tcPr>
          <w:p w14:paraId="6376E9F1">
            <w:pPr>
              <w:rPr>
                <w:sz w:val="13"/>
                <w:szCs w:val="13"/>
              </w:rPr>
            </w:pPr>
          </w:p>
        </w:tc>
        <w:tc>
          <w:tcPr>
            <w:tcW w:w="1151" w:type="dxa"/>
            <w:vMerge w:val="continue"/>
            <w:vAlign w:val="bottom"/>
          </w:tcPr>
          <w:p w14:paraId="6287C392">
            <w:pPr>
              <w:rPr>
                <w:sz w:val="13"/>
                <w:szCs w:val="13"/>
              </w:rPr>
            </w:pPr>
          </w:p>
        </w:tc>
        <w:tc>
          <w:tcPr>
            <w:tcW w:w="1319" w:type="dxa"/>
            <w:vMerge w:val="continue"/>
            <w:vAlign w:val="bottom"/>
          </w:tcPr>
          <w:p w14:paraId="5F457B23">
            <w:pPr>
              <w:rPr>
                <w:sz w:val="13"/>
                <w:szCs w:val="13"/>
              </w:rPr>
            </w:pPr>
          </w:p>
        </w:tc>
        <w:tc>
          <w:tcPr>
            <w:tcW w:w="1050" w:type="dxa"/>
            <w:vMerge w:val="continue"/>
            <w:vAlign w:val="bottom"/>
          </w:tcPr>
          <w:p w14:paraId="2148F3C5">
            <w:pPr>
              <w:rPr>
                <w:sz w:val="13"/>
                <w:szCs w:val="13"/>
              </w:rPr>
            </w:pPr>
          </w:p>
        </w:tc>
        <w:tc>
          <w:tcPr>
            <w:tcW w:w="1555" w:type="dxa"/>
            <w:vAlign w:val="bottom"/>
          </w:tcPr>
          <w:p w14:paraId="260DBCBA">
            <w:pPr>
              <w:rPr>
                <w:sz w:val="2"/>
                <w:szCs w:val="2"/>
              </w:rPr>
            </w:pPr>
          </w:p>
        </w:tc>
      </w:tr>
      <w:tr w14:paraId="59916F35">
        <w:tblPrEx>
          <w:tblCellMar>
            <w:top w:w="0" w:type="dxa"/>
            <w:left w:w="0" w:type="dxa"/>
            <w:bottom w:w="0" w:type="dxa"/>
            <w:right w:w="0" w:type="dxa"/>
          </w:tblCellMar>
        </w:tblPrEx>
        <w:trPr>
          <w:trHeight w:val="332" w:hRule="atLeast"/>
        </w:trPr>
        <w:tc>
          <w:tcPr>
            <w:tcW w:w="527" w:type="dxa"/>
            <w:vAlign w:val="bottom"/>
          </w:tcPr>
          <w:p w14:paraId="02C436C3">
            <w:pPr>
              <w:spacing w:line="274" w:lineRule="exact"/>
              <w:jc w:val="center"/>
              <w:rPr>
                <w:sz w:val="20"/>
                <w:szCs w:val="20"/>
              </w:rPr>
            </w:pPr>
            <w:r>
              <w:rPr>
                <w:rFonts w:ascii="仿宋" w:hAnsi="仿宋" w:eastAsia="仿宋" w:cs="仿宋"/>
                <w:w w:val="99"/>
                <w:sz w:val="24"/>
                <w:szCs w:val="24"/>
              </w:rPr>
              <w:t>8</w:t>
            </w:r>
          </w:p>
        </w:tc>
        <w:tc>
          <w:tcPr>
            <w:tcW w:w="710" w:type="dxa"/>
            <w:vMerge w:val="restart"/>
            <w:vAlign w:val="center"/>
          </w:tcPr>
          <w:p w14:paraId="1FF9E3CD">
            <w:pPr>
              <w:spacing w:line="274" w:lineRule="exact"/>
              <w:ind w:left="160"/>
              <w:jc w:val="center"/>
              <w:rPr>
                <w:rFonts w:ascii="仿宋" w:hAnsi="仿宋" w:eastAsia="仿宋"/>
                <w:sz w:val="24"/>
                <w:szCs w:val="24"/>
              </w:rPr>
            </w:pPr>
            <w:r>
              <w:rPr>
                <w:rFonts w:hint="eastAsia" w:ascii="仿宋" w:hAnsi="仿宋" w:eastAsia="仿宋" w:cs="仿宋"/>
                <w:sz w:val="24"/>
                <w:szCs w:val="24"/>
              </w:rPr>
              <w:t>健康</w:t>
            </w:r>
          </w:p>
          <w:p w14:paraId="2FD37999">
            <w:pPr>
              <w:spacing w:line="274" w:lineRule="exact"/>
              <w:ind w:left="220"/>
              <w:jc w:val="center"/>
              <w:rPr>
                <w:sz w:val="20"/>
                <w:szCs w:val="20"/>
              </w:rPr>
            </w:pPr>
            <w:r>
              <w:rPr>
                <w:rFonts w:hint="eastAsia" w:ascii="仿宋" w:hAnsi="仿宋" w:eastAsia="仿宋" w:cs="仿宋"/>
                <w:sz w:val="24"/>
                <w:szCs w:val="24"/>
              </w:rPr>
              <w:t>生活</w:t>
            </w:r>
          </w:p>
        </w:tc>
        <w:tc>
          <w:tcPr>
            <w:tcW w:w="3515" w:type="dxa"/>
            <w:gridSpan w:val="2"/>
            <w:vAlign w:val="bottom"/>
          </w:tcPr>
          <w:p w14:paraId="2184D9FC">
            <w:pPr>
              <w:spacing w:line="274" w:lineRule="exact"/>
              <w:ind w:left="140"/>
              <w:rPr>
                <w:sz w:val="20"/>
                <w:szCs w:val="20"/>
              </w:rPr>
            </w:pPr>
            <w:r>
              <w:rPr>
                <w:rFonts w:hint="eastAsia" w:ascii="仿宋" w:hAnsi="仿宋" w:eastAsia="仿宋" w:cs="仿宋"/>
                <w:sz w:val="24"/>
                <w:szCs w:val="24"/>
              </w:rPr>
              <w:t>居民健康素养水平</w:t>
            </w:r>
          </w:p>
        </w:tc>
        <w:tc>
          <w:tcPr>
            <w:tcW w:w="813" w:type="dxa"/>
            <w:vAlign w:val="bottom"/>
          </w:tcPr>
          <w:p w14:paraId="4A08EFFF">
            <w:pPr>
              <w:spacing w:line="274" w:lineRule="exact"/>
              <w:jc w:val="center"/>
              <w:rPr>
                <w:sz w:val="20"/>
                <w:szCs w:val="20"/>
              </w:rPr>
            </w:pPr>
            <w:r>
              <w:rPr>
                <w:rFonts w:ascii="仿宋" w:hAnsi="仿宋" w:eastAsia="仿宋" w:cs="仿宋"/>
                <w:w w:val="99"/>
                <w:sz w:val="24"/>
                <w:szCs w:val="24"/>
              </w:rPr>
              <w:t>%</w:t>
            </w:r>
          </w:p>
        </w:tc>
        <w:tc>
          <w:tcPr>
            <w:tcW w:w="1151" w:type="dxa"/>
            <w:vAlign w:val="bottom"/>
          </w:tcPr>
          <w:p w14:paraId="78A0ED3E">
            <w:pPr>
              <w:spacing w:line="274" w:lineRule="exact"/>
              <w:jc w:val="center"/>
              <w:rPr>
                <w:sz w:val="20"/>
                <w:szCs w:val="20"/>
              </w:rPr>
            </w:pPr>
            <w:r>
              <w:rPr>
                <w:rFonts w:ascii="仿宋" w:hAnsi="仿宋" w:eastAsia="仿宋" w:cs="仿宋"/>
                <w:w w:val="99"/>
                <w:sz w:val="24"/>
                <w:szCs w:val="24"/>
              </w:rPr>
              <w:t>19.03</w:t>
            </w:r>
          </w:p>
        </w:tc>
        <w:tc>
          <w:tcPr>
            <w:tcW w:w="1319" w:type="dxa"/>
            <w:vAlign w:val="bottom"/>
          </w:tcPr>
          <w:p w14:paraId="2F2BB843">
            <w:pPr>
              <w:spacing w:line="274" w:lineRule="exact"/>
              <w:jc w:val="center"/>
              <w:rPr>
                <w:sz w:val="20"/>
                <w:szCs w:val="20"/>
              </w:rPr>
            </w:pPr>
            <w:r>
              <w:rPr>
                <w:rFonts w:ascii="仿宋" w:hAnsi="仿宋" w:eastAsia="仿宋" w:cs="仿宋"/>
                <w:w w:val="99"/>
                <w:sz w:val="24"/>
                <w:szCs w:val="24"/>
              </w:rPr>
              <w:t>28</w:t>
            </w:r>
          </w:p>
        </w:tc>
        <w:tc>
          <w:tcPr>
            <w:tcW w:w="1050" w:type="dxa"/>
            <w:vAlign w:val="bottom"/>
          </w:tcPr>
          <w:p w14:paraId="744F99ED">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14:paraId="7062A3CB">
            <w:pPr>
              <w:rPr>
                <w:sz w:val="2"/>
                <w:szCs w:val="2"/>
              </w:rPr>
            </w:pPr>
          </w:p>
        </w:tc>
      </w:tr>
      <w:tr w14:paraId="045CBFCF">
        <w:tblPrEx>
          <w:tblCellMar>
            <w:top w:w="0" w:type="dxa"/>
            <w:left w:w="0" w:type="dxa"/>
            <w:bottom w:w="0" w:type="dxa"/>
            <w:right w:w="0" w:type="dxa"/>
          </w:tblCellMar>
        </w:tblPrEx>
        <w:trPr>
          <w:trHeight w:val="183" w:hRule="atLeast"/>
        </w:trPr>
        <w:tc>
          <w:tcPr>
            <w:tcW w:w="527" w:type="dxa"/>
            <w:vAlign w:val="bottom"/>
          </w:tcPr>
          <w:p w14:paraId="42B16F35">
            <w:pPr>
              <w:spacing w:line="274" w:lineRule="exact"/>
              <w:jc w:val="center"/>
              <w:rPr>
                <w:sz w:val="20"/>
                <w:szCs w:val="20"/>
              </w:rPr>
            </w:pPr>
            <w:r>
              <w:rPr>
                <w:rFonts w:ascii="仿宋" w:hAnsi="仿宋" w:eastAsia="仿宋" w:cs="仿宋"/>
                <w:w w:val="99"/>
                <w:sz w:val="24"/>
                <w:szCs w:val="24"/>
              </w:rPr>
              <w:t>9</w:t>
            </w:r>
          </w:p>
        </w:tc>
        <w:tc>
          <w:tcPr>
            <w:tcW w:w="710" w:type="dxa"/>
            <w:vMerge w:val="continue"/>
            <w:vAlign w:val="center"/>
          </w:tcPr>
          <w:p w14:paraId="188F6CED">
            <w:pPr>
              <w:spacing w:line="274" w:lineRule="exact"/>
              <w:ind w:left="220"/>
              <w:jc w:val="center"/>
              <w:rPr>
                <w:sz w:val="20"/>
                <w:szCs w:val="20"/>
              </w:rPr>
            </w:pPr>
          </w:p>
        </w:tc>
        <w:tc>
          <w:tcPr>
            <w:tcW w:w="3515" w:type="dxa"/>
            <w:gridSpan w:val="2"/>
            <w:vAlign w:val="bottom"/>
          </w:tcPr>
          <w:p w14:paraId="07F52754">
            <w:pPr>
              <w:spacing w:line="274" w:lineRule="exact"/>
              <w:ind w:left="140"/>
              <w:rPr>
                <w:sz w:val="20"/>
                <w:szCs w:val="20"/>
              </w:rPr>
            </w:pPr>
            <w:r>
              <w:rPr>
                <w:rFonts w:hint="eastAsia" w:ascii="仿宋" w:hAnsi="仿宋" w:eastAsia="仿宋" w:cs="仿宋"/>
                <w:sz w:val="24"/>
                <w:szCs w:val="24"/>
              </w:rPr>
              <w:t>经常参加体育锻炼人数比例</w:t>
            </w:r>
          </w:p>
        </w:tc>
        <w:tc>
          <w:tcPr>
            <w:tcW w:w="813" w:type="dxa"/>
            <w:vAlign w:val="bottom"/>
          </w:tcPr>
          <w:p w14:paraId="32F921D9">
            <w:pPr>
              <w:spacing w:line="274" w:lineRule="exact"/>
              <w:jc w:val="center"/>
              <w:rPr>
                <w:sz w:val="20"/>
                <w:szCs w:val="20"/>
              </w:rPr>
            </w:pPr>
            <w:r>
              <w:rPr>
                <w:rFonts w:ascii="仿宋" w:hAnsi="仿宋" w:eastAsia="仿宋" w:cs="仿宋"/>
                <w:w w:val="99"/>
                <w:sz w:val="24"/>
                <w:szCs w:val="24"/>
              </w:rPr>
              <w:t>%</w:t>
            </w:r>
          </w:p>
        </w:tc>
        <w:tc>
          <w:tcPr>
            <w:tcW w:w="1151" w:type="dxa"/>
            <w:vAlign w:val="bottom"/>
          </w:tcPr>
          <w:p w14:paraId="0F6E831E">
            <w:pPr>
              <w:spacing w:line="274" w:lineRule="exact"/>
              <w:jc w:val="center"/>
              <w:rPr>
                <w:sz w:val="20"/>
                <w:szCs w:val="20"/>
              </w:rPr>
            </w:pPr>
            <w:r>
              <w:rPr>
                <w:rFonts w:ascii="仿宋" w:hAnsi="仿宋" w:eastAsia="仿宋" w:cs="仿宋"/>
                <w:w w:val="99"/>
                <w:sz w:val="24"/>
                <w:szCs w:val="24"/>
              </w:rPr>
              <w:t>35</w:t>
            </w:r>
          </w:p>
        </w:tc>
        <w:tc>
          <w:tcPr>
            <w:tcW w:w="1319" w:type="dxa"/>
            <w:vAlign w:val="bottom"/>
          </w:tcPr>
          <w:p w14:paraId="49BA0BB2">
            <w:pPr>
              <w:spacing w:line="274" w:lineRule="exact"/>
              <w:jc w:val="center"/>
              <w:rPr>
                <w:sz w:val="20"/>
                <w:szCs w:val="20"/>
              </w:rPr>
            </w:pPr>
            <w:r>
              <w:rPr>
                <w:rFonts w:hint="eastAsia" w:ascii="仿宋" w:hAnsi="仿宋" w:eastAsia="仿宋" w:cs="仿宋"/>
                <w:spacing w:val="-12"/>
                <w:w w:val="98"/>
                <w:sz w:val="24"/>
                <w:szCs w:val="24"/>
              </w:rPr>
              <w:t>同比例提高</w:t>
            </w:r>
          </w:p>
        </w:tc>
        <w:tc>
          <w:tcPr>
            <w:tcW w:w="1050" w:type="dxa"/>
            <w:vAlign w:val="bottom"/>
          </w:tcPr>
          <w:p w14:paraId="708EF82D">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4E7AC2D3">
            <w:pPr>
              <w:rPr>
                <w:sz w:val="2"/>
                <w:szCs w:val="2"/>
              </w:rPr>
            </w:pPr>
          </w:p>
        </w:tc>
      </w:tr>
      <w:tr w14:paraId="15E4DA0C">
        <w:tblPrEx>
          <w:tblCellMar>
            <w:top w:w="0" w:type="dxa"/>
            <w:left w:w="0" w:type="dxa"/>
            <w:bottom w:w="0" w:type="dxa"/>
            <w:right w:w="0" w:type="dxa"/>
          </w:tblCellMar>
        </w:tblPrEx>
        <w:trPr>
          <w:trHeight w:val="258" w:hRule="atLeast"/>
        </w:trPr>
        <w:tc>
          <w:tcPr>
            <w:tcW w:w="527" w:type="dxa"/>
            <w:vAlign w:val="bottom"/>
          </w:tcPr>
          <w:p w14:paraId="20861E4B">
            <w:pPr>
              <w:spacing w:line="274" w:lineRule="exact"/>
              <w:jc w:val="center"/>
              <w:rPr>
                <w:sz w:val="20"/>
                <w:szCs w:val="20"/>
              </w:rPr>
            </w:pPr>
            <w:r>
              <w:rPr>
                <w:rFonts w:ascii="仿宋" w:hAnsi="仿宋" w:eastAsia="仿宋" w:cs="仿宋"/>
                <w:w w:val="99"/>
                <w:sz w:val="24"/>
                <w:szCs w:val="24"/>
              </w:rPr>
              <w:t>10</w:t>
            </w:r>
          </w:p>
        </w:tc>
        <w:tc>
          <w:tcPr>
            <w:tcW w:w="710" w:type="dxa"/>
            <w:vMerge w:val="continue"/>
            <w:vAlign w:val="center"/>
          </w:tcPr>
          <w:p w14:paraId="4293B57F">
            <w:pPr>
              <w:jc w:val="center"/>
              <w:rPr>
                <w:sz w:val="24"/>
                <w:szCs w:val="24"/>
              </w:rPr>
            </w:pPr>
          </w:p>
        </w:tc>
        <w:tc>
          <w:tcPr>
            <w:tcW w:w="3515" w:type="dxa"/>
            <w:gridSpan w:val="2"/>
            <w:vAlign w:val="bottom"/>
          </w:tcPr>
          <w:p w14:paraId="648FB32B">
            <w:pPr>
              <w:spacing w:line="274" w:lineRule="exact"/>
              <w:ind w:left="140"/>
              <w:rPr>
                <w:sz w:val="20"/>
                <w:szCs w:val="20"/>
              </w:rPr>
            </w:pPr>
            <w:r>
              <w:rPr>
                <w:rFonts w:ascii="仿宋" w:hAnsi="仿宋" w:eastAsia="仿宋" w:cs="仿宋"/>
                <w:sz w:val="24"/>
                <w:szCs w:val="24"/>
              </w:rPr>
              <w:t xml:space="preserve">15 </w:t>
            </w:r>
            <w:r>
              <w:rPr>
                <w:rFonts w:hint="eastAsia" w:ascii="仿宋" w:hAnsi="仿宋" w:eastAsia="仿宋" w:cs="仿宋"/>
                <w:sz w:val="24"/>
                <w:szCs w:val="24"/>
              </w:rPr>
              <w:t>岁以上人群吸烟率</w:t>
            </w:r>
          </w:p>
        </w:tc>
        <w:tc>
          <w:tcPr>
            <w:tcW w:w="813" w:type="dxa"/>
            <w:vAlign w:val="bottom"/>
          </w:tcPr>
          <w:p w14:paraId="76E47683">
            <w:pPr>
              <w:spacing w:line="274" w:lineRule="exact"/>
              <w:jc w:val="center"/>
              <w:rPr>
                <w:sz w:val="20"/>
                <w:szCs w:val="20"/>
              </w:rPr>
            </w:pPr>
            <w:r>
              <w:rPr>
                <w:rFonts w:ascii="仿宋" w:hAnsi="仿宋" w:eastAsia="仿宋" w:cs="仿宋"/>
                <w:w w:val="99"/>
                <w:sz w:val="24"/>
                <w:szCs w:val="24"/>
              </w:rPr>
              <w:t>%</w:t>
            </w:r>
          </w:p>
        </w:tc>
        <w:tc>
          <w:tcPr>
            <w:tcW w:w="1151" w:type="dxa"/>
            <w:vAlign w:val="bottom"/>
          </w:tcPr>
          <w:p w14:paraId="676ECF52">
            <w:pPr>
              <w:spacing w:line="274" w:lineRule="exact"/>
              <w:jc w:val="center"/>
              <w:rPr>
                <w:sz w:val="20"/>
                <w:szCs w:val="20"/>
              </w:rPr>
            </w:pPr>
            <w:r>
              <w:rPr>
                <w:rFonts w:ascii="仿宋" w:hAnsi="仿宋" w:eastAsia="仿宋" w:cs="仿宋"/>
                <w:w w:val="99"/>
                <w:sz w:val="24"/>
                <w:szCs w:val="24"/>
              </w:rPr>
              <w:t>24.7</w:t>
            </w:r>
          </w:p>
        </w:tc>
        <w:tc>
          <w:tcPr>
            <w:tcW w:w="1319" w:type="dxa"/>
            <w:vAlign w:val="bottom"/>
          </w:tcPr>
          <w:p w14:paraId="3DF17FE4">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20</w:t>
            </w:r>
          </w:p>
        </w:tc>
        <w:tc>
          <w:tcPr>
            <w:tcW w:w="1050" w:type="dxa"/>
            <w:vAlign w:val="bottom"/>
          </w:tcPr>
          <w:p w14:paraId="6D6C800B">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1EAB0998">
            <w:pPr>
              <w:rPr>
                <w:sz w:val="2"/>
                <w:szCs w:val="2"/>
              </w:rPr>
            </w:pPr>
          </w:p>
        </w:tc>
      </w:tr>
      <w:tr w14:paraId="5D641ACE">
        <w:tblPrEx>
          <w:tblCellMar>
            <w:top w:w="0" w:type="dxa"/>
            <w:left w:w="0" w:type="dxa"/>
            <w:bottom w:w="0" w:type="dxa"/>
            <w:right w:w="0" w:type="dxa"/>
          </w:tblCellMar>
        </w:tblPrEx>
        <w:trPr>
          <w:trHeight w:val="332" w:hRule="atLeast"/>
        </w:trPr>
        <w:tc>
          <w:tcPr>
            <w:tcW w:w="527" w:type="dxa"/>
            <w:vAlign w:val="bottom"/>
          </w:tcPr>
          <w:p w14:paraId="4EFDD557">
            <w:pPr>
              <w:spacing w:line="274" w:lineRule="exact"/>
              <w:jc w:val="center"/>
              <w:rPr>
                <w:sz w:val="20"/>
                <w:szCs w:val="20"/>
              </w:rPr>
            </w:pPr>
            <w:r>
              <w:rPr>
                <w:rFonts w:ascii="仿宋" w:hAnsi="仿宋" w:eastAsia="仿宋" w:cs="仿宋"/>
                <w:w w:val="99"/>
                <w:sz w:val="24"/>
                <w:szCs w:val="24"/>
              </w:rPr>
              <w:t>11</w:t>
            </w:r>
          </w:p>
        </w:tc>
        <w:tc>
          <w:tcPr>
            <w:tcW w:w="710" w:type="dxa"/>
            <w:vMerge w:val="restart"/>
            <w:vAlign w:val="center"/>
          </w:tcPr>
          <w:p w14:paraId="0CA7A1E2">
            <w:pPr>
              <w:spacing w:line="247" w:lineRule="exact"/>
              <w:ind w:left="220"/>
              <w:jc w:val="center"/>
              <w:rPr>
                <w:sz w:val="20"/>
                <w:szCs w:val="20"/>
              </w:rPr>
            </w:pPr>
            <w:r>
              <w:rPr>
                <w:rFonts w:hint="eastAsia" w:ascii="仿宋" w:hAnsi="仿宋" w:eastAsia="仿宋" w:cs="仿宋"/>
                <w:sz w:val="24"/>
                <w:szCs w:val="24"/>
              </w:rPr>
              <w:t>健康</w:t>
            </w:r>
          </w:p>
          <w:p w14:paraId="1CD68E30">
            <w:pPr>
              <w:spacing w:line="274" w:lineRule="exact"/>
              <w:ind w:left="220"/>
              <w:jc w:val="center"/>
              <w:rPr>
                <w:sz w:val="20"/>
                <w:szCs w:val="20"/>
              </w:rPr>
            </w:pPr>
            <w:r>
              <w:rPr>
                <w:rFonts w:hint="eastAsia" w:ascii="仿宋" w:hAnsi="仿宋" w:eastAsia="仿宋" w:cs="仿宋"/>
                <w:sz w:val="24"/>
                <w:szCs w:val="24"/>
              </w:rPr>
              <w:t>服务</w:t>
            </w:r>
          </w:p>
        </w:tc>
        <w:tc>
          <w:tcPr>
            <w:tcW w:w="3515" w:type="dxa"/>
            <w:gridSpan w:val="2"/>
            <w:vAlign w:val="bottom"/>
          </w:tcPr>
          <w:p w14:paraId="728EC058">
            <w:pPr>
              <w:spacing w:line="274" w:lineRule="exact"/>
              <w:ind w:left="140"/>
              <w:rPr>
                <w:sz w:val="20"/>
                <w:szCs w:val="20"/>
              </w:rPr>
            </w:pPr>
            <w:r>
              <w:rPr>
                <w:rFonts w:hint="eastAsia" w:ascii="仿宋" w:hAnsi="仿宋" w:eastAsia="仿宋" w:cs="仿宋"/>
                <w:sz w:val="24"/>
                <w:szCs w:val="24"/>
              </w:rPr>
              <w:t>每千人口医疗卫生机构床位数</w:t>
            </w:r>
          </w:p>
        </w:tc>
        <w:tc>
          <w:tcPr>
            <w:tcW w:w="813" w:type="dxa"/>
            <w:vAlign w:val="bottom"/>
          </w:tcPr>
          <w:p w14:paraId="329318AC">
            <w:pPr>
              <w:spacing w:line="274" w:lineRule="exact"/>
              <w:jc w:val="center"/>
              <w:rPr>
                <w:sz w:val="20"/>
                <w:szCs w:val="20"/>
              </w:rPr>
            </w:pPr>
            <w:r>
              <w:rPr>
                <w:rFonts w:hint="eastAsia" w:ascii="仿宋" w:hAnsi="仿宋" w:eastAsia="仿宋" w:cs="仿宋"/>
                <w:w w:val="99"/>
                <w:sz w:val="24"/>
                <w:szCs w:val="24"/>
              </w:rPr>
              <w:t>张</w:t>
            </w:r>
          </w:p>
        </w:tc>
        <w:tc>
          <w:tcPr>
            <w:tcW w:w="1151" w:type="dxa"/>
            <w:vAlign w:val="bottom"/>
          </w:tcPr>
          <w:p w14:paraId="6251E15A">
            <w:pPr>
              <w:spacing w:line="274" w:lineRule="exact"/>
              <w:jc w:val="center"/>
              <w:rPr>
                <w:sz w:val="20"/>
                <w:szCs w:val="20"/>
              </w:rPr>
            </w:pPr>
            <w:r>
              <w:rPr>
                <w:rFonts w:ascii="仿宋" w:hAnsi="仿宋" w:eastAsia="仿宋" w:cs="仿宋"/>
                <w:w w:val="99"/>
                <w:sz w:val="24"/>
                <w:szCs w:val="24"/>
              </w:rPr>
              <w:t>4.85</w:t>
            </w:r>
          </w:p>
        </w:tc>
        <w:tc>
          <w:tcPr>
            <w:tcW w:w="1319" w:type="dxa"/>
            <w:vAlign w:val="bottom"/>
          </w:tcPr>
          <w:p w14:paraId="2EB32154">
            <w:pPr>
              <w:spacing w:line="274" w:lineRule="exact"/>
              <w:jc w:val="center"/>
              <w:rPr>
                <w:sz w:val="20"/>
                <w:szCs w:val="20"/>
              </w:rPr>
            </w:pPr>
            <w:r>
              <w:rPr>
                <w:rFonts w:ascii="仿宋" w:hAnsi="仿宋" w:eastAsia="仿宋" w:cs="仿宋"/>
                <w:w w:val="99"/>
                <w:sz w:val="24"/>
                <w:szCs w:val="24"/>
              </w:rPr>
              <w:t>5.58</w:t>
            </w:r>
          </w:p>
        </w:tc>
        <w:tc>
          <w:tcPr>
            <w:tcW w:w="1050" w:type="dxa"/>
            <w:vAlign w:val="bottom"/>
          </w:tcPr>
          <w:p w14:paraId="212653CC">
            <w:pPr>
              <w:spacing w:line="274" w:lineRule="exact"/>
              <w:ind w:left="120"/>
              <w:rPr>
                <w:sz w:val="20"/>
                <w:szCs w:val="20"/>
              </w:rPr>
            </w:pPr>
            <w:r>
              <w:rPr>
                <w:rFonts w:hint="eastAsia" w:ascii="仿宋" w:hAnsi="仿宋" w:eastAsia="仿宋" w:cs="仿宋"/>
                <w:sz w:val="24"/>
                <w:szCs w:val="24"/>
              </w:rPr>
              <w:t>指导性</w:t>
            </w:r>
          </w:p>
        </w:tc>
        <w:tc>
          <w:tcPr>
            <w:tcW w:w="1555" w:type="dxa"/>
            <w:vAlign w:val="bottom"/>
          </w:tcPr>
          <w:p w14:paraId="309FBADA">
            <w:pPr>
              <w:rPr>
                <w:sz w:val="2"/>
                <w:szCs w:val="2"/>
              </w:rPr>
            </w:pPr>
          </w:p>
        </w:tc>
      </w:tr>
      <w:tr w14:paraId="17143EF4">
        <w:tblPrEx>
          <w:tblCellMar>
            <w:top w:w="0" w:type="dxa"/>
            <w:left w:w="0" w:type="dxa"/>
            <w:bottom w:w="0" w:type="dxa"/>
            <w:right w:w="0" w:type="dxa"/>
          </w:tblCellMar>
        </w:tblPrEx>
        <w:trPr>
          <w:trHeight w:val="415" w:hRule="atLeast"/>
        </w:trPr>
        <w:tc>
          <w:tcPr>
            <w:tcW w:w="527" w:type="dxa"/>
            <w:vAlign w:val="bottom"/>
          </w:tcPr>
          <w:p w14:paraId="2F6100F1">
            <w:pPr>
              <w:spacing w:line="274" w:lineRule="exact"/>
              <w:jc w:val="center"/>
              <w:rPr>
                <w:sz w:val="20"/>
                <w:szCs w:val="20"/>
              </w:rPr>
            </w:pPr>
            <w:r>
              <w:rPr>
                <w:rFonts w:ascii="仿宋" w:hAnsi="仿宋" w:eastAsia="仿宋" w:cs="仿宋"/>
                <w:w w:val="99"/>
                <w:sz w:val="24"/>
                <w:szCs w:val="24"/>
              </w:rPr>
              <w:t>12</w:t>
            </w:r>
          </w:p>
        </w:tc>
        <w:tc>
          <w:tcPr>
            <w:tcW w:w="710" w:type="dxa"/>
            <w:vMerge w:val="continue"/>
            <w:vAlign w:val="bottom"/>
          </w:tcPr>
          <w:p w14:paraId="7157B5C1">
            <w:pPr>
              <w:rPr>
                <w:sz w:val="24"/>
                <w:szCs w:val="24"/>
              </w:rPr>
            </w:pPr>
          </w:p>
        </w:tc>
        <w:tc>
          <w:tcPr>
            <w:tcW w:w="3515" w:type="dxa"/>
            <w:gridSpan w:val="2"/>
            <w:vAlign w:val="bottom"/>
          </w:tcPr>
          <w:p w14:paraId="06759F69">
            <w:pPr>
              <w:spacing w:line="274" w:lineRule="exact"/>
              <w:ind w:left="140"/>
              <w:rPr>
                <w:sz w:val="20"/>
                <w:szCs w:val="20"/>
              </w:rPr>
            </w:pPr>
            <w:r>
              <w:rPr>
                <w:rFonts w:hint="eastAsia" w:ascii="仿宋" w:hAnsi="仿宋" w:eastAsia="仿宋" w:cs="仿宋"/>
                <w:sz w:val="24"/>
                <w:szCs w:val="24"/>
              </w:rPr>
              <w:t>每千人口执业（助理）医师数</w:t>
            </w:r>
          </w:p>
        </w:tc>
        <w:tc>
          <w:tcPr>
            <w:tcW w:w="813" w:type="dxa"/>
            <w:vAlign w:val="bottom"/>
          </w:tcPr>
          <w:p w14:paraId="1E9BA13C">
            <w:pPr>
              <w:spacing w:line="274" w:lineRule="exact"/>
              <w:jc w:val="center"/>
              <w:rPr>
                <w:sz w:val="20"/>
                <w:szCs w:val="20"/>
              </w:rPr>
            </w:pPr>
            <w:r>
              <w:rPr>
                <w:rFonts w:hint="eastAsia" w:ascii="仿宋" w:hAnsi="仿宋" w:eastAsia="仿宋" w:cs="仿宋"/>
                <w:w w:val="99"/>
                <w:sz w:val="24"/>
                <w:szCs w:val="24"/>
              </w:rPr>
              <w:t>人</w:t>
            </w:r>
          </w:p>
        </w:tc>
        <w:tc>
          <w:tcPr>
            <w:tcW w:w="1151" w:type="dxa"/>
            <w:vAlign w:val="bottom"/>
          </w:tcPr>
          <w:p w14:paraId="5E90B1FC">
            <w:pPr>
              <w:spacing w:line="274" w:lineRule="exact"/>
              <w:jc w:val="center"/>
              <w:rPr>
                <w:sz w:val="20"/>
                <w:szCs w:val="20"/>
              </w:rPr>
            </w:pPr>
            <w:r>
              <w:rPr>
                <w:rFonts w:ascii="仿宋" w:hAnsi="仿宋" w:eastAsia="仿宋" w:cs="仿宋"/>
                <w:w w:val="99"/>
                <w:sz w:val="24"/>
                <w:szCs w:val="24"/>
              </w:rPr>
              <w:t>2.65</w:t>
            </w:r>
          </w:p>
        </w:tc>
        <w:tc>
          <w:tcPr>
            <w:tcW w:w="1319" w:type="dxa"/>
            <w:vAlign w:val="bottom"/>
          </w:tcPr>
          <w:p w14:paraId="40C862F1">
            <w:pPr>
              <w:spacing w:line="274" w:lineRule="exact"/>
              <w:jc w:val="center"/>
              <w:rPr>
                <w:sz w:val="20"/>
                <w:szCs w:val="20"/>
              </w:rPr>
            </w:pPr>
            <w:r>
              <w:rPr>
                <w:rFonts w:ascii="仿宋" w:hAnsi="仿宋" w:eastAsia="仿宋" w:cs="仿宋"/>
                <w:w w:val="95"/>
                <w:sz w:val="24"/>
                <w:szCs w:val="24"/>
              </w:rPr>
              <w:t>2.89</w:t>
            </w:r>
          </w:p>
        </w:tc>
        <w:tc>
          <w:tcPr>
            <w:tcW w:w="1050" w:type="dxa"/>
            <w:vAlign w:val="bottom"/>
          </w:tcPr>
          <w:p w14:paraId="5A069235">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3A5CBE0D">
            <w:pPr>
              <w:rPr>
                <w:sz w:val="2"/>
                <w:szCs w:val="2"/>
              </w:rPr>
            </w:pPr>
          </w:p>
        </w:tc>
      </w:tr>
      <w:tr w14:paraId="60301584">
        <w:tblPrEx>
          <w:tblCellMar>
            <w:top w:w="0" w:type="dxa"/>
            <w:left w:w="0" w:type="dxa"/>
            <w:bottom w:w="0" w:type="dxa"/>
            <w:right w:w="0" w:type="dxa"/>
          </w:tblCellMar>
        </w:tblPrEx>
        <w:trPr>
          <w:trHeight w:val="360" w:hRule="atLeast"/>
        </w:trPr>
        <w:tc>
          <w:tcPr>
            <w:tcW w:w="527" w:type="dxa"/>
            <w:vMerge w:val="restart"/>
            <w:vAlign w:val="bottom"/>
          </w:tcPr>
          <w:p w14:paraId="05411DC6">
            <w:pPr>
              <w:spacing w:line="274" w:lineRule="exact"/>
              <w:jc w:val="center"/>
              <w:rPr>
                <w:sz w:val="20"/>
                <w:szCs w:val="20"/>
              </w:rPr>
            </w:pPr>
            <w:r>
              <w:rPr>
                <w:rFonts w:ascii="仿宋" w:hAnsi="仿宋" w:eastAsia="仿宋" w:cs="仿宋"/>
                <w:w w:val="99"/>
                <w:sz w:val="24"/>
                <w:szCs w:val="24"/>
              </w:rPr>
              <w:t>13</w:t>
            </w:r>
          </w:p>
        </w:tc>
        <w:tc>
          <w:tcPr>
            <w:tcW w:w="710" w:type="dxa"/>
            <w:vMerge w:val="continue"/>
            <w:vAlign w:val="bottom"/>
          </w:tcPr>
          <w:p w14:paraId="0A8214FF">
            <w:pPr>
              <w:rPr>
                <w:sz w:val="24"/>
                <w:szCs w:val="24"/>
              </w:rPr>
            </w:pPr>
          </w:p>
        </w:tc>
        <w:tc>
          <w:tcPr>
            <w:tcW w:w="3515" w:type="dxa"/>
            <w:gridSpan w:val="2"/>
            <w:vAlign w:val="bottom"/>
          </w:tcPr>
          <w:p w14:paraId="7722FF76">
            <w:pPr>
              <w:spacing w:line="274" w:lineRule="exact"/>
              <w:ind w:left="560"/>
              <w:rPr>
                <w:color w:val="000000"/>
                <w:sz w:val="20"/>
                <w:szCs w:val="20"/>
              </w:rPr>
            </w:pPr>
            <w:r>
              <w:rPr>
                <w:rFonts w:hint="eastAsia" w:ascii="仿宋" w:hAnsi="仿宋" w:eastAsia="仿宋" w:cs="仿宋"/>
                <w:color w:val="000000"/>
                <w:sz w:val="24"/>
                <w:szCs w:val="24"/>
              </w:rPr>
              <w:t>其中：每千人口中医类别</w:t>
            </w:r>
          </w:p>
        </w:tc>
        <w:tc>
          <w:tcPr>
            <w:tcW w:w="813" w:type="dxa"/>
            <w:vMerge w:val="restart"/>
            <w:vAlign w:val="bottom"/>
          </w:tcPr>
          <w:p w14:paraId="2CB43C35">
            <w:pPr>
              <w:spacing w:line="274" w:lineRule="exact"/>
              <w:jc w:val="center"/>
              <w:rPr>
                <w:color w:val="000000"/>
                <w:sz w:val="20"/>
                <w:szCs w:val="20"/>
              </w:rPr>
            </w:pPr>
            <w:r>
              <w:rPr>
                <w:rFonts w:hint="eastAsia" w:ascii="仿宋" w:hAnsi="仿宋" w:eastAsia="仿宋" w:cs="仿宋"/>
                <w:color w:val="000000"/>
                <w:w w:val="99"/>
                <w:sz w:val="24"/>
                <w:szCs w:val="24"/>
              </w:rPr>
              <w:t>人</w:t>
            </w:r>
          </w:p>
        </w:tc>
        <w:tc>
          <w:tcPr>
            <w:tcW w:w="1151" w:type="dxa"/>
            <w:vMerge w:val="restart"/>
            <w:vAlign w:val="bottom"/>
          </w:tcPr>
          <w:p w14:paraId="1CCA853C">
            <w:pPr>
              <w:spacing w:line="274" w:lineRule="exact"/>
              <w:jc w:val="center"/>
              <w:rPr>
                <w:color w:val="000000"/>
                <w:sz w:val="20"/>
                <w:szCs w:val="20"/>
              </w:rPr>
            </w:pPr>
            <w:r>
              <w:rPr>
                <w:rFonts w:ascii="仿宋" w:hAnsi="仿宋" w:eastAsia="仿宋" w:cs="仿宋"/>
                <w:color w:val="000000"/>
                <w:w w:val="99"/>
                <w:sz w:val="24"/>
                <w:szCs w:val="24"/>
              </w:rPr>
              <w:t>0.44</w:t>
            </w:r>
          </w:p>
        </w:tc>
        <w:tc>
          <w:tcPr>
            <w:tcW w:w="1319" w:type="dxa"/>
            <w:vMerge w:val="restart"/>
            <w:vAlign w:val="bottom"/>
          </w:tcPr>
          <w:p w14:paraId="2396BC81">
            <w:pPr>
              <w:spacing w:line="274" w:lineRule="exact"/>
              <w:jc w:val="center"/>
              <w:rPr>
                <w:sz w:val="20"/>
                <w:szCs w:val="20"/>
              </w:rPr>
            </w:pPr>
            <w:r>
              <w:rPr>
                <w:rFonts w:ascii="仿宋" w:hAnsi="仿宋" w:eastAsia="仿宋" w:cs="仿宋"/>
                <w:w w:val="95"/>
                <w:sz w:val="24"/>
                <w:szCs w:val="24"/>
              </w:rPr>
              <w:t>0.59</w:t>
            </w:r>
          </w:p>
        </w:tc>
        <w:tc>
          <w:tcPr>
            <w:tcW w:w="1050" w:type="dxa"/>
            <w:vMerge w:val="restart"/>
            <w:vAlign w:val="bottom"/>
          </w:tcPr>
          <w:p w14:paraId="341A1837">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3249A78B">
            <w:pPr>
              <w:rPr>
                <w:sz w:val="2"/>
                <w:szCs w:val="2"/>
              </w:rPr>
            </w:pPr>
          </w:p>
        </w:tc>
      </w:tr>
      <w:tr w14:paraId="6F5A22CF">
        <w:tblPrEx>
          <w:tblCellMar>
            <w:top w:w="0" w:type="dxa"/>
            <w:left w:w="0" w:type="dxa"/>
            <w:bottom w:w="0" w:type="dxa"/>
            <w:right w:w="0" w:type="dxa"/>
          </w:tblCellMar>
        </w:tblPrEx>
        <w:trPr>
          <w:trHeight w:val="154" w:hRule="atLeast"/>
        </w:trPr>
        <w:tc>
          <w:tcPr>
            <w:tcW w:w="527" w:type="dxa"/>
            <w:vMerge w:val="continue"/>
            <w:vAlign w:val="bottom"/>
          </w:tcPr>
          <w:p w14:paraId="50A664E3">
            <w:pPr>
              <w:rPr>
                <w:sz w:val="13"/>
                <w:szCs w:val="13"/>
              </w:rPr>
            </w:pPr>
          </w:p>
        </w:tc>
        <w:tc>
          <w:tcPr>
            <w:tcW w:w="710" w:type="dxa"/>
            <w:vMerge w:val="continue"/>
            <w:vAlign w:val="bottom"/>
          </w:tcPr>
          <w:p w14:paraId="4B1056F0">
            <w:pPr>
              <w:rPr>
                <w:sz w:val="13"/>
                <w:szCs w:val="13"/>
              </w:rPr>
            </w:pPr>
          </w:p>
        </w:tc>
        <w:tc>
          <w:tcPr>
            <w:tcW w:w="3515" w:type="dxa"/>
            <w:gridSpan w:val="2"/>
            <w:vAlign w:val="bottom"/>
          </w:tcPr>
          <w:p w14:paraId="6AE5A6B6">
            <w:pPr>
              <w:spacing w:line="274" w:lineRule="exact"/>
              <w:ind w:left="1080"/>
              <w:rPr>
                <w:color w:val="000000"/>
                <w:sz w:val="20"/>
                <w:szCs w:val="20"/>
              </w:rPr>
            </w:pPr>
            <w:r>
              <w:rPr>
                <w:rFonts w:hint="eastAsia" w:ascii="仿宋" w:hAnsi="仿宋" w:eastAsia="仿宋" w:cs="仿宋"/>
                <w:color w:val="000000"/>
                <w:sz w:val="24"/>
                <w:szCs w:val="24"/>
              </w:rPr>
              <w:t>执业（助理）医师数</w:t>
            </w:r>
          </w:p>
        </w:tc>
        <w:tc>
          <w:tcPr>
            <w:tcW w:w="813" w:type="dxa"/>
            <w:vMerge w:val="continue"/>
            <w:vAlign w:val="bottom"/>
          </w:tcPr>
          <w:p w14:paraId="7901C41B">
            <w:pPr>
              <w:rPr>
                <w:color w:val="000000"/>
                <w:sz w:val="13"/>
                <w:szCs w:val="13"/>
              </w:rPr>
            </w:pPr>
          </w:p>
        </w:tc>
        <w:tc>
          <w:tcPr>
            <w:tcW w:w="1151" w:type="dxa"/>
            <w:vMerge w:val="continue"/>
            <w:vAlign w:val="bottom"/>
          </w:tcPr>
          <w:p w14:paraId="36F4C17F">
            <w:pPr>
              <w:rPr>
                <w:color w:val="000000"/>
                <w:sz w:val="13"/>
                <w:szCs w:val="13"/>
              </w:rPr>
            </w:pPr>
          </w:p>
        </w:tc>
        <w:tc>
          <w:tcPr>
            <w:tcW w:w="1319" w:type="dxa"/>
            <w:vMerge w:val="continue"/>
            <w:vAlign w:val="bottom"/>
          </w:tcPr>
          <w:p w14:paraId="25FCE654">
            <w:pPr>
              <w:rPr>
                <w:sz w:val="13"/>
                <w:szCs w:val="13"/>
              </w:rPr>
            </w:pPr>
          </w:p>
        </w:tc>
        <w:tc>
          <w:tcPr>
            <w:tcW w:w="1050" w:type="dxa"/>
            <w:vMerge w:val="continue"/>
            <w:vAlign w:val="bottom"/>
          </w:tcPr>
          <w:p w14:paraId="190D6AAB">
            <w:pPr>
              <w:rPr>
                <w:sz w:val="13"/>
                <w:szCs w:val="13"/>
              </w:rPr>
            </w:pPr>
          </w:p>
        </w:tc>
        <w:tc>
          <w:tcPr>
            <w:tcW w:w="1555" w:type="dxa"/>
            <w:vAlign w:val="bottom"/>
          </w:tcPr>
          <w:p w14:paraId="249DFD6B">
            <w:pPr>
              <w:rPr>
                <w:sz w:val="2"/>
                <w:szCs w:val="2"/>
              </w:rPr>
            </w:pPr>
          </w:p>
        </w:tc>
      </w:tr>
      <w:tr w14:paraId="65F04E5E">
        <w:tblPrEx>
          <w:tblCellMar>
            <w:top w:w="0" w:type="dxa"/>
            <w:left w:w="0" w:type="dxa"/>
            <w:bottom w:w="0" w:type="dxa"/>
            <w:right w:w="0" w:type="dxa"/>
          </w:tblCellMar>
        </w:tblPrEx>
        <w:trPr>
          <w:trHeight w:val="360" w:hRule="atLeast"/>
        </w:trPr>
        <w:tc>
          <w:tcPr>
            <w:tcW w:w="527" w:type="dxa"/>
            <w:vAlign w:val="bottom"/>
          </w:tcPr>
          <w:p w14:paraId="73C74260">
            <w:pPr>
              <w:spacing w:line="274" w:lineRule="exact"/>
              <w:jc w:val="center"/>
              <w:rPr>
                <w:sz w:val="20"/>
                <w:szCs w:val="20"/>
              </w:rPr>
            </w:pPr>
            <w:r>
              <w:rPr>
                <w:rFonts w:ascii="仿宋" w:hAnsi="仿宋" w:eastAsia="仿宋" w:cs="仿宋"/>
                <w:w w:val="99"/>
                <w:sz w:val="24"/>
                <w:szCs w:val="24"/>
              </w:rPr>
              <w:t>14</w:t>
            </w:r>
          </w:p>
        </w:tc>
        <w:tc>
          <w:tcPr>
            <w:tcW w:w="710" w:type="dxa"/>
            <w:vMerge w:val="continue"/>
            <w:vAlign w:val="bottom"/>
          </w:tcPr>
          <w:p w14:paraId="07867B84">
            <w:pPr>
              <w:rPr>
                <w:sz w:val="24"/>
                <w:szCs w:val="24"/>
              </w:rPr>
            </w:pPr>
          </w:p>
        </w:tc>
        <w:tc>
          <w:tcPr>
            <w:tcW w:w="3515" w:type="dxa"/>
            <w:gridSpan w:val="2"/>
            <w:vAlign w:val="bottom"/>
          </w:tcPr>
          <w:p w14:paraId="43CF7279">
            <w:pPr>
              <w:spacing w:line="274" w:lineRule="exact"/>
              <w:ind w:left="140"/>
              <w:rPr>
                <w:color w:val="FF0000"/>
                <w:sz w:val="20"/>
                <w:szCs w:val="20"/>
              </w:rPr>
            </w:pPr>
            <w:r>
              <w:rPr>
                <w:rFonts w:hint="eastAsia" w:ascii="仿宋" w:hAnsi="仿宋" w:eastAsia="仿宋" w:cs="仿宋"/>
                <w:color w:val="000000"/>
                <w:sz w:val="24"/>
                <w:szCs w:val="24"/>
              </w:rPr>
              <w:t>每千人口注册护士数</w:t>
            </w:r>
          </w:p>
        </w:tc>
        <w:tc>
          <w:tcPr>
            <w:tcW w:w="813" w:type="dxa"/>
            <w:vAlign w:val="bottom"/>
          </w:tcPr>
          <w:p w14:paraId="2D190F11">
            <w:pPr>
              <w:spacing w:line="274" w:lineRule="exact"/>
              <w:jc w:val="center"/>
              <w:rPr>
                <w:sz w:val="20"/>
                <w:szCs w:val="20"/>
              </w:rPr>
            </w:pPr>
            <w:r>
              <w:rPr>
                <w:rFonts w:hint="eastAsia" w:ascii="仿宋" w:hAnsi="仿宋" w:eastAsia="仿宋" w:cs="仿宋"/>
                <w:w w:val="99"/>
                <w:sz w:val="24"/>
                <w:szCs w:val="24"/>
              </w:rPr>
              <w:t>人</w:t>
            </w:r>
          </w:p>
        </w:tc>
        <w:tc>
          <w:tcPr>
            <w:tcW w:w="1151" w:type="dxa"/>
            <w:vAlign w:val="bottom"/>
          </w:tcPr>
          <w:p w14:paraId="0F5670B2">
            <w:pPr>
              <w:spacing w:line="274" w:lineRule="exact"/>
              <w:jc w:val="center"/>
              <w:rPr>
                <w:sz w:val="20"/>
                <w:szCs w:val="20"/>
              </w:rPr>
            </w:pPr>
            <w:r>
              <w:rPr>
                <w:rFonts w:ascii="仿宋" w:hAnsi="仿宋" w:eastAsia="仿宋" w:cs="仿宋"/>
                <w:w w:val="99"/>
                <w:sz w:val="24"/>
                <w:szCs w:val="24"/>
              </w:rPr>
              <w:t>2.80</w:t>
            </w:r>
          </w:p>
        </w:tc>
        <w:tc>
          <w:tcPr>
            <w:tcW w:w="1319" w:type="dxa"/>
            <w:vAlign w:val="bottom"/>
          </w:tcPr>
          <w:p w14:paraId="3ECA34A8">
            <w:pPr>
              <w:spacing w:line="274" w:lineRule="exact"/>
              <w:jc w:val="center"/>
              <w:rPr>
                <w:sz w:val="20"/>
                <w:szCs w:val="20"/>
              </w:rPr>
            </w:pPr>
            <w:r>
              <w:rPr>
                <w:rFonts w:ascii="仿宋" w:hAnsi="仿宋" w:eastAsia="仿宋" w:cs="仿宋"/>
                <w:w w:val="95"/>
                <w:sz w:val="24"/>
                <w:szCs w:val="24"/>
              </w:rPr>
              <w:t>3.04</w:t>
            </w:r>
          </w:p>
        </w:tc>
        <w:tc>
          <w:tcPr>
            <w:tcW w:w="1050" w:type="dxa"/>
            <w:vAlign w:val="bottom"/>
          </w:tcPr>
          <w:p w14:paraId="6DD8F7BE">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45CDDD69">
            <w:pPr>
              <w:rPr>
                <w:sz w:val="2"/>
                <w:szCs w:val="2"/>
              </w:rPr>
            </w:pPr>
          </w:p>
        </w:tc>
      </w:tr>
      <w:tr w14:paraId="7C55599C">
        <w:tblPrEx>
          <w:tblCellMar>
            <w:top w:w="0" w:type="dxa"/>
            <w:left w:w="0" w:type="dxa"/>
            <w:bottom w:w="0" w:type="dxa"/>
            <w:right w:w="0" w:type="dxa"/>
          </w:tblCellMar>
        </w:tblPrEx>
        <w:trPr>
          <w:trHeight w:val="273" w:hRule="atLeast"/>
        </w:trPr>
        <w:tc>
          <w:tcPr>
            <w:tcW w:w="527" w:type="dxa"/>
            <w:vAlign w:val="bottom"/>
          </w:tcPr>
          <w:p w14:paraId="2F10E345">
            <w:pPr>
              <w:spacing w:line="274" w:lineRule="exact"/>
              <w:jc w:val="center"/>
              <w:rPr>
                <w:sz w:val="20"/>
                <w:szCs w:val="20"/>
              </w:rPr>
            </w:pPr>
            <w:r>
              <w:rPr>
                <w:rFonts w:ascii="仿宋" w:hAnsi="仿宋" w:eastAsia="仿宋" w:cs="仿宋"/>
                <w:w w:val="99"/>
                <w:sz w:val="24"/>
                <w:szCs w:val="24"/>
              </w:rPr>
              <w:t>15</w:t>
            </w:r>
          </w:p>
        </w:tc>
        <w:tc>
          <w:tcPr>
            <w:tcW w:w="710" w:type="dxa"/>
            <w:vMerge w:val="continue"/>
            <w:vAlign w:val="bottom"/>
          </w:tcPr>
          <w:p w14:paraId="1FBEBA4A">
            <w:pPr>
              <w:rPr>
                <w:sz w:val="24"/>
                <w:szCs w:val="24"/>
              </w:rPr>
            </w:pPr>
          </w:p>
        </w:tc>
        <w:tc>
          <w:tcPr>
            <w:tcW w:w="3515" w:type="dxa"/>
            <w:gridSpan w:val="2"/>
            <w:vAlign w:val="bottom"/>
          </w:tcPr>
          <w:p w14:paraId="41C232F5">
            <w:pPr>
              <w:spacing w:line="274" w:lineRule="exact"/>
              <w:ind w:left="140"/>
              <w:rPr>
                <w:color w:val="000000"/>
                <w:sz w:val="20"/>
                <w:szCs w:val="20"/>
              </w:rPr>
            </w:pPr>
            <w:r>
              <w:rPr>
                <w:rFonts w:hint="eastAsia" w:ascii="仿宋" w:hAnsi="仿宋" w:eastAsia="仿宋" w:cs="仿宋"/>
                <w:color w:val="000000"/>
                <w:sz w:val="24"/>
                <w:szCs w:val="24"/>
              </w:rPr>
              <w:t>每千人口药师（士）数</w:t>
            </w:r>
          </w:p>
        </w:tc>
        <w:tc>
          <w:tcPr>
            <w:tcW w:w="813" w:type="dxa"/>
            <w:vAlign w:val="bottom"/>
          </w:tcPr>
          <w:p w14:paraId="649A10AC">
            <w:pPr>
              <w:spacing w:line="274" w:lineRule="exact"/>
              <w:jc w:val="center"/>
              <w:rPr>
                <w:color w:val="000000"/>
                <w:sz w:val="20"/>
                <w:szCs w:val="20"/>
              </w:rPr>
            </w:pPr>
            <w:r>
              <w:rPr>
                <w:rFonts w:hint="eastAsia" w:ascii="仿宋" w:hAnsi="仿宋" w:eastAsia="仿宋" w:cs="仿宋"/>
                <w:color w:val="000000"/>
                <w:w w:val="99"/>
                <w:sz w:val="24"/>
                <w:szCs w:val="24"/>
              </w:rPr>
              <w:t>人</w:t>
            </w:r>
          </w:p>
        </w:tc>
        <w:tc>
          <w:tcPr>
            <w:tcW w:w="1151" w:type="dxa"/>
            <w:vAlign w:val="bottom"/>
          </w:tcPr>
          <w:p w14:paraId="7468B02A">
            <w:pPr>
              <w:spacing w:line="274" w:lineRule="exact"/>
              <w:jc w:val="center"/>
              <w:rPr>
                <w:color w:val="000000"/>
                <w:sz w:val="20"/>
                <w:szCs w:val="20"/>
              </w:rPr>
            </w:pPr>
            <w:r>
              <w:rPr>
                <w:rFonts w:ascii="仿宋" w:hAnsi="仿宋" w:eastAsia="仿宋" w:cs="仿宋"/>
                <w:color w:val="000000"/>
                <w:w w:val="99"/>
                <w:sz w:val="24"/>
                <w:szCs w:val="24"/>
              </w:rPr>
              <w:t>0.59</w:t>
            </w:r>
          </w:p>
        </w:tc>
        <w:tc>
          <w:tcPr>
            <w:tcW w:w="1319" w:type="dxa"/>
            <w:vAlign w:val="bottom"/>
          </w:tcPr>
          <w:p w14:paraId="38DAA27D">
            <w:pPr>
              <w:spacing w:line="274" w:lineRule="exact"/>
              <w:jc w:val="center"/>
              <w:rPr>
                <w:sz w:val="20"/>
                <w:szCs w:val="20"/>
              </w:rPr>
            </w:pPr>
            <w:r>
              <w:rPr>
                <w:rFonts w:ascii="仿宋" w:hAnsi="仿宋" w:eastAsia="仿宋" w:cs="仿宋"/>
                <w:w w:val="95"/>
                <w:sz w:val="24"/>
                <w:szCs w:val="24"/>
              </w:rPr>
              <w:t>0.68</w:t>
            </w:r>
          </w:p>
        </w:tc>
        <w:tc>
          <w:tcPr>
            <w:tcW w:w="1050" w:type="dxa"/>
            <w:vAlign w:val="bottom"/>
          </w:tcPr>
          <w:p w14:paraId="273CAF02">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5813FEE9">
            <w:pPr>
              <w:rPr>
                <w:sz w:val="2"/>
                <w:szCs w:val="2"/>
              </w:rPr>
            </w:pPr>
          </w:p>
        </w:tc>
      </w:tr>
      <w:tr w14:paraId="38C4E363">
        <w:tblPrEx>
          <w:tblCellMar>
            <w:top w:w="0" w:type="dxa"/>
            <w:left w:w="0" w:type="dxa"/>
            <w:bottom w:w="0" w:type="dxa"/>
            <w:right w:w="0" w:type="dxa"/>
          </w:tblCellMar>
        </w:tblPrEx>
        <w:trPr>
          <w:trHeight w:val="408" w:hRule="atLeast"/>
        </w:trPr>
        <w:tc>
          <w:tcPr>
            <w:tcW w:w="527" w:type="dxa"/>
            <w:vAlign w:val="bottom"/>
          </w:tcPr>
          <w:p w14:paraId="51628579">
            <w:pPr>
              <w:spacing w:line="274" w:lineRule="exact"/>
              <w:jc w:val="center"/>
              <w:rPr>
                <w:sz w:val="20"/>
                <w:szCs w:val="20"/>
              </w:rPr>
            </w:pPr>
            <w:r>
              <w:rPr>
                <w:rFonts w:ascii="仿宋" w:hAnsi="仿宋" w:eastAsia="仿宋" w:cs="仿宋"/>
                <w:w w:val="99"/>
                <w:sz w:val="24"/>
                <w:szCs w:val="24"/>
              </w:rPr>
              <w:t>16</w:t>
            </w:r>
          </w:p>
        </w:tc>
        <w:tc>
          <w:tcPr>
            <w:tcW w:w="710" w:type="dxa"/>
            <w:vMerge w:val="continue"/>
            <w:vAlign w:val="bottom"/>
          </w:tcPr>
          <w:p w14:paraId="11AF2785">
            <w:pPr>
              <w:rPr>
                <w:sz w:val="24"/>
                <w:szCs w:val="24"/>
              </w:rPr>
            </w:pPr>
          </w:p>
        </w:tc>
        <w:tc>
          <w:tcPr>
            <w:tcW w:w="3515" w:type="dxa"/>
            <w:gridSpan w:val="2"/>
            <w:vAlign w:val="bottom"/>
          </w:tcPr>
          <w:p w14:paraId="486BD72F">
            <w:pPr>
              <w:spacing w:line="274" w:lineRule="exact"/>
              <w:ind w:left="140"/>
              <w:rPr>
                <w:color w:val="000000"/>
                <w:sz w:val="20"/>
                <w:szCs w:val="20"/>
              </w:rPr>
            </w:pPr>
            <w:r>
              <w:rPr>
                <w:rFonts w:hint="eastAsia" w:ascii="仿宋" w:hAnsi="仿宋" w:eastAsia="仿宋" w:cs="仿宋"/>
                <w:color w:val="000000"/>
                <w:sz w:val="24"/>
                <w:szCs w:val="24"/>
              </w:rPr>
              <w:t>每万人口全科医师数</w:t>
            </w:r>
          </w:p>
        </w:tc>
        <w:tc>
          <w:tcPr>
            <w:tcW w:w="813" w:type="dxa"/>
            <w:vAlign w:val="bottom"/>
          </w:tcPr>
          <w:p w14:paraId="254BE26D">
            <w:pPr>
              <w:spacing w:line="274" w:lineRule="exact"/>
              <w:jc w:val="center"/>
              <w:rPr>
                <w:color w:val="000000"/>
                <w:sz w:val="20"/>
                <w:szCs w:val="20"/>
              </w:rPr>
            </w:pPr>
            <w:r>
              <w:rPr>
                <w:rFonts w:hint="eastAsia" w:ascii="仿宋" w:hAnsi="仿宋" w:eastAsia="仿宋" w:cs="仿宋"/>
                <w:color w:val="000000"/>
                <w:w w:val="99"/>
                <w:sz w:val="24"/>
                <w:szCs w:val="24"/>
              </w:rPr>
              <w:t>人</w:t>
            </w:r>
          </w:p>
        </w:tc>
        <w:tc>
          <w:tcPr>
            <w:tcW w:w="1151" w:type="dxa"/>
            <w:vAlign w:val="bottom"/>
          </w:tcPr>
          <w:p w14:paraId="31930C99">
            <w:pPr>
              <w:spacing w:line="274" w:lineRule="exact"/>
              <w:jc w:val="center"/>
              <w:rPr>
                <w:color w:val="000000"/>
                <w:sz w:val="20"/>
                <w:szCs w:val="20"/>
              </w:rPr>
            </w:pPr>
            <w:r>
              <w:rPr>
                <w:rFonts w:ascii="仿宋" w:hAnsi="仿宋" w:eastAsia="仿宋" w:cs="仿宋"/>
                <w:color w:val="000000"/>
                <w:w w:val="99"/>
                <w:sz w:val="24"/>
                <w:szCs w:val="24"/>
              </w:rPr>
              <w:t>2.63</w:t>
            </w:r>
          </w:p>
        </w:tc>
        <w:tc>
          <w:tcPr>
            <w:tcW w:w="1319" w:type="dxa"/>
            <w:vAlign w:val="bottom"/>
          </w:tcPr>
          <w:p w14:paraId="1D1D0B40">
            <w:pPr>
              <w:spacing w:line="274" w:lineRule="exact"/>
              <w:jc w:val="center"/>
              <w:rPr>
                <w:sz w:val="20"/>
                <w:szCs w:val="20"/>
              </w:rPr>
            </w:pPr>
            <w:r>
              <w:rPr>
                <w:rFonts w:ascii="仿宋" w:hAnsi="仿宋" w:eastAsia="仿宋" w:cs="仿宋"/>
                <w:w w:val="95"/>
                <w:sz w:val="24"/>
                <w:szCs w:val="24"/>
              </w:rPr>
              <w:t>3</w:t>
            </w:r>
          </w:p>
        </w:tc>
        <w:tc>
          <w:tcPr>
            <w:tcW w:w="1050" w:type="dxa"/>
            <w:vAlign w:val="bottom"/>
          </w:tcPr>
          <w:p w14:paraId="31768314">
            <w:pPr>
              <w:spacing w:line="274" w:lineRule="exact"/>
              <w:ind w:left="120"/>
              <w:rPr>
                <w:sz w:val="20"/>
                <w:szCs w:val="20"/>
              </w:rPr>
            </w:pPr>
            <w:r>
              <w:rPr>
                <w:rFonts w:hint="eastAsia" w:ascii="仿宋" w:hAnsi="仿宋" w:eastAsia="仿宋" w:cs="仿宋"/>
                <w:sz w:val="24"/>
                <w:szCs w:val="24"/>
              </w:rPr>
              <w:t>约束性</w:t>
            </w:r>
          </w:p>
        </w:tc>
        <w:tc>
          <w:tcPr>
            <w:tcW w:w="1555" w:type="dxa"/>
            <w:vAlign w:val="bottom"/>
          </w:tcPr>
          <w:p w14:paraId="2E9A1B2B">
            <w:pPr>
              <w:rPr>
                <w:sz w:val="2"/>
                <w:szCs w:val="2"/>
              </w:rPr>
            </w:pPr>
          </w:p>
        </w:tc>
      </w:tr>
      <w:tr w14:paraId="2DA642B4">
        <w:tblPrEx>
          <w:tblCellMar>
            <w:top w:w="0" w:type="dxa"/>
            <w:left w:w="0" w:type="dxa"/>
            <w:bottom w:w="0" w:type="dxa"/>
            <w:right w:w="0" w:type="dxa"/>
          </w:tblCellMar>
        </w:tblPrEx>
        <w:trPr>
          <w:trHeight w:val="306" w:hRule="atLeast"/>
        </w:trPr>
        <w:tc>
          <w:tcPr>
            <w:tcW w:w="527" w:type="dxa"/>
            <w:vAlign w:val="bottom"/>
          </w:tcPr>
          <w:p w14:paraId="4E6B138A">
            <w:pPr>
              <w:spacing w:line="274" w:lineRule="exact"/>
              <w:jc w:val="center"/>
              <w:rPr>
                <w:sz w:val="20"/>
                <w:szCs w:val="20"/>
              </w:rPr>
            </w:pPr>
            <w:r>
              <w:rPr>
                <w:rFonts w:ascii="仿宋" w:hAnsi="仿宋" w:eastAsia="仿宋" w:cs="仿宋"/>
                <w:w w:val="99"/>
                <w:sz w:val="24"/>
                <w:szCs w:val="24"/>
              </w:rPr>
              <w:t>17</w:t>
            </w:r>
          </w:p>
        </w:tc>
        <w:tc>
          <w:tcPr>
            <w:tcW w:w="710" w:type="dxa"/>
            <w:vMerge w:val="continue"/>
            <w:vAlign w:val="bottom"/>
          </w:tcPr>
          <w:p w14:paraId="5C84BF3F">
            <w:pPr>
              <w:rPr>
                <w:sz w:val="24"/>
                <w:szCs w:val="24"/>
              </w:rPr>
            </w:pPr>
          </w:p>
        </w:tc>
        <w:tc>
          <w:tcPr>
            <w:tcW w:w="3515" w:type="dxa"/>
            <w:gridSpan w:val="2"/>
            <w:vAlign w:val="center"/>
          </w:tcPr>
          <w:p w14:paraId="1A934745">
            <w:pPr>
              <w:spacing w:line="274" w:lineRule="exact"/>
              <w:ind w:left="140"/>
              <w:rPr>
                <w:color w:val="000000"/>
                <w:spacing w:val="-12"/>
                <w:sz w:val="20"/>
                <w:szCs w:val="20"/>
              </w:rPr>
            </w:pPr>
            <w:r>
              <w:rPr>
                <w:rFonts w:hint="eastAsia" w:ascii="仿宋" w:hAnsi="仿宋" w:eastAsia="仿宋" w:cs="仿宋"/>
                <w:color w:val="000000"/>
                <w:spacing w:val="-12"/>
                <w:sz w:val="24"/>
                <w:szCs w:val="24"/>
              </w:rPr>
              <w:t>每万人口专业公共卫生机构人员数</w:t>
            </w:r>
          </w:p>
        </w:tc>
        <w:tc>
          <w:tcPr>
            <w:tcW w:w="813" w:type="dxa"/>
            <w:vAlign w:val="center"/>
          </w:tcPr>
          <w:p w14:paraId="6C0B4696">
            <w:pPr>
              <w:spacing w:line="274" w:lineRule="exact"/>
              <w:jc w:val="center"/>
              <w:rPr>
                <w:color w:val="000000"/>
                <w:sz w:val="20"/>
                <w:szCs w:val="20"/>
              </w:rPr>
            </w:pPr>
            <w:r>
              <w:rPr>
                <w:rFonts w:hint="eastAsia" w:ascii="仿宋" w:hAnsi="仿宋" w:eastAsia="仿宋" w:cs="仿宋"/>
                <w:color w:val="000000"/>
                <w:w w:val="99"/>
                <w:sz w:val="24"/>
                <w:szCs w:val="24"/>
              </w:rPr>
              <w:t>人</w:t>
            </w:r>
          </w:p>
        </w:tc>
        <w:tc>
          <w:tcPr>
            <w:tcW w:w="1151" w:type="dxa"/>
            <w:vAlign w:val="center"/>
          </w:tcPr>
          <w:p w14:paraId="0C4EC9D4">
            <w:pPr>
              <w:spacing w:line="274" w:lineRule="exact"/>
              <w:jc w:val="center"/>
              <w:rPr>
                <w:color w:val="000000"/>
                <w:sz w:val="20"/>
                <w:szCs w:val="20"/>
              </w:rPr>
            </w:pPr>
            <w:r>
              <w:rPr>
                <w:rFonts w:ascii="仿宋" w:hAnsi="仿宋" w:eastAsia="仿宋" w:cs="仿宋"/>
                <w:color w:val="000000"/>
                <w:w w:val="99"/>
                <w:sz w:val="24"/>
                <w:szCs w:val="24"/>
              </w:rPr>
              <w:t>2.22</w:t>
            </w:r>
          </w:p>
        </w:tc>
        <w:tc>
          <w:tcPr>
            <w:tcW w:w="1319" w:type="dxa"/>
            <w:vAlign w:val="center"/>
          </w:tcPr>
          <w:p w14:paraId="1DCDE7CD">
            <w:pPr>
              <w:spacing w:line="274" w:lineRule="exact"/>
              <w:jc w:val="center"/>
              <w:rPr>
                <w:sz w:val="20"/>
                <w:szCs w:val="20"/>
              </w:rPr>
            </w:pPr>
            <w:r>
              <w:rPr>
                <w:rFonts w:ascii="仿宋" w:hAnsi="仿宋" w:eastAsia="仿宋" w:cs="仿宋"/>
                <w:w w:val="99"/>
                <w:sz w:val="24"/>
                <w:szCs w:val="24"/>
              </w:rPr>
              <w:t>3</w:t>
            </w:r>
          </w:p>
        </w:tc>
        <w:tc>
          <w:tcPr>
            <w:tcW w:w="1050" w:type="dxa"/>
            <w:vAlign w:val="center"/>
          </w:tcPr>
          <w:p w14:paraId="23B8CEB5">
            <w:pPr>
              <w:spacing w:line="274" w:lineRule="exact"/>
              <w:ind w:left="120"/>
              <w:rPr>
                <w:sz w:val="20"/>
                <w:szCs w:val="20"/>
              </w:rPr>
            </w:pPr>
            <w:r>
              <w:rPr>
                <w:rFonts w:hint="eastAsia" w:ascii="仿宋" w:hAnsi="仿宋" w:eastAsia="仿宋" w:cs="仿宋"/>
                <w:sz w:val="24"/>
                <w:szCs w:val="24"/>
              </w:rPr>
              <w:t>指导性</w:t>
            </w:r>
          </w:p>
        </w:tc>
        <w:tc>
          <w:tcPr>
            <w:tcW w:w="1555" w:type="dxa"/>
            <w:vAlign w:val="bottom"/>
          </w:tcPr>
          <w:p w14:paraId="7B1DD06B">
            <w:pPr>
              <w:rPr>
                <w:sz w:val="2"/>
                <w:szCs w:val="2"/>
              </w:rPr>
            </w:pPr>
          </w:p>
        </w:tc>
      </w:tr>
      <w:tr w14:paraId="11CD8BF2">
        <w:tblPrEx>
          <w:tblCellMar>
            <w:top w:w="0" w:type="dxa"/>
            <w:left w:w="0" w:type="dxa"/>
            <w:bottom w:w="0" w:type="dxa"/>
            <w:right w:w="0" w:type="dxa"/>
          </w:tblCellMar>
        </w:tblPrEx>
        <w:trPr>
          <w:trHeight w:val="408" w:hRule="atLeast"/>
        </w:trPr>
        <w:tc>
          <w:tcPr>
            <w:tcW w:w="527" w:type="dxa"/>
            <w:vAlign w:val="bottom"/>
          </w:tcPr>
          <w:p w14:paraId="0C7D1FED">
            <w:pPr>
              <w:spacing w:line="274" w:lineRule="exact"/>
              <w:jc w:val="center"/>
              <w:rPr>
                <w:sz w:val="20"/>
                <w:szCs w:val="20"/>
              </w:rPr>
            </w:pPr>
            <w:r>
              <w:rPr>
                <w:rFonts w:ascii="仿宋" w:hAnsi="仿宋" w:eastAsia="仿宋" w:cs="仿宋"/>
                <w:w w:val="99"/>
                <w:sz w:val="24"/>
                <w:szCs w:val="24"/>
              </w:rPr>
              <w:t>18</w:t>
            </w:r>
          </w:p>
        </w:tc>
        <w:tc>
          <w:tcPr>
            <w:tcW w:w="710" w:type="dxa"/>
            <w:vMerge w:val="continue"/>
            <w:vAlign w:val="bottom"/>
          </w:tcPr>
          <w:p w14:paraId="0283C4E7">
            <w:pPr>
              <w:rPr>
                <w:sz w:val="24"/>
                <w:szCs w:val="24"/>
              </w:rPr>
            </w:pPr>
          </w:p>
        </w:tc>
        <w:tc>
          <w:tcPr>
            <w:tcW w:w="3515" w:type="dxa"/>
            <w:gridSpan w:val="2"/>
            <w:vAlign w:val="bottom"/>
          </w:tcPr>
          <w:p w14:paraId="68C239B3">
            <w:pPr>
              <w:spacing w:line="274" w:lineRule="exact"/>
              <w:ind w:left="140"/>
              <w:rPr>
                <w:color w:val="FF0000"/>
                <w:sz w:val="20"/>
                <w:szCs w:val="20"/>
              </w:rPr>
            </w:pPr>
            <w:r>
              <w:rPr>
                <w:rFonts w:hint="eastAsia" w:ascii="仿宋" w:hAnsi="仿宋" w:eastAsia="仿宋" w:cs="仿宋"/>
                <w:color w:val="000000"/>
                <w:sz w:val="24"/>
                <w:szCs w:val="24"/>
              </w:rPr>
              <w:t>孕产妇系统管理率</w:t>
            </w:r>
          </w:p>
        </w:tc>
        <w:tc>
          <w:tcPr>
            <w:tcW w:w="813" w:type="dxa"/>
            <w:vAlign w:val="bottom"/>
          </w:tcPr>
          <w:p w14:paraId="64DF3E0A">
            <w:pPr>
              <w:spacing w:line="274" w:lineRule="exact"/>
              <w:jc w:val="center"/>
              <w:rPr>
                <w:sz w:val="20"/>
                <w:szCs w:val="20"/>
              </w:rPr>
            </w:pPr>
            <w:r>
              <w:rPr>
                <w:rFonts w:ascii="仿宋" w:hAnsi="仿宋" w:eastAsia="仿宋" w:cs="仿宋"/>
                <w:w w:val="99"/>
                <w:sz w:val="24"/>
                <w:szCs w:val="24"/>
              </w:rPr>
              <w:t>%</w:t>
            </w:r>
          </w:p>
        </w:tc>
        <w:tc>
          <w:tcPr>
            <w:tcW w:w="1151" w:type="dxa"/>
            <w:vAlign w:val="bottom"/>
          </w:tcPr>
          <w:p w14:paraId="5F55CF71">
            <w:pPr>
              <w:spacing w:line="274" w:lineRule="exact"/>
              <w:jc w:val="center"/>
              <w:rPr>
                <w:sz w:val="20"/>
                <w:szCs w:val="20"/>
              </w:rPr>
            </w:pPr>
            <w:r>
              <w:rPr>
                <w:rFonts w:ascii="仿宋" w:hAnsi="仿宋" w:eastAsia="仿宋" w:cs="仿宋"/>
                <w:w w:val="99"/>
                <w:sz w:val="24"/>
                <w:szCs w:val="24"/>
              </w:rPr>
              <w:t>89.99</w:t>
            </w:r>
          </w:p>
        </w:tc>
        <w:tc>
          <w:tcPr>
            <w:tcW w:w="1319" w:type="dxa"/>
            <w:vAlign w:val="bottom"/>
          </w:tcPr>
          <w:p w14:paraId="18A1C5E5">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95</w:t>
            </w:r>
          </w:p>
        </w:tc>
        <w:tc>
          <w:tcPr>
            <w:tcW w:w="1050" w:type="dxa"/>
            <w:vAlign w:val="bottom"/>
          </w:tcPr>
          <w:p w14:paraId="337ED750">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6B9F665D">
            <w:pPr>
              <w:rPr>
                <w:sz w:val="2"/>
                <w:szCs w:val="2"/>
              </w:rPr>
            </w:pPr>
          </w:p>
        </w:tc>
      </w:tr>
      <w:tr w14:paraId="2ADAA614">
        <w:tblPrEx>
          <w:tblCellMar>
            <w:top w:w="0" w:type="dxa"/>
            <w:left w:w="0" w:type="dxa"/>
            <w:bottom w:w="0" w:type="dxa"/>
            <w:right w:w="0" w:type="dxa"/>
          </w:tblCellMar>
        </w:tblPrEx>
        <w:trPr>
          <w:trHeight w:val="247" w:hRule="atLeast"/>
        </w:trPr>
        <w:tc>
          <w:tcPr>
            <w:tcW w:w="527" w:type="dxa"/>
            <w:vMerge w:val="restart"/>
            <w:vAlign w:val="bottom"/>
          </w:tcPr>
          <w:p w14:paraId="6917A337">
            <w:pPr>
              <w:spacing w:line="274" w:lineRule="exact"/>
              <w:jc w:val="center"/>
              <w:rPr>
                <w:sz w:val="20"/>
                <w:szCs w:val="20"/>
              </w:rPr>
            </w:pPr>
            <w:r>
              <w:rPr>
                <w:rFonts w:ascii="仿宋" w:hAnsi="仿宋" w:eastAsia="仿宋" w:cs="仿宋"/>
                <w:w w:val="99"/>
                <w:sz w:val="24"/>
                <w:szCs w:val="24"/>
              </w:rPr>
              <w:t>19</w:t>
            </w:r>
          </w:p>
        </w:tc>
        <w:tc>
          <w:tcPr>
            <w:tcW w:w="710" w:type="dxa"/>
            <w:vMerge w:val="continue"/>
            <w:vAlign w:val="bottom"/>
          </w:tcPr>
          <w:p w14:paraId="30781FCE">
            <w:pPr>
              <w:spacing w:line="247" w:lineRule="exact"/>
              <w:ind w:left="220"/>
              <w:rPr>
                <w:sz w:val="20"/>
                <w:szCs w:val="20"/>
              </w:rPr>
            </w:pPr>
          </w:p>
        </w:tc>
        <w:tc>
          <w:tcPr>
            <w:tcW w:w="3515" w:type="dxa"/>
            <w:gridSpan w:val="2"/>
            <w:vMerge w:val="restart"/>
          </w:tcPr>
          <w:p w14:paraId="5BBA58E4">
            <w:pPr>
              <w:spacing w:line="274" w:lineRule="exact"/>
              <w:ind w:left="140"/>
              <w:rPr>
                <w:color w:val="FF0000"/>
                <w:sz w:val="20"/>
                <w:szCs w:val="20"/>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岁以下儿童系统管理率</w:t>
            </w:r>
          </w:p>
        </w:tc>
        <w:tc>
          <w:tcPr>
            <w:tcW w:w="813" w:type="dxa"/>
            <w:vMerge w:val="restart"/>
          </w:tcPr>
          <w:p w14:paraId="3666AB7B">
            <w:pPr>
              <w:spacing w:line="274" w:lineRule="exact"/>
              <w:jc w:val="center"/>
              <w:rPr>
                <w:sz w:val="20"/>
                <w:szCs w:val="20"/>
              </w:rPr>
            </w:pPr>
            <w:r>
              <w:rPr>
                <w:rFonts w:ascii="仿宋" w:hAnsi="仿宋" w:eastAsia="仿宋" w:cs="仿宋"/>
                <w:w w:val="99"/>
                <w:sz w:val="24"/>
                <w:szCs w:val="24"/>
              </w:rPr>
              <w:t>%</w:t>
            </w:r>
          </w:p>
        </w:tc>
        <w:tc>
          <w:tcPr>
            <w:tcW w:w="1151" w:type="dxa"/>
            <w:vMerge w:val="restart"/>
          </w:tcPr>
          <w:p w14:paraId="1B0BA70B">
            <w:pPr>
              <w:spacing w:line="274" w:lineRule="exact"/>
              <w:jc w:val="center"/>
              <w:rPr>
                <w:sz w:val="20"/>
                <w:szCs w:val="20"/>
              </w:rPr>
            </w:pPr>
            <w:r>
              <w:rPr>
                <w:rFonts w:ascii="仿宋" w:hAnsi="仿宋" w:eastAsia="仿宋" w:cs="仿宋"/>
                <w:w w:val="99"/>
                <w:sz w:val="24"/>
                <w:szCs w:val="24"/>
              </w:rPr>
              <w:t>98.54</w:t>
            </w:r>
          </w:p>
        </w:tc>
        <w:tc>
          <w:tcPr>
            <w:tcW w:w="1319" w:type="dxa"/>
            <w:vMerge w:val="restart"/>
          </w:tcPr>
          <w:p w14:paraId="44084046">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95</w:t>
            </w:r>
          </w:p>
        </w:tc>
        <w:tc>
          <w:tcPr>
            <w:tcW w:w="1050" w:type="dxa"/>
            <w:vMerge w:val="restart"/>
          </w:tcPr>
          <w:p w14:paraId="45C60ECC">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230C11CE">
            <w:pPr>
              <w:rPr>
                <w:sz w:val="2"/>
                <w:szCs w:val="2"/>
              </w:rPr>
            </w:pPr>
          </w:p>
        </w:tc>
      </w:tr>
      <w:tr w14:paraId="3C9C0C20">
        <w:tblPrEx>
          <w:tblCellMar>
            <w:top w:w="0" w:type="dxa"/>
            <w:left w:w="0" w:type="dxa"/>
            <w:bottom w:w="0" w:type="dxa"/>
            <w:right w:w="0" w:type="dxa"/>
          </w:tblCellMar>
        </w:tblPrEx>
        <w:trPr>
          <w:trHeight w:val="90" w:hRule="atLeast"/>
        </w:trPr>
        <w:tc>
          <w:tcPr>
            <w:tcW w:w="527" w:type="dxa"/>
            <w:vMerge w:val="continue"/>
            <w:vAlign w:val="bottom"/>
          </w:tcPr>
          <w:p w14:paraId="3C757C4A">
            <w:pPr>
              <w:rPr>
                <w:sz w:val="24"/>
                <w:szCs w:val="24"/>
              </w:rPr>
            </w:pPr>
          </w:p>
        </w:tc>
        <w:tc>
          <w:tcPr>
            <w:tcW w:w="710" w:type="dxa"/>
            <w:vMerge w:val="continue"/>
            <w:vAlign w:val="bottom"/>
          </w:tcPr>
          <w:p w14:paraId="4AC1B3D0">
            <w:pPr>
              <w:spacing w:line="274" w:lineRule="exact"/>
              <w:ind w:left="220"/>
              <w:rPr>
                <w:sz w:val="20"/>
                <w:szCs w:val="20"/>
              </w:rPr>
            </w:pPr>
          </w:p>
        </w:tc>
        <w:tc>
          <w:tcPr>
            <w:tcW w:w="3515" w:type="dxa"/>
            <w:gridSpan w:val="2"/>
            <w:vMerge w:val="continue"/>
            <w:vAlign w:val="bottom"/>
          </w:tcPr>
          <w:p w14:paraId="272100BA">
            <w:pPr>
              <w:rPr>
                <w:color w:val="FF0000"/>
                <w:sz w:val="24"/>
                <w:szCs w:val="24"/>
              </w:rPr>
            </w:pPr>
          </w:p>
        </w:tc>
        <w:tc>
          <w:tcPr>
            <w:tcW w:w="813" w:type="dxa"/>
            <w:vMerge w:val="continue"/>
            <w:vAlign w:val="bottom"/>
          </w:tcPr>
          <w:p w14:paraId="1A7B7AA1">
            <w:pPr>
              <w:rPr>
                <w:sz w:val="24"/>
                <w:szCs w:val="24"/>
              </w:rPr>
            </w:pPr>
          </w:p>
        </w:tc>
        <w:tc>
          <w:tcPr>
            <w:tcW w:w="1151" w:type="dxa"/>
            <w:vMerge w:val="continue"/>
            <w:vAlign w:val="bottom"/>
          </w:tcPr>
          <w:p w14:paraId="65FFDC16">
            <w:pPr>
              <w:rPr>
                <w:sz w:val="24"/>
                <w:szCs w:val="24"/>
              </w:rPr>
            </w:pPr>
          </w:p>
        </w:tc>
        <w:tc>
          <w:tcPr>
            <w:tcW w:w="1319" w:type="dxa"/>
            <w:vMerge w:val="continue"/>
            <w:vAlign w:val="bottom"/>
          </w:tcPr>
          <w:p w14:paraId="045AD41A">
            <w:pPr>
              <w:rPr>
                <w:sz w:val="24"/>
                <w:szCs w:val="24"/>
              </w:rPr>
            </w:pPr>
          </w:p>
        </w:tc>
        <w:tc>
          <w:tcPr>
            <w:tcW w:w="1050" w:type="dxa"/>
            <w:vMerge w:val="continue"/>
            <w:vAlign w:val="bottom"/>
          </w:tcPr>
          <w:p w14:paraId="7897C913">
            <w:pPr>
              <w:rPr>
                <w:sz w:val="24"/>
                <w:szCs w:val="24"/>
              </w:rPr>
            </w:pPr>
          </w:p>
        </w:tc>
        <w:tc>
          <w:tcPr>
            <w:tcW w:w="1555" w:type="dxa"/>
            <w:vAlign w:val="bottom"/>
          </w:tcPr>
          <w:p w14:paraId="4335AD12">
            <w:pPr>
              <w:rPr>
                <w:sz w:val="2"/>
                <w:szCs w:val="2"/>
              </w:rPr>
            </w:pPr>
          </w:p>
        </w:tc>
      </w:tr>
      <w:tr w14:paraId="06D9CEC6">
        <w:tblPrEx>
          <w:tblCellMar>
            <w:top w:w="0" w:type="dxa"/>
            <w:left w:w="0" w:type="dxa"/>
            <w:bottom w:w="0" w:type="dxa"/>
            <w:right w:w="0" w:type="dxa"/>
          </w:tblCellMar>
        </w:tblPrEx>
        <w:trPr>
          <w:trHeight w:val="296" w:hRule="atLeast"/>
        </w:trPr>
        <w:tc>
          <w:tcPr>
            <w:tcW w:w="527" w:type="dxa"/>
            <w:vMerge w:val="restart"/>
            <w:vAlign w:val="bottom"/>
          </w:tcPr>
          <w:p w14:paraId="44DFA3B9">
            <w:pPr>
              <w:spacing w:line="274" w:lineRule="exact"/>
              <w:jc w:val="center"/>
              <w:rPr>
                <w:sz w:val="20"/>
                <w:szCs w:val="20"/>
              </w:rPr>
            </w:pPr>
            <w:r>
              <w:rPr>
                <w:rFonts w:ascii="仿宋" w:hAnsi="仿宋" w:eastAsia="仿宋" w:cs="仿宋"/>
                <w:w w:val="99"/>
                <w:sz w:val="24"/>
                <w:szCs w:val="24"/>
              </w:rPr>
              <w:t>20</w:t>
            </w:r>
          </w:p>
        </w:tc>
        <w:tc>
          <w:tcPr>
            <w:tcW w:w="710" w:type="dxa"/>
            <w:vMerge w:val="continue"/>
            <w:vAlign w:val="bottom"/>
          </w:tcPr>
          <w:p w14:paraId="7A890BE7"/>
        </w:tc>
        <w:tc>
          <w:tcPr>
            <w:tcW w:w="3515" w:type="dxa"/>
            <w:gridSpan w:val="2"/>
            <w:vMerge w:val="restart"/>
          </w:tcPr>
          <w:p w14:paraId="79CFE5AA">
            <w:pPr>
              <w:spacing w:line="245" w:lineRule="exact"/>
              <w:ind w:left="140"/>
              <w:rPr>
                <w:color w:val="000000"/>
                <w:sz w:val="20"/>
                <w:szCs w:val="20"/>
              </w:rPr>
            </w:pPr>
            <w:r>
              <w:rPr>
                <w:rFonts w:hint="eastAsia" w:ascii="仿宋" w:hAnsi="仿宋" w:eastAsia="仿宋" w:cs="仿宋"/>
                <w:color w:val="000000"/>
                <w:sz w:val="24"/>
                <w:szCs w:val="24"/>
              </w:rPr>
              <w:t>以乡（镇、街道）为单位适龄儿童免疫规划疫苗接种率</w:t>
            </w:r>
          </w:p>
        </w:tc>
        <w:tc>
          <w:tcPr>
            <w:tcW w:w="813" w:type="dxa"/>
            <w:vMerge w:val="restart"/>
          </w:tcPr>
          <w:p w14:paraId="1809D814">
            <w:pPr>
              <w:spacing w:line="274" w:lineRule="exact"/>
              <w:ind w:firstLine="355" w:firstLineChars="150"/>
              <w:rPr>
                <w:color w:val="000000"/>
                <w:sz w:val="20"/>
                <w:szCs w:val="20"/>
              </w:rPr>
            </w:pPr>
            <w:r>
              <w:rPr>
                <w:rFonts w:ascii="仿宋" w:hAnsi="仿宋" w:eastAsia="仿宋" w:cs="仿宋"/>
                <w:color w:val="000000"/>
                <w:w w:val="99"/>
                <w:sz w:val="24"/>
                <w:szCs w:val="24"/>
              </w:rPr>
              <w:t>%</w:t>
            </w:r>
          </w:p>
        </w:tc>
        <w:tc>
          <w:tcPr>
            <w:tcW w:w="1151" w:type="dxa"/>
            <w:vMerge w:val="restart"/>
            <w:vAlign w:val="center"/>
          </w:tcPr>
          <w:p w14:paraId="075AF0FB">
            <w:pPr>
              <w:spacing w:line="274" w:lineRule="exact"/>
              <w:jc w:val="center"/>
              <w:rPr>
                <w:color w:val="000000"/>
                <w:sz w:val="20"/>
                <w:szCs w:val="20"/>
              </w:rPr>
            </w:pPr>
            <w:r>
              <w:rPr>
                <w:rFonts w:ascii="仿宋" w:hAnsi="仿宋" w:eastAsia="仿宋" w:cs="仿宋"/>
                <w:color w:val="000000"/>
                <w:w w:val="99"/>
                <w:sz w:val="24"/>
                <w:szCs w:val="24"/>
              </w:rPr>
              <w:t>99.00</w:t>
            </w:r>
          </w:p>
        </w:tc>
        <w:tc>
          <w:tcPr>
            <w:tcW w:w="1319" w:type="dxa"/>
            <w:vMerge w:val="restart"/>
            <w:vAlign w:val="center"/>
          </w:tcPr>
          <w:p w14:paraId="7286780A">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90</w:t>
            </w:r>
          </w:p>
        </w:tc>
        <w:tc>
          <w:tcPr>
            <w:tcW w:w="1050" w:type="dxa"/>
            <w:vMerge w:val="restart"/>
            <w:vAlign w:val="center"/>
          </w:tcPr>
          <w:p w14:paraId="53007452">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14:paraId="12E02639">
            <w:pPr>
              <w:rPr>
                <w:sz w:val="2"/>
                <w:szCs w:val="2"/>
              </w:rPr>
            </w:pPr>
          </w:p>
        </w:tc>
      </w:tr>
      <w:tr w14:paraId="6081221A">
        <w:tblPrEx>
          <w:tblCellMar>
            <w:top w:w="0" w:type="dxa"/>
            <w:left w:w="0" w:type="dxa"/>
            <w:bottom w:w="0" w:type="dxa"/>
            <w:right w:w="0" w:type="dxa"/>
          </w:tblCellMar>
        </w:tblPrEx>
        <w:trPr>
          <w:trHeight w:val="156" w:hRule="atLeast"/>
        </w:trPr>
        <w:tc>
          <w:tcPr>
            <w:tcW w:w="527" w:type="dxa"/>
            <w:vMerge w:val="continue"/>
            <w:vAlign w:val="bottom"/>
          </w:tcPr>
          <w:p w14:paraId="0EE138FE">
            <w:pPr>
              <w:rPr>
                <w:sz w:val="13"/>
                <w:szCs w:val="13"/>
              </w:rPr>
            </w:pPr>
          </w:p>
        </w:tc>
        <w:tc>
          <w:tcPr>
            <w:tcW w:w="710" w:type="dxa"/>
            <w:vMerge w:val="continue"/>
            <w:vAlign w:val="bottom"/>
          </w:tcPr>
          <w:p w14:paraId="50058A8F">
            <w:pPr>
              <w:rPr>
                <w:sz w:val="13"/>
                <w:szCs w:val="13"/>
              </w:rPr>
            </w:pPr>
          </w:p>
        </w:tc>
        <w:tc>
          <w:tcPr>
            <w:tcW w:w="3515" w:type="dxa"/>
            <w:gridSpan w:val="2"/>
            <w:vMerge w:val="continue"/>
          </w:tcPr>
          <w:p w14:paraId="71AD4D18">
            <w:pPr>
              <w:spacing w:line="274" w:lineRule="exact"/>
              <w:ind w:left="140"/>
              <w:rPr>
                <w:color w:val="000000"/>
                <w:sz w:val="20"/>
                <w:szCs w:val="20"/>
              </w:rPr>
            </w:pPr>
          </w:p>
        </w:tc>
        <w:tc>
          <w:tcPr>
            <w:tcW w:w="813" w:type="dxa"/>
            <w:vMerge w:val="continue"/>
          </w:tcPr>
          <w:p w14:paraId="67D1B99E">
            <w:pPr>
              <w:rPr>
                <w:color w:val="000000"/>
                <w:sz w:val="13"/>
                <w:szCs w:val="13"/>
              </w:rPr>
            </w:pPr>
          </w:p>
        </w:tc>
        <w:tc>
          <w:tcPr>
            <w:tcW w:w="1151" w:type="dxa"/>
            <w:vMerge w:val="continue"/>
            <w:vAlign w:val="center"/>
          </w:tcPr>
          <w:p w14:paraId="78FDD040">
            <w:pPr>
              <w:jc w:val="center"/>
              <w:rPr>
                <w:color w:val="000000"/>
                <w:sz w:val="13"/>
                <w:szCs w:val="13"/>
              </w:rPr>
            </w:pPr>
          </w:p>
        </w:tc>
        <w:tc>
          <w:tcPr>
            <w:tcW w:w="1319" w:type="dxa"/>
            <w:vMerge w:val="continue"/>
            <w:vAlign w:val="center"/>
          </w:tcPr>
          <w:p w14:paraId="3FE13CAB">
            <w:pPr>
              <w:jc w:val="center"/>
              <w:rPr>
                <w:color w:val="000000"/>
                <w:sz w:val="13"/>
                <w:szCs w:val="13"/>
              </w:rPr>
            </w:pPr>
          </w:p>
        </w:tc>
        <w:tc>
          <w:tcPr>
            <w:tcW w:w="1050" w:type="dxa"/>
            <w:vMerge w:val="continue"/>
            <w:vAlign w:val="center"/>
          </w:tcPr>
          <w:p w14:paraId="69817581">
            <w:pPr>
              <w:jc w:val="center"/>
              <w:rPr>
                <w:color w:val="000000"/>
                <w:sz w:val="13"/>
                <w:szCs w:val="13"/>
              </w:rPr>
            </w:pPr>
          </w:p>
        </w:tc>
        <w:tc>
          <w:tcPr>
            <w:tcW w:w="1555" w:type="dxa"/>
            <w:vAlign w:val="bottom"/>
          </w:tcPr>
          <w:p w14:paraId="4913BCAC">
            <w:pPr>
              <w:rPr>
                <w:sz w:val="2"/>
                <w:szCs w:val="2"/>
              </w:rPr>
            </w:pPr>
          </w:p>
        </w:tc>
      </w:tr>
      <w:tr w14:paraId="4DA14438">
        <w:tblPrEx>
          <w:tblCellMar>
            <w:top w:w="0" w:type="dxa"/>
            <w:left w:w="0" w:type="dxa"/>
            <w:bottom w:w="0" w:type="dxa"/>
            <w:right w:w="0" w:type="dxa"/>
          </w:tblCellMar>
        </w:tblPrEx>
        <w:trPr>
          <w:trHeight w:val="156" w:hRule="atLeast"/>
        </w:trPr>
        <w:tc>
          <w:tcPr>
            <w:tcW w:w="527" w:type="dxa"/>
            <w:vAlign w:val="bottom"/>
          </w:tcPr>
          <w:p w14:paraId="282340CA">
            <w:pPr>
              <w:rPr>
                <w:sz w:val="13"/>
                <w:szCs w:val="13"/>
              </w:rPr>
            </w:pPr>
          </w:p>
        </w:tc>
        <w:tc>
          <w:tcPr>
            <w:tcW w:w="710" w:type="dxa"/>
            <w:vMerge w:val="continue"/>
            <w:vAlign w:val="bottom"/>
          </w:tcPr>
          <w:p w14:paraId="78168F88">
            <w:pPr>
              <w:rPr>
                <w:sz w:val="13"/>
                <w:szCs w:val="13"/>
              </w:rPr>
            </w:pPr>
          </w:p>
        </w:tc>
        <w:tc>
          <w:tcPr>
            <w:tcW w:w="3515" w:type="dxa"/>
            <w:gridSpan w:val="2"/>
            <w:vMerge w:val="continue"/>
          </w:tcPr>
          <w:p w14:paraId="12CAB438">
            <w:pPr>
              <w:rPr>
                <w:color w:val="000000"/>
                <w:sz w:val="13"/>
                <w:szCs w:val="13"/>
              </w:rPr>
            </w:pPr>
          </w:p>
        </w:tc>
        <w:tc>
          <w:tcPr>
            <w:tcW w:w="813" w:type="dxa"/>
            <w:vMerge w:val="continue"/>
          </w:tcPr>
          <w:p w14:paraId="22AD663D">
            <w:pPr>
              <w:rPr>
                <w:color w:val="000000"/>
                <w:sz w:val="13"/>
                <w:szCs w:val="13"/>
              </w:rPr>
            </w:pPr>
          </w:p>
        </w:tc>
        <w:tc>
          <w:tcPr>
            <w:tcW w:w="1151" w:type="dxa"/>
            <w:vMerge w:val="continue"/>
            <w:vAlign w:val="center"/>
          </w:tcPr>
          <w:p w14:paraId="5C8F6944">
            <w:pPr>
              <w:jc w:val="center"/>
              <w:rPr>
                <w:color w:val="000000"/>
                <w:sz w:val="13"/>
                <w:szCs w:val="13"/>
              </w:rPr>
            </w:pPr>
          </w:p>
        </w:tc>
        <w:tc>
          <w:tcPr>
            <w:tcW w:w="1319" w:type="dxa"/>
            <w:vMerge w:val="continue"/>
            <w:vAlign w:val="center"/>
          </w:tcPr>
          <w:p w14:paraId="26665194">
            <w:pPr>
              <w:jc w:val="center"/>
              <w:rPr>
                <w:color w:val="000000"/>
                <w:sz w:val="13"/>
                <w:szCs w:val="13"/>
              </w:rPr>
            </w:pPr>
          </w:p>
        </w:tc>
        <w:tc>
          <w:tcPr>
            <w:tcW w:w="1050" w:type="dxa"/>
            <w:vMerge w:val="continue"/>
            <w:vAlign w:val="center"/>
          </w:tcPr>
          <w:p w14:paraId="09A9A912">
            <w:pPr>
              <w:jc w:val="center"/>
              <w:rPr>
                <w:color w:val="000000"/>
                <w:sz w:val="13"/>
                <w:szCs w:val="13"/>
              </w:rPr>
            </w:pPr>
          </w:p>
        </w:tc>
        <w:tc>
          <w:tcPr>
            <w:tcW w:w="1555" w:type="dxa"/>
            <w:vAlign w:val="bottom"/>
          </w:tcPr>
          <w:p w14:paraId="26618672">
            <w:pPr>
              <w:rPr>
                <w:sz w:val="2"/>
                <w:szCs w:val="2"/>
              </w:rPr>
            </w:pPr>
          </w:p>
        </w:tc>
      </w:tr>
      <w:tr w14:paraId="7520C60A">
        <w:tblPrEx>
          <w:tblCellMar>
            <w:top w:w="0" w:type="dxa"/>
            <w:left w:w="0" w:type="dxa"/>
            <w:bottom w:w="0" w:type="dxa"/>
            <w:right w:w="0" w:type="dxa"/>
          </w:tblCellMar>
        </w:tblPrEx>
        <w:trPr>
          <w:trHeight w:val="330" w:hRule="atLeast"/>
        </w:trPr>
        <w:tc>
          <w:tcPr>
            <w:tcW w:w="527" w:type="dxa"/>
            <w:vAlign w:val="bottom"/>
          </w:tcPr>
          <w:p w14:paraId="3C1778B4">
            <w:pPr>
              <w:spacing w:line="274" w:lineRule="exact"/>
              <w:jc w:val="center"/>
              <w:rPr>
                <w:sz w:val="20"/>
                <w:szCs w:val="20"/>
              </w:rPr>
            </w:pPr>
            <w:r>
              <w:rPr>
                <w:rFonts w:ascii="仿宋" w:hAnsi="仿宋" w:eastAsia="仿宋" w:cs="仿宋"/>
                <w:w w:val="99"/>
                <w:sz w:val="24"/>
                <w:szCs w:val="24"/>
              </w:rPr>
              <w:t>21</w:t>
            </w:r>
          </w:p>
        </w:tc>
        <w:tc>
          <w:tcPr>
            <w:tcW w:w="710" w:type="dxa"/>
            <w:vMerge w:val="continue"/>
            <w:vAlign w:val="bottom"/>
          </w:tcPr>
          <w:p w14:paraId="468936C3">
            <w:pPr>
              <w:rPr>
                <w:sz w:val="24"/>
                <w:szCs w:val="24"/>
              </w:rPr>
            </w:pPr>
          </w:p>
        </w:tc>
        <w:tc>
          <w:tcPr>
            <w:tcW w:w="3515" w:type="dxa"/>
            <w:gridSpan w:val="2"/>
          </w:tcPr>
          <w:p w14:paraId="48977432">
            <w:pPr>
              <w:spacing w:line="274" w:lineRule="exact"/>
              <w:ind w:left="140"/>
              <w:rPr>
                <w:color w:val="000000"/>
                <w:sz w:val="20"/>
                <w:szCs w:val="20"/>
              </w:rPr>
            </w:pPr>
            <w:r>
              <w:rPr>
                <w:rFonts w:hint="eastAsia" w:ascii="仿宋" w:hAnsi="仿宋" w:eastAsia="仿宋" w:cs="仿宋"/>
                <w:color w:val="000000"/>
                <w:sz w:val="24"/>
                <w:szCs w:val="24"/>
              </w:rPr>
              <w:t>严重精神障碍规范管理率</w:t>
            </w:r>
          </w:p>
        </w:tc>
        <w:tc>
          <w:tcPr>
            <w:tcW w:w="813" w:type="dxa"/>
          </w:tcPr>
          <w:p w14:paraId="7D8CA43C">
            <w:pPr>
              <w:spacing w:line="274" w:lineRule="exact"/>
              <w:ind w:firstLine="355" w:firstLineChars="150"/>
              <w:rPr>
                <w:color w:val="000000"/>
                <w:sz w:val="20"/>
                <w:szCs w:val="20"/>
              </w:rPr>
            </w:pPr>
            <w:r>
              <w:rPr>
                <w:rFonts w:ascii="仿宋" w:hAnsi="仿宋" w:eastAsia="仿宋" w:cs="仿宋"/>
                <w:color w:val="000000"/>
                <w:w w:val="99"/>
                <w:sz w:val="24"/>
                <w:szCs w:val="24"/>
              </w:rPr>
              <w:t>%</w:t>
            </w:r>
          </w:p>
        </w:tc>
        <w:tc>
          <w:tcPr>
            <w:tcW w:w="1151" w:type="dxa"/>
            <w:vAlign w:val="bottom"/>
          </w:tcPr>
          <w:p w14:paraId="76807072">
            <w:pPr>
              <w:spacing w:line="274" w:lineRule="exact"/>
              <w:jc w:val="center"/>
              <w:rPr>
                <w:color w:val="000000"/>
                <w:sz w:val="20"/>
                <w:szCs w:val="20"/>
              </w:rPr>
            </w:pPr>
            <w:r>
              <w:rPr>
                <w:rFonts w:ascii="仿宋" w:hAnsi="仿宋" w:eastAsia="仿宋" w:cs="仿宋"/>
                <w:color w:val="000000"/>
                <w:w w:val="99"/>
                <w:sz w:val="24"/>
                <w:szCs w:val="24"/>
              </w:rPr>
              <w:t>94.69</w:t>
            </w:r>
          </w:p>
        </w:tc>
        <w:tc>
          <w:tcPr>
            <w:tcW w:w="1319" w:type="dxa"/>
            <w:vAlign w:val="bottom"/>
          </w:tcPr>
          <w:p w14:paraId="551E8397">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95</w:t>
            </w:r>
          </w:p>
        </w:tc>
        <w:tc>
          <w:tcPr>
            <w:tcW w:w="1050" w:type="dxa"/>
            <w:vAlign w:val="bottom"/>
          </w:tcPr>
          <w:p w14:paraId="0D717CDD">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14:paraId="417E7FDC">
            <w:pPr>
              <w:rPr>
                <w:sz w:val="2"/>
                <w:szCs w:val="2"/>
              </w:rPr>
            </w:pPr>
          </w:p>
        </w:tc>
      </w:tr>
      <w:tr w14:paraId="6BADFED2">
        <w:tblPrEx>
          <w:tblCellMar>
            <w:top w:w="0" w:type="dxa"/>
            <w:left w:w="0" w:type="dxa"/>
            <w:bottom w:w="0" w:type="dxa"/>
            <w:right w:w="0" w:type="dxa"/>
          </w:tblCellMar>
        </w:tblPrEx>
        <w:trPr>
          <w:trHeight w:val="408" w:hRule="atLeast"/>
        </w:trPr>
        <w:tc>
          <w:tcPr>
            <w:tcW w:w="527" w:type="dxa"/>
            <w:vAlign w:val="bottom"/>
          </w:tcPr>
          <w:p w14:paraId="7E067067">
            <w:pPr>
              <w:spacing w:line="274" w:lineRule="exact"/>
              <w:jc w:val="center"/>
              <w:rPr>
                <w:sz w:val="20"/>
                <w:szCs w:val="20"/>
              </w:rPr>
            </w:pPr>
            <w:r>
              <w:rPr>
                <w:rFonts w:ascii="仿宋" w:hAnsi="仿宋" w:eastAsia="仿宋" w:cs="仿宋"/>
                <w:w w:val="99"/>
                <w:sz w:val="24"/>
                <w:szCs w:val="24"/>
              </w:rPr>
              <w:t>22</w:t>
            </w:r>
          </w:p>
        </w:tc>
        <w:tc>
          <w:tcPr>
            <w:tcW w:w="710" w:type="dxa"/>
            <w:vMerge w:val="continue"/>
            <w:vAlign w:val="bottom"/>
          </w:tcPr>
          <w:p w14:paraId="7ABD5C7A">
            <w:pPr>
              <w:rPr>
                <w:sz w:val="24"/>
                <w:szCs w:val="24"/>
              </w:rPr>
            </w:pPr>
          </w:p>
        </w:tc>
        <w:tc>
          <w:tcPr>
            <w:tcW w:w="3515" w:type="dxa"/>
            <w:gridSpan w:val="2"/>
          </w:tcPr>
          <w:p w14:paraId="463B7D8A">
            <w:pPr>
              <w:spacing w:line="274" w:lineRule="exact"/>
              <w:ind w:left="140"/>
              <w:rPr>
                <w:rFonts w:ascii="仿宋" w:hAnsi="仿宋" w:eastAsia="仿宋"/>
                <w:color w:val="000000"/>
                <w:sz w:val="24"/>
                <w:szCs w:val="24"/>
              </w:rPr>
            </w:pPr>
            <w:r>
              <w:rPr>
                <w:rFonts w:hint="eastAsia" w:ascii="仿宋" w:hAnsi="仿宋" w:eastAsia="仿宋" w:cs="仿宋"/>
                <w:color w:val="000000"/>
                <w:sz w:val="24"/>
                <w:szCs w:val="24"/>
              </w:rPr>
              <w:t>每千人口拥有</w:t>
            </w:r>
            <w:r>
              <w:rPr>
                <w:rFonts w:ascii="仿宋" w:hAnsi="仿宋" w:eastAsia="仿宋" w:cs="仿宋"/>
                <w:color w:val="000000"/>
                <w:sz w:val="24"/>
                <w:szCs w:val="24"/>
              </w:rPr>
              <w:t xml:space="preserve"> 3 </w:t>
            </w:r>
            <w:r>
              <w:rPr>
                <w:rFonts w:hint="eastAsia" w:ascii="仿宋" w:hAnsi="仿宋" w:eastAsia="仿宋" w:cs="仿宋"/>
                <w:color w:val="000000"/>
                <w:sz w:val="24"/>
                <w:szCs w:val="24"/>
              </w:rPr>
              <w:t>岁以下</w:t>
            </w:r>
          </w:p>
          <w:p w14:paraId="425FBA60">
            <w:pPr>
              <w:spacing w:line="274" w:lineRule="exact"/>
              <w:ind w:left="140"/>
              <w:rPr>
                <w:color w:val="000000"/>
                <w:sz w:val="20"/>
                <w:szCs w:val="20"/>
              </w:rPr>
            </w:pPr>
            <w:r>
              <w:rPr>
                <w:rFonts w:hint="eastAsia" w:ascii="仿宋" w:hAnsi="仿宋" w:eastAsia="仿宋" w:cs="仿宋"/>
                <w:color w:val="000000"/>
                <w:sz w:val="24"/>
                <w:szCs w:val="24"/>
              </w:rPr>
              <w:t>婴幼儿托位数</w:t>
            </w:r>
          </w:p>
        </w:tc>
        <w:tc>
          <w:tcPr>
            <w:tcW w:w="813" w:type="dxa"/>
          </w:tcPr>
          <w:p w14:paraId="3022C555">
            <w:pPr>
              <w:spacing w:line="274" w:lineRule="exact"/>
              <w:ind w:firstLine="355" w:firstLineChars="150"/>
              <w:rPr>
                <w:color w:val="000000"/>
                <w:sz w:val="20"/>
                <w:szCs w:val="20"/>
              </w:rPr>
            </w:pPr>
            <w:r>
              <w:rPr>
                <w:rFonts w:hint="eastAsia" w:ascii="仿宋" w:hAnsi="仿宋" w:eastAsia="仿宋" w:cs="仿宋"/>
                <w:color w:val="000000"/>
                <w:w w:val="99"/>
                <w:sz w:val="24"/>
                <w:szCs w:val="24"/>
              </w:rPr>
              <w:t>张</w:t>
            </w:r>
          </w:p>
        </w:tc>
        <w:tc>
          <w:tcPr>
            <w:tcW w:w="1151" w:type="dxa"/>
            <w:vAlign w:val="bottom"/>
          </w:tcPr>
          <w:p w14:paraId="073A908A">
            <w:pPr>
              <w:spacing w:line="274" w:lineRule="exact"/>
              <w:jc w:val="center"/>
              <w:rPr>
                <w:color w:val="000000"/>
                <w:sz w:val="20"/>
                <w:szCs w:val="20"/>
              </w:rPr>
            </w:pPr>
            <w:r>
              <w:rPr>
                <w:rFonts w:ascii="仿宋" w:hAnsi="仿宋" w:eastAsia="仿宋" w:cs="仿宋"/>
                <w:color w:val="000000"/>
                <w:w w:val="99"/>
                <w:sz w:val="24"/>
                <w:szCs w:val="24"/>
              </w:rPr>
              <w:t>0.61</w:t>
            </w:r>
          </w:p>
        </w:tc>
        <w:tc>
          <w:tcPr>
            <w:tcW w:w="1319" w:type="dxa"/>
            <w:vAlign w:val="bottom"/>
          </w:tcPr>
          <w:p w14:paraId="1B06395B">
            <w:pPr>
              <w:spacing w:line="274" w:lineRule="exact"/>
              <w:jc w:val="center"/>
              <w:rPr>
                <w:color w:val="000000"/>
                <w:sz w:val="20"/>
                <w:szCs w:val="20"/>
              </w:rPr>
            </w:pPr>
            <w:r>
              <w:rPr>
                <w:rFonts w:ascii="仿宋" w:hAnsi="仿宋" w:eastAsia="仿宋" w:cs="仿宋"/>
                <w:color w:val="000000"/>
                <w:w w:val="94"/>
                <w:sz w:val="24"/>
                <w:szCs w:val="24"/>
              </w:rPr>
              <w:t>1.5</w:t>
            </w:r>
          </w:p>
        </w:tc>
        <w:tc>
          <w:tcPr>
            <w:tcW w:w="1050" w:type="dxa"/>
            <w:vAlign w:val="bottom"/>
          </w:tcPr>
          <w:p w14:paraId="73A82A46">
            <w:pPr>
              <w:spacing w:line="274" w:lineRule="exact"/>
              <w:ind w:left="120"/>
              <w:rPr>
                <w:color w:val="000000"/>
                <w:sz w:val="20"/>
                <w:szCs w:val="20"/>
              </w:rPr>
            </w:pPr>
            <w:r>
              <w:rPr>
                <w:rFonts w:hint="eastAsia" w:ascii="仿宋" w:hAnsi="仿宋" w:eastAsia="仿宋" w:cs="仿宋"/>
                <w:color w:val="000000"/>
                <w:sz w:val="24"/>
                <w:szCs w:val="24"/>
              </w:rPr>
              <w:t>预期性</w:t>
            </w:r>
          </w:p>
        </w:tc>
        <w:tc>
          <w:tcPr>
            <w:tcW w:w="1555" w:type="dxa"/>
            <w:vAlign w:val="bottom"/>
          </w:tcPr>
          <w:p w14:paraId="0A5BC381">
            <w:pPr>
              <w:rPr>
                <w:color w:val="000000"/>
                <w:sz w:val="2"/>
                <w:szCs w:val="2"/>
              </w:rPr>
            </w:pPr>
          </w:p>
        </w:tc>
      </w:tr>
      <w:tr w14:paraId="40AEC386">
        <w:tblPrEx>
          <w:tblCellMar>
            <w:top w:w="0" w:type="dxa"/>
            <w:left w:w="0" w:type="dxa"/>
            <w:bottom w:w="0" w:type="dxa"/>
            <w:right w:w="0" w:type="dxa"/>
          </w:tblCellMar>
        </w:tblPrEx>
        <w:trPr>
          <w:trHeight w:val="408" w:hRule="atLeast"/>
        </w:trPr>
        <w:tc>
          <w:tcPr>
            <w:tcW w:w="527" w:type="dxa"/>
            <w:vAlign w:val="bottom"/>
          </w:tcPr>
          <w:p w14:paraId="022A0759">
            <w:pPr>
              <w:spacing w:line="274" w:lineRule="exact"/>
              <w:jc w:val="center"/>
              <w:rPr>
                <w:sz w:val="20"/>
                <w:szCs w:val="20"/>
              </w:rPr>
            </w:pPr>
            <w:r>
              <w:rPr>
                <w:rFonts w:ascii="仿宋" w:hAnsi="仿宋" w:eastAsia="仿宋" w:cs="仿宋"/>
                <w:w w:val="99"/>
                <w:sz w:val="24"/>
                <w:szCs w:val="24"/>
              </w:rPr>
              <w:t>23</w:t>
            </w:r>
          </w:p>
        </w:tc>
        <w:tc>
          <w:tcPr>
            <w:tcW w:w="710" w:type="dxa"/>
            <w:vMerge w:val="continue"/>
            <w:vAlign w:val="bottom"/>
          </w:tcPr>
          <w:p w14:paraId="5D61321F">
            <w:pPr>
              <w:rPr>
                <w:sz w:val="24"/>
                <w:szCs w:val="24"/>
              </w:rPr>
            </w:pPr>
          </w:p>
        </w:tc>
        <w:tc>
          <w:tcPr>
            <w:tcW w:w="3515" w:type="dxa"/>
            <w:gridSpan w:val="2"/>
          </w:tcPr>
          <w:p w14:paraId="6B62CB72">
            <w:pPr>
              <w:spacing w:line="274" w:lineRule="exact"/>
              <w:ind w:left="980"/>
              <w:rPr>
                <w:color w:val="000000"/>
                <w:sz w:val="20"/>
                <w:szCs w:val="20"/>
              </w:rPr>
            </w:pPr>
            <w:r>
              <w:rPr>
                <w:rFonts w:hint="eastAsia" w:ascii="仿宋" w:hAnsi="仿宋" w:eastAsia="仿宋" w:cs="仿宋"/>
                <w:color w:val="000000"/>
                <w:sz w:val="24"/>
                <w:szCs w:val="24"/>
              </w:rPr>
              <w:t>其中：普惠托位数</w:t>
            </w:r>
          </w:p>
        </w:tc>
        <w:tc>
          <w:tcPr>
            <w:tcW w:w="813" w:type="dxa"/>
          </w:tcPr>
          <w:p w14:paraId="783DE115">
            <w:pPr>
              <w:spacing w:line="274" w:lineRule="exact"/>
              <w:ind w:firstLine="355" w:firstLineChars="150"/>
              <w:rPr>
                <w:color w:val="000000"/>
                <w:sz w:val="20"/>
                <w:szCs w:val="20"/>
              </w:rPr>
            </w:pPr>
            <w:r>
              <w:rPr>
                <w:rFonts w:hint="eastAsia" w:ascii="仿宋" w:hAnsi="仿宋" w:eastAsia="仿宋" w:cs="仿宋"/>
                <w:color w:val="000000"/>
                <w:w w:val="99"/>
                <w:sz w:val="24"/>
                <w:szCs w:val="24"/>
              </w:rPr>
              <w:t>张</w:t>
            </w:r>
          </w:p>
        </w:tc>
        <w:tc>
          <w:tcPr>
            <w:tcW w:w="1151" w:type="dxa"/>
            <w:vAlign w:val="bottom"/>
          </w:tcPr>
          <w:p w14:paraId="12C89CD4">
            <w:pPr>
              <w:spacing w:line="274" w:lineRule="exact"/>
              <w:jc w:val="center"/>
              <w:rPr>
                <w:color w:val="000000"/>
                <w:sz w:val="20"/>
                <w:szCs w:val="20"/>
              </w:rPr>
            </w:pPr>
            <w:r>
              <w:rPr>
                <w:rFonts w:ascii="仿宋" w:hAnsi="仿宋" w:eastAsia="仿宋" w:cs="仿宋"/>
                <w:b/>
                <w:bCs/>
                <w:color w:val="000000"/>
                <w:w w:val="99"/>
                <w:sz w:val="24"/>
                <w:szCs w:val="24"/>
              </w:rPr>
              <w:t>-</w:t>
            </w:r>
          </w:p>
        </w:tc>
        <w:tc>
          <w:tcPr>
            <w:tcW w:w="1319" w:type="dxa"/>
            <w:vAlign w:val="bottom"/>
          </w:tcPr>
          <w:p w14:paraId="7408D896">
            <w:pPr>
              <w:spacing w:line="274" w:lineRule="exact"/>
              <w:jc w:val="center"/>
              <w:rPr>
                <w:color w:val="000000"/>
                <w:sz w:val="20"/>
                <w:szCs w:val="20"/>
              </w:rPr>
            </w:pPr>
            <w:r>
              <w:rPr>
                <w:rFonts w:ascii="仿宋" w:hAnsi="仿宋" w:eastAsia="仿宋" w:cs="仿宋"/>
                <w:color w:val="000000"/>
                <w:w w:val="94"/>
                <w:sz w:val="24"/>
                <w:szCs w:val="24"/>
              </w:rPr>
              <w:t>1.0</w:t>
            </w:r>
          </w:p>
        </w:tc>
        <w:tc>
          <w:tcPr>
            <w:tcW w:w="1050" w:type="dxa"/>
            <w:vAlign w:val="bottom"/>
          </w:tcPr>
          <w:p w14:paraId="2C7C6976">
            <w:pPr>
              <w:spacing w:line="274" w:lineRule="exact"/>
              <w:ind w:left="120"/>
              <w:rPr>
                <w:color w:val="000000"/>
                <w:sz w:val="20"/>
                <w:szCs w:val="20"/>
              </w:rPr>
            </w:pPr>
            <w:r>
              <w:rPr>
                <w:rFonts w:hint="eastAsia" w:ascii="仿宋" w:hAnsi="仿宋" w:eastAsia="仿宋" w:cs="仿宋"/>
                <w:color w:val="000000"/>
                <w:sz w:val="24"/>
                <w:szCs w:val="24"/>
              </w:rPr>
              <w:t>预期性</w:t>
            </w:r>
          </w:p>
        </w:tc>
        <w:tc>
          <w:tcPr>
            <w:tcW w:w="1555" w:type="dxa"/>
            <w:vAlign w:val="bottom"/>
          </w:tcPr>
          <w:p w14:paraId="38AEA50A">
            <w:pPr>
              <w:rPr>
                <w:color w:val="000000"/>
                <w:sz w:val="2"/>
                <w:szCs w:val="2"/>
              </w:rPr>
            </w:pPr>
          </w:p>
        </w:tc>
      </w:tr>
      <w:tr w14:paraId="20DE1D20">
        <w:tblPrEx>
          <w:tblCellMar>
            <w:top w:w="0" w:type="dxa"/>
            <w:left w:w="0" w:type="dxa"/>
            <w:bottom w:w="0" w:type="dxa"/>
            <w:right w:w="0" w:type="dxa"/>
          </w:tblCellMar>
        </w:tblPrEx>
        <w:trPr>
          <w:trHeight w:val="183" w:hRule="atLeast"/>
        </w:trPr>
        <w:tc>
          <w:tcPr>
            <w:tcW w:w="527" w:type="dxa"/>
            <w:vAlign w:val="bottom"/>
          </w:tcPr>
          <w:p w14:paraId="29A573C6">
            <w:pPr>
              <w:spacing w:line="274" w:lineRule="exact"/>
              <w:jc w:val="center"/>
              <w:rPr>
                <w:sz w:val="20"/>
                <w:szCs w:val="20"/>
              </w:rPr>
            </w:pPr>
            <w:r>
              <w:rPr>
                <w:rFonts w:ascii="仿宋" w:hAnsi="仿宋" w:eastAsia="仿宋" w:cs="仿宋"/>
                <w:w w:val="99"/>
                <w:sz w:val="24"/>
                <w:szCs w:val="24"/>
              </w:rPr>
              <w:t>24</w:t>
            </w:r>
          </w:p>
        </w:tc>
        <w:tc>
          <w:tcPr>
            <w:tcW w:w="710" w:type="dxa"/>
            <w:vMerge w:val="continue"/>
            <w:vAlign w:val="bottom"/>
          </w:tcPr>
          <w:p w14:paraId="5A17BC8B">
            <w:pPr>
              <w:rPr>
                <w:sz w:val="24"/>
                <w:szCs w:val="24"/>
              </w:rPr>
            </w:pPr>
          </w:p>
        </w:tc>
        <w:tc>
          <w:tcPr>
            <w:tcW w:w="3515" w:type="dxa"/>
            <w:gridSpan w:val="2"/>
          </w:tcPr>
          <w:p w14:paraId="5BB96BD5">
            <w:pPr>
              <w:spacing w:line="274" w:lineRule="exact"/>
              <w:ind w:left="140"/>
              <w:rPr>
                <w:sz w:val="20"/>
                <w:szCs w:val="20"/>
              </w:rPr>
            </w:pPr>
            <w:r>
              <w:rPr>
                <w:rFonts w:hint="eastAsia" w:ascii="仿宋" w:hAnsi="仿宋" w:eastAsia="仿宋" w:cs="仿宋"/>
                <w:sz w:val="24"/>
                <w:szCs w:val="24"/>
              </w:rPr>
              <w:t>全县儿童青少年总体近视率</w:t>
            </w:r>
          </w:p>
        </w:tc>
        <w:tc>
          <w:tcPr>
            <w:tcW w:w="813" w:type="dxa"/>
          </w:tcPr>
          <w:p w14:paraId="7A94FA84">
            <w:pPr>
              <w:spacing w:line="274" w:lineRule="exact"/>
              <w:ind w:firstLine="355" w:firstLineChars="150"/>
              <w:rPr>
                <w:sz w:val="20"/>
                <w:szCs w:val="20"/>
              </w:rPr>
            </w:pPr>
            <w:r>
              <w:rPr>
                <w:rFonts w:ascii="仿宋" w:hAnsi="仿宋" w:eastAsia="仿宋" w:cs="仿宋"/>
                <w:w w:val="99"/>
                <w:sz w:val="24"/>
                <w:szCs w:val="24"/>
              </w:rPr>
              <w:t>%</w:t>
            </w:r>
          </w:p>
        </w:tc>
        <w:tc>
          <w:tcPr>
            <w:tcW w:w="1151" w:type="dxa"/>
            <w:vAlign w:val="bottom"/>
          </w:tcPr>
          <w:p w14:paraId="05186A9E">
            <w:pPr>
              <w:spacing w:line="274" w:lineRule="exact"/>
              <w:jc w:val="center"/>
              <w:rPr>
                <w:sz w:val="20"/>
                <w:szCs w:val="20"/>
              </w:rPr>
            </w:pPr>
            <w:r>
              <w:rPr>
                <w:rFonts w:ascii="仿宋" w:hAnsi="仿宋" w:eastAsia="仿宋" w:cs="仿宋"/>
                <w:w w:val="99"/>
                <w:sz w:val="24"/>
                <w:szCs w:val="24"/>
              </w:rPr>
              <w:t>43.54</w:t>
            </w:r>
          </w:p>
        </w:tc>
        <w:tc>
          <w:tcPr>
            <w:tcW w:w="1319" w:type="dxa"/>
            <w:vAlign w:val="bottom"/>
          </w:tcPr>
          <w:p w14:paraId="4C4EF29D">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50</w:t>
            </w:r>
          </w:p>
        </w:tc>
        <w:tc>
          <w:tcPr>
            <w:tcW w:w="1050" w:type="dxa"/>
            <w:vAlign w:val="bottom"/>
          </w:tcPr>
          <w:p w14:paraId="3EF9B80E">
            <w:pPr>
              <w:spacing w:line="274" w:lineRule="exact"/>
              <w:ind w:left="120"/>
              <w:rPr>
                <w:sz w:val="20"/>
                <w:szCs w:val="20"/>
              </w:rPr>
            </w:pPr>
            <w:r>
              <w:rPr>
                <w:rFonts w:hint="eastAsia" w:ascii="仿宋" w:hAnsi="仿宋" w:eastAsia="仿宋" w:cs="仿宋"/>
                <w:sz w:val="24"/>
                <w:szCs w:val="24"/>
              </w:rPr>
              <w:t>约束性</w:t>
            </w:r>
          </w:p>
        </w:tc>
        <w:tc>
          <w:tcPr>
            <w:tcW w:w="1555" w:type="dxa"/>
            <w:vAlign w:val="bottom"/>
          </w:tcPr>
          <w:p w14:paraId="2E313AFF">
            <w:pPr>
              <w:rPr>
                <w:sz w:val="2"/>
                <w:szCs w:val="2"/>
              </w:rPr>
            </w:pPr>
          </w:p>
        </w:tc>
      </w:tr>
      <w:tr w14:paraId="3DE304A0">
        <w:tblPrEx>
          <w:tblCellMar>
            <w:top w:w="0" w:type="dxa"/>
            <w:left w:w="0" w:type="dxa"/>
            <w:bottom w:w="0" w:type="dxa"/>
            <w:right w:w="0" w:type="dxa"/>
          </w:tblCellMar>
        </w:tblPrEx>
        <w:trPr>
          <w:trHeight w:val="377" w:hRule="atLeast"/>
        </w:trPr>
        <w:tc>
          <w:tcPr>
            <w:tcW w:w="527" w:type="dxa"/>
            <w:vMerge w:val="restart"/>
            <w:vAlign w:val="bottom"/>
          </w:tcPr>
          <w:p w14:paraId="60BB036A">
            <w:pPr>
              <w:spacing w:line="274" w:lineRule="exact"/>
              <w:jc w:val="center"/>
              <w:rPr>
                <w:sz w:val="20"/>
                <w:szCs w:val="20"/>
              </w:rPr>
            </w:pPr>
            <w:r>
              <w:rPr>
                <w:rFonts w:ascii="仿宋" w:hAnsi="仿宋" w:eastAsia="仿宋" w:cs="仿宋"/>
                <w:w w:val="99"/>
                <w:sz w:val="24"/>
                <w:szCs w:val="24"/>
              </w:rPr>
              <w:t>25</w:t>
            </w:r>
          </w:p>
        </w:tc>
        <w:tc>
          <w:tcPr>
            <w:tcW w:w="710" w:type="dxa"/>
            <w:vMerge w:val="continue"/>
            <w:vAlign w:val="bottom"/>
          </w:tcPr>
          <w:p w14:paraId="2BE3ABD2">
            <w:pPr>
              <w:rPr>
                <w:sz w:val="24"/>
                <w:szCs w:val="24"/>
              </w:rPr>
            </w:pPr>
          </w:p>
        </w:tc>
        <w:tc>
          <w:tcPr>
            <w:tcW w:w="4328" w:type="dxa"/>
            <w:gridSpan w:val="3"/>
            <w:vMerge w:val="restart"/>
          </w:tcPr>
          <w:p w14:paraId="1CEA316D">
            <w:pPr>
              <w:spacing w:line="274" w:lineRule="exact"/>
              <w:ind w:left="140"/>
              <w:rPr>
                <w:rFonts w:ascii="仿宋" w:hAnsi="仿宋" w:eastAsia="仿宋" w:cs="仿宋"/>
                <w:sz w:val="24"/>
                <w:szCs w:val="24"/>
              </w:rPr>
            </w:pPr>
            <w:r>
              <w:rPr>
                <w:rFonts w:hint="eastAsia" w:ascii="仿宋" w:hAnsi="仿宋" w:eastAsia="仿宋" w:cs="仿宋"/>
                <w:sz w:val="24"/>
                <w:szCs w:val="24"/>
              </w:rPr>
              <w:t>二级及以上综合性医院设置</w:t>
            </w:r>
            <w:r>
              <w:rPr>
                <w:rFonts w:ascii="仿宋" w:hAnsi="仿宋" w:eastAsia="仿宋" w:cs="仿宋"/>
                <w:sz w:val="24"/>
                <w:szCs w:val="24"/>
              </w:rPr>
              <w:t xml:space="preserve">       </w:t>
            </w:r>
            <w:r>
              <w:rPr>
                <w:rFonts w:ascii="仿宋" w:hAnsi="仿宋" w:eastAsia="仿宋" w:cs="仿宋"/>
                <w:w w:val="99"/>
                <w:sz w:val="24"/>
                <w:szCs w:val="24"/>
              </w:rPr>
              <w:t>%</w:t>
            </w:r>
            <w:r>
              <w:rPr>
                <w:rFonts w:ascii="仿宋" w:hAnsi="仿宋" w:eastAsia="仿宋" w:cs="仿宋"/>
                <w:sz w:val="24"/>
                <w:szCs w:val="24"/>
              </w:rPr>
              <w:t xml:space="preserve">           </w:t>
            </w:r>
          </w:p>
          <w:p w14:paraId="78E0816F">
            <w:pPr>
              <w:spacing w:line="274" w:lineRule="exact"/>
              <w:ind w:left="140"/>
              <w:rPr>
                <w:sz w:val="20"/>
                <w:szCs w:val="20"/>
              </w:rPr>
            </w:pPr>
            <w:r>
              <w:rPr>
                <w:rFonts w:hint="eastAsia" w:ascii="仿宋" w:hAnsi="仿宋" w:eastAsia="仿宋" w:cs="仿宋"/>
                <w:sz w:val="24"/>
                <w:szCs w:val="24"/>
              </w:rPr>
              <w:t>老年医学科的比例</w:t>
            </w:r>
          </w:p>
        </w:tc>
        <w:tc>
          <w:tcPr>
            <w:tcW w:w="1151" w:type="dxa"/>
            <w:vMerge w:val="restart"/>
            <w:vAlign w:val="center"/>
          </w:tcPr>
          <w:p w14:paraId="0F751162">
            <w:pPr>
              <w:spacing w:line="320" w:lineRule="exact"/>
              <w:jc w:val="center"/>
              <w:rPr>
                <w:sz w:val="20"/>
                <w:szCs w:val="20"/>
              </w:rPr>
            </w:pPr>
            <w:r>
              <w:rPr>
                <w:rFonts w:ascii="仿宋" w:hAnsi="仿宋" w:eastAsia="仿宋" w:cs="仿宋"/>
                <w:b/>
                <w:bCs/>
                <w:w w:val="99"/>
                <w:sz w:val="28"/>
                <w:szCs w:val="28"/>
              </w:rPr>
              <w:t>*</w:t>
            </w:r>
          </w:p>
        </w:tc>
        <w:tc>
          <w:tcPr>
            <w:tcW w:w="1319" w:type="dxa"/>
            <w:vMerge w:val="restart"/>
            <w:vAlign w:val="center"/>
          </w:tcPr>
          <w:p w14:paraId="6438DFEA">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60</w:t>
            </w:r>
          </w:p>
        </w:tc>
        <w:tc>
          <w:tcPr>
            <w:tcW w:w="1050" w:type="dxa"/>
            <w:vMerge w:val="restart"/>
            <w:vAlign w:val="center"/>
          </w:tcPr>
          <w:p w14:paraId="6A641F1F">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14:paraId="22DA1001">
            <w:pPr>
              <w:rPr>
                <w:sz w:val="2"/>
                <w:szCs w:val="2"/>
              </w:rPr>
            </w:pPr>
          </w:p>
        </w:tc>
      </w:tr>
      <w:tr w14:paraId="438416DD">
        <w:tblPrEx>
          <w:tblCellMar>
            <w:top w:w="0" w:type="dxa"/>
            <w:left w:w="0" w:type="dxa"/>
            <w:bottom w:w="0" w:type="dxa"/>
            <w:right w:w="0" w:type="dxa"/>
          </w:tblCellMar>
        </w:tblPrEx>
        <w:trPr>
          <w:trHeight w:val="120" w:hRule="atLeast"/>
        </w:trPr>
        <w:tc>
          <w:tcPr>
            <w:tcW w:w="527" w:type="dxa"/>
            <w:vMerge w:val="continue"/>
            <w:vAlign w:val="bottom"/>
          </w:tcPr>
          <w:p w14:paraId="0B844312">
            <w:pPr>
              <w:rPr>
                <w:sz w:val="15"/>
                <w:szCs w:val="15"/>
              </w:rPr>
            </w:pPr>
          </w:p>
        </w:tc>
        <w:tc>
          <w:tcPr>
            <w:tcW w:w="710" w:type="dxa"/>
            <w:vMerge w:val="continue"/>
            <w:vAlign w:val="bottom"/>
          </w:tcPr>
          <w:p w14:paraId="15D2FEC7">
            <w:pPr>
              <w:rPr>
                <w:sz w:val="15"/>
                <w:szCs w:val="15"/>
              </w:rPr>
            </w:pPr>
          </w:p>
        </w:tc>
        <w:tc>
          <w:tcPr>
            <w:tcW w:w="4328" w:type="dxa"/>
            <w:gridSpan w:val="3"/>
            <w:vMerge w:val="continue"/>
            <w:vAlign w:val="bottom"/>
          </w:tcPr>
          <w:p w14:paraId="6341A7F1">
            <w:pPr>
              <w:rPr>
                <w:color w:val="FF0000"/>
                <w:sz w:val="15"/>
                <w:szCs w:val="15"/>
              </w:rPr>
            </w:pPr>
          </w:p>
        </w:tc>
        <w:tc>
          <w:tcPr>
            <w:tcW w:w="1151" w:type="dxa"/>
            <w:vMerge w:val="continue"/>
            <w:vAlign w:val="bottom"/>
          </w:tcPr>
          <w:p w14:paraId="65D1CADA">
            <w:pPr>
              <w:rPr>
                <w:color w:val="FF0000"/>
                <w:sz w:val="15"/>
                <w:szCs w:val="15"/>
              </w:rPr>
            </w:pPr>
          </w:p>
        </w:tc>
        <w:tc>
          <w:tcPr>
            <w:tcW w:w="1319" w:type="dxa"/>
            <w:vMerge w:val="continue"/>
            <w:vAlign w:val="bottom"/>
          </w:tcPr>
          <w:p w14:paraId="5B637FD7">
            <w:pPr>
              <w:rPr>
                <w:color w:val="FF0000"/>
                <w:sz w:val="15"/>
                <w:szCs w:val="15"/>
              </w:rPr>
            </w:pPr>
          </w:p>
        </w:tc>
        <w:tc>
          <w:tcPr>
            <w:tcW w:w="1050" w:type="dxa"/>
            <w:vMerge w:val="continue"/>
            <w:vAlign w:val="bottom"/>
          </w:tcPr>
          <w:p w14:paraId="74EDF563">
            <w:pPr>
              <w:rPr>
                <w:color w:val="FF0000"/>
                <w:sz w:val="15"/>
                <w:szCs w:val="15"/>
              </w:rPr>
            </w:pPr>
          </w:p>
        </w:tc>
        <w:tc>
          <w:tcPr>
            <w:tcW w:w="1555" w:type="dxa"/>
            <w:vAlign w:val="bottom"/>
          </w:tcPr>
          <w:p w14:paraId="0D7698D2">
            <w:pPr>
              <w:rPr>
                <w:sz w:val="2"/>
                <w:szCs w:val="2"/>
              </w:rPr>
            </w:pPr>
          </w:p>
        </w:tc>
      </w:tr>
      <w:tr w14:paraId="6C030CE8">
        <w:tblPrEx>
          <w:tblCellMar>
            <w:top w:w="0" w:type="dxa"/>
            <w:left w:w="0" w:type="dxa"/>
            <w:bottom w:w="0" w:type="dxa"/>
            <w:right w:w="0" w:type="dxa"/>
          </w:tblCellMar>
        </w:tblPrEx>
        <w:trPr>
          <w:trHeight w:val="90" w:hRule="atLeast"/>
        </w:trPr>
        <w:tc>
          <w:tcPr>
            <w:tcW w:w="527" w:type="dxa"/>
            <w:vAlign w:val="bottom"/>
          </w:tcPr>
          <w:p w14:paraId="3C50C927">
            <w:pPr>
              <w:rPr>
                <w:sz w:val="11"/>
                <w:szCs w:val="11"/>
              </w:rPr>
            </w:pPr>
          </w:p>
        </w:tc>
        <w:tc>
          <w:tcPr>
            <w:tcW w:w="710" w:type="dxa"/>
            <w:vMerge w:val="continue"/>
            <w:vAlign w:val="bottom"/>
          </w:tcPr>
          <w:p w14:paraId="3BBEBCCA">
            <w:pPr>
              <w:rPr>
                <w:sz w:val="11"/>
                <w:szCs w:val="11"/>
              </w:rPr>
            </w:pPr>
          </w:p>
        </w:tc>
        <w:tc>
          <w:tcPr>
            <w:tcW w:w="4328" w:type="dxa"/>
            <w:gridSpan w:val="3"/>
            <w:vMerge w:val="continue"/>
            <w:vAlign w:val="bottom"/>
          </w:tcPr>
          <w:p w14:paraId="4EC35AF6">
            <w:pPr>
              <w:rPr>
                <w:color w:val="FF0000"/>
                <w:sz w:val="11"/>
                <w:szCs w:val="11"/>
              </w:rPr>
            </w:pPr>
          </w:p>
        </w:tc>
        <w:tc>
          <w:tcPr>
            <w:tcW w:w="1151" w:type="dxa"/>
            <w:vAlign w:val="bottom"/>
          </w:tcPr>
          <w:p w14:paraId="42643A05">
            <w:pPr>
              <w:rPr>
                <w:color w:val="FF0000"/>
                <w:sz w:val="11"/>
                <w:szCs w:val="11"/>
              </w:rPr>
            </w:pPr>
          </w:p>
        </w:tc>
        <w:tc>
          <w:tcPr>
            <w:tcW w:w="1319" w:type="dxa"/>
            <w:vAlign w:val="bottom"/>
          </w:tcPr>
          <w:p w14:paraId="3F6CB655">
            <w:pPr>
              <w:rPr>
                <w:color w:val="FF0000"/>
                <w:sz w:val="11"/>
                <w:szCs w:val="11"/>
              </w:rPr>
            </w:pPr>
          </w:p>
        </w:tc>
        <w:tc>
          <w:tcPr>
            <w:tcW w:w="1050" w:type="dxa"/>
            <w:vAlign w:val="bottom"/>
          </w:tcPr>
          <w:p w14:paraId="36EDF2CF">
            <w:pPr>
              <w:rPr>
                <w:color w:val="FF0000"/>
                <w:sz w:val="11"/>
                <w:szCs w:val="11"/>
              </w:rPr>
            </w:pPr>
          </w:p>
        </w:tc>
        <w:tc>
          <w:tcPr>
            <w:tcW w:w="1555" w:type="dxa"/>
            <w:vAlign w:val="bottom"/>
          </w:tcPr>
          <w:p w14:paraId="306AA9B2">
            <w:pPr>
              <w:rPr>
                <w:sz w:val="2"/>
                <w:szCs w:val="2"/>
              </w:rPr>
            </w:pPr>
          </w:p>
        </w:tc>
      </w:tr>
      <w:tr w14:paraId="103E21D9">
        <w:tblPrEx>
          <w:tblCellMar>
            <w:top w:w="0" w:type="dxa"/>
            <w:left w:w="0" w:type="dxa"/>
            <w:bottom w:w="0" w:type="dxa"/>
            <w:right w:w="0" w:type="dxa"/>
          </w:tblCellMar>
        </w:tblPrEx>
        <w:trPr>
          <w:trHeight w:val="334" w:hRule="atLeast"/>
        </w:trPr>
        <w:tc>
          <w:tcPr>
            <w:tcW w:w="527" w:type="dxa"/>
            <w:vAlign w:val="bottom"/>
          </w:tcPr>
          <w:p w14:paraId="01E0B24E">
            <w:pPr>
              <w:spacing w:line="274" w:lineRule="exact"/>
              <w:jc w:val="center"/>
              <w:rPr>
                <w:sz w:val="20"/>
                <w:szCs w:val="20"/>
              </w:rPr>
            </w:pPr>
            <w:r>
              <w:rPr>
                <w:rFonts w:ascii="仿宋" w:hAnsi="仿宋" w:eastAsia="仿宋" w:cs="仿宋"/>
                <w:w w:val="99"/>
                <w:sz w:val="24"/>
                <w:szCs w:val="24"/>
              </w:rPr>
              <w:t>26</w:t>
            </w:r>
          </w:p>
        </w:tc>
        <w:tc>
          <w:tcPr>
            <w:tcW w:w="710" w:type="dxa"/>
            <w:vAlign w:val="bottom"/>
          </w:tcPr>
          <w:p w14:paraId="66746F5A">
            <w:pPr>
              <w:rPr>
                <w:sz w:val="24"/>
                <w:szCs w:val="24"/>
              </w:rPr>
            </w:pPr>
          </w:p>
        </w:tc>
        <w:tc>
          <w:tcPr>
            <w:tcW w:w="3379" w:type="dxa"/>
            <w:vAlign w:val="bottom"/>
          </w:tcPr>
          <w:p w14:paraId="58BB42A5">
            <w:pPr>
              <w:spacing w:line="274" w:lineRule="exact"/>
              <w:ind w:left="140"/>
              <w:rPr>
                <w:sz w:val="20"/>
                <w:szCs w:val="20"/>
              </w:rPr>
            </w:pPr>
            <w:r>
              <w:rPr>
                <w:rFonts w:hint="eastAsia" w:ascii="仿宋" w:hAnsi="仿宋" w:eastAsia="仿宋" w:cs="仿宋"/>
                <w:sz w:val="24"/>
                <w:szCs w:val="24"/>
              </w:rPr>
              <w:t>城市空气质量优良天数比率</w:t>
            </w:r>
          </w:p>
        </w:tc>
        <w:tc>
          <w:tcPr>
            <w:tcW w:w="949" w:type="dxa"/>
            <w:gridSpan w:val="2"/>
            <w:vAlign w:val="bottom"/>
          </w:tcPr>
          <w:p w14:paraId="53705BCF">
            <w:pPr>
              <w:spacing w:line="274" w:lineRule="exact"/>
              <w:jc w:val="center"/>
              <w:rPr>
                <w:sz w:val="20"/>
                <w:szCs w:val="20"/>
              </w:rPr>
            </w:pPr>
            <w:r>
              <w:rPr>
                <w:rFonts w:ascii="仿宋" w:hAnsi="仿宋" w:eastAsia="仿宋" w:cs="仿宋"/>
                <w:w w:val="99"/>
                <w:sz w:val="24"/>
                <w:szCs w:val="24"/>
              </w:rPr>
              <w:t>%</w:t>
            </w:r>
          </w:p>
        </w:tc>
        <w:tc>
          <w:tcPr>
            <w:tcW w:w="1151" w:type="dxa"/>
            <w:vAlign w:val="bottom"/>
          </w:tcPr>
          <w:p w14:paraId="5536950D">
            <w:pPr>
              <w:spacing w:line="274" w:lineRule="exact"/>
              <w:jc w:val="center"/>
              <w:rPr>
                <w:sz w:val="20"/>
                <w:szCs w:val="20"/>
              </w:rPr>
            </w:pPr>
            <w:r>
              <w:rPr>
                <w:rFonts w:ascii="仿宋" w:hAnsi="仿宋" w:eastAsia="仿宋" w:cs="仿宋"/>
                <w:w w:val="99"/>
                <w:sz w:val="24"/>
                <w:szCs w:val="24"/>
              </w:rPr>
              <w:t>79.7</w:t>
            </w:r>
          </w:p>
        </w:tc>
        <w:tc>
          <w:tcPr>
            <w:tcW w:w="1319" w:type="dxa"/>
            <w:vAlign w:val="bottom"/>
          </w:tcPr>
          <w:p w14:paraId="2D7A9DA4">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85</w:t>
            </w:r>
          </w:p>
        </w:tc>
        <w:tc>
          <w:tcPr>
            <w:tcW w:w="1050" w:type="dxa"/>
            <w:vAlign w:val="bottom"/>
          </w:tcPr>
          <w:p w14:paraId="4D768A63">
            <w:pPr>
              <w:spacing w:line="274" w:lineRule="exact"/>
              <w:ind w:left="120"/>
              <w:rPr>
                <w:sz w:val="20"/>
                <w:szCs w:val="20"/>
              </w:rPr>
            </w:pPr>
            <w:r>
              <w:rPr>
                <w:rFonts w:hint="eastAsia" w:ascii="仿宋" w:hAnsi="仿宋" w:eastAsia="仿宋" w:cs="仿宋"/>
                <w:sz w:val="24"/>
                <w:szCs w:val="24"/>
              </w:rPr>
              <w:t>约束性</w:t>
            </w:r>
          </w:p>
        </w:tc>
        <w:tc>
          <w:tcPr>
            <w:tcW w:w="1555" w:type="dxa"/>
            <w:vAlign w:val="bottom"/>
          </w:tcPr>
          <w:p w14:paraId="3854E618">
            <w:pPr>
              <w:rPr>
                <w:sz w:val="2"/>
                <w:szCs w:val="2"/>
              </w:rPr>
            </w:pPr>
          </w:p>
        </w:tc>
      </w:tr>
      <w:tr w14:paraId="26E66696">
        <w:tblPrEx>
          <w:tblCellMar>
            <w:top w:w="0" w:type="dxa"/>
            <w:left w:w="0" w:type="dxa"/>
            <w:bottom w:w="0" w:type="dxa"/>
            <w:right w:w="0" w:type="dxa"/>
          </w:tblCellMar>
        </w:tblPrEx>
        <w:trPr>
          <w:trHeight w:val="252" w:hRule="atLeast"/>
        </w:trPr>
        <w:tc>
          <w:tcPr>
            <w:tcW w:w="527" w:type="dxa"/>
            <w:vMerge w:val="restart"/>
            <w:vAlign w:val="bottom"/>
          </w:tcPr>
          <w:p w14:paraId="4E46FAFC">
            <w:pPr>
              <w:spacing w:line="274" w:lineRule="exact"/>
              <w:jc w:val="center"/>
              <w:rPr>
                <w:sz w:val="20"/>
                <w:szCs w:val="20"/>
              </w:rPr>
            </w:pPr>
            <w:r>
              <w:rPr>
                <w:rFonts w:ascii="仿宋" w:hAnsi="仿宋" w:eastAsia="仿宋" w:cs="仿宋"/>
                <w:w w:val="99"/>
                <w:sz w:val="24"/>
                <w:szCs w:val="24"/>
              </w:rPr>
              <w:t>27</w:t>
            </w:r>
          </w:p>
        </w:tc>
        <w:tc>
          <w:tcPr>
            <w:tcW w:w="710" w:type="dxa"/>
            <w:vAlign w:val="bottom"/>
          </w:tcPr>
          <w:p w14:paraId="14720BD2">
            <w:pPr>
              <w:spacing w:line="251" w:lineRule="exact"/>
              <w:ind w:left="220"/>
              <w:rPr>
                <w:sz w:val="20"/>
                <w:szCs w:val="20"/>
              </w:rPr>
            </w:pPr>
            <w:r>
              <w:rPr>
                <w:rFonts w:hint="eastAsia" w:ascii="仿宋" w:hAnsi="仿宋" w:eastAsia="仿宋" w:cs="仿宋"/>
                <w:sz w:val="24"/>
                <w:szCs w:val="24"/>
              </w:rPr>
              <w:t>健康</w:t>
            </w:r>
          </w:p>
        </w:tc>
        <w:tc>
          <w:tcPr>
            <w:tcW w:w="3379" w:type="dxa"/>
            <w:vMerge w:val="restart"/>
            <w:vAlign w:val="bottom"/>
          </w:tcPr>
          <w:p w14:paraId="56F26546">
            <w:pPr>
              <w:spacing w:line="274" w:lineRule="exact"/>
              <w:ind w:left="140"/>
              <w:rPr>
                <w:spacing w:val="-12"/>
                <w:sz w:val="20"/>
                <w:szCs w:val="20"/>
              </w:rPr>
            </w:pPr>
            <w:r>
              <w:rPr>
                <w:rFonts w:hint="eastAsia" w:ascii="仿宋" w:hAnsi="仿宋" w:eastAsia="仿宋" w:cs="仿宋"/>
                <w:spacing w:val="-12"/>
                <w:sz w:val="24"/>
                <w:szCs w:val="24"/>
              </w:rPr>
              <w:t>地表水达到或好于Ⅲ类水体比例</w:t>
            </w:r>
          </w:p>
        </w:tc>
        <w:tc>
          <w:tcPr>
            <w:tcW w:w="949" w:type="dxa"/>
            <w:gridSpan w:val="2"/>
            <w:vMerge w:val="restart"/>
            <w:vAlign w:val="bottom"/>
          </w:tcPr>
          <w:p w14:paraId="48AC6F54">
            <w:pPr>
              <w:spacing w:line="274" w:lineRule="exact"/>
              <w:jc w:val="center"/>
              <w:rPr>
                <w:sz w:val="20"/>
                <w:szCs w:val="20"/>
              </w:rPr>
            </w:pPr>
            <w:r>
              <w:rPr>
                <w:rFonts w:ascii="仿宋" w:hAnsi="仿宋" w:eastAsia="仿宋" w:cs="仿宋"/>
                <w:w w:val="99"/>
                <w:sz w:val="24"/>
                <w:szCs w:val="24"/>
              </w:rPr>
              <w:t>%</w:t>
            </w:r>
          </w:p>
        </w:tc>
        <w:tc>
          <w:tcPr>
            <w:tcW w:w="1151" w:type="dxa"/>
            <w:vMerge w:val="restart"/>
            <w:vAlign w:val="bottom"/>
          </w:tcPr>
          <w:p w14:paraId="1EB7DC8B">
            <w:pPr>
              <w:spacing w:line="274" w:lineRule="exact"/>
              <w:jc w:val="center"/>
              <w:rPr>
                <w:sz w:val="20"/>
                <w:szCs w:val="20"/>
              </w:rPr>
            </w:pPr>
            <w:r>
              <w:rPr>
                <w:rFonts w:ascii="仿宋" w:hAnsi="仿宋" w:eastAsia="仿宋" w:cs="仿宋"/>
                <w:w w:val="99"/>
                <w:sz w:val="24"/>
                <w:szCs w:val="24"/>
              </w:rPr>
              <w:t>93.3</w:t>
            </w:r>
          </w:p>
        </w:tc>
        <w:tc>
          <w:tcPr>
            <w:tcW w:w="1319" w:type="dxa"/>
            <w:vMerge w:val="restart"/>
            <w:vAlign w:val="bottom"/>
          </w:tcPr>
          <w:p w14:paraId="3F522CD0">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90</w:t>
            </w:r>
          </w:p>
        </w:tc>
        <w:tc>
          <w:tcPr>
            <w:tcW w:w="1050" w:type="dxa"/>
            <w:vMerge w:val="restart"/>
            <w:vAlign w:val="bottom"/>
          </w:tcPr>
          <w:p w14:paraId="76985D6F">
            <w:pPr>
              <w:spacing w:line="274" w:lineRule="exact"/>
              <w:ind w:left="120"/>
              <w:rPr>
                <w:sz w:val="20"/>
                <w:szCs w:val="20"/>
              </w:rPr>
            </w:pPr>
            <w:r>
              <w:rPr>
                <w:rFonts w:hint="eastAsia" w:ascii="仿宋" w:hAnsi="仿宋" w:eastAsia="仿宋" w:cs="仿宋"/>
                <w:sz w:val="24"/>
                <w:szCs w:val="24"/>
              </w:rPr>
              <w:t>约束性</w:t>
            </w:r>
          </w:p>
        </w:tc>
        <w:tc>
          <w:tcPr>
            <w:tcW w:w="1555" w:type="dxa"/>
            <w:vAlign w:val="bottom"/>
          </w:tcPr>
          <w:p w14:paraId="7D8D8227">
            <w:pPr>
              <w:rPr>
                <w:sz w:val="2"/>
                <w:szCs w:val="2"/>
              </w:rPr>
            </w:pPr>
          </w:p>
        </w:tc>
      </w:tr>
      <w:tr w14:paraId="7FB6F1A2">
        <w:tblPrEx>
          <w:tblCellMar>
            <w:top w:w="0" w:type="dxa"/>
            <w:left w:w="0" w:type="dxa"/>
            <w:bottom w:w="0" w:type="dxa"/>
            <w:right w:w="0" w:type="dxa"/>
          </w:tblCellMar>
        </w:tblPrEx>
        <w:trPr>
          <w:trHeight w:val="310" w:hRule="atLeast"/>
        </w:trPr>
        <w:tc>
          <w:tcPr>
            <w:tcW w:w="527" w:type="dxa"/>
            <w:vMerge w:val="continue"/>
            <w:vAlign w:val="bottom"/>
          </w:tcPr>
          <w:p w14:paraId="4E788C88">
            <w:pPr>
              <w:rPr>
                <w:sz w:val="24"/>
                <w:szCs w:val="24"/>
              </w:rPr>
            </w:pPr>
          </w:p>
        </w:tc>
        <w:tc>
          <w:tcPr>
            <w:tcW w:w="710" w:type="dxa"/>
            <w:vAlign w:val="bottom"/>
          </w:tcPr>
          <w:p w14:paraId="46EBC47E">
            <w:pPr>
              <w:spacing w:line="274" w:lineRule="exact"/>
              <w:ind w:left="220"/>
              <w:rPr>
                <w:sz w:val="20"/>
                <w:szCs w:val="20"/>
              </w:rPr>
            </w:pPr>
            <w:r>
              <w:rPr>
                <w:rFonts w:hint="eastAsia" w:ascii="仿宋" w:hAnsi="仿宋" w:eastAsia="仿宋" w:cs="仿宋"/>
                <w:sz w:val="24"/>
                <w:szCs w:val="24"/>
              </w:rPr>
              <w:t>环境</w:t>
            </w:r>
          </w:p>
        </w:tc>
        <w:tc>
          <w:tcPr>
            <w:tcW w:w="3379" w:type="dxa"/>
            <w:vMerge w:val="continue"/>
            <w:vAlign w:val="bottom"/>
          </w:tcPr>
          <w:p w14:paraId="4DC4D1DB">
            <w:pPr>
              <w:rPr>
                <w:sz w:val="24"/>
                <w:szCs w:val="24"/>
              </w:rPr>
            </w:pPr>
          </w:p>
        </w:tc>
        <w:tc>
          <w:tcPr>
            <w:tcW w:w="949" w:type="dxa"/>
            <w:gridSpan w:val="2"/>
            <w:vMerge w:val="continue"/>
            <w:vAlign w:val="bottom"/>
          </w:tcPr>
          <w:p w14:paraId="024925B7">
            <w:pPr>
              <w:rPr>
                <w:sz w:val="24"/>
                <w:szCs w:val="24"/>
              </w:rPr>
            </w:pPr>
          </w:p>
        </w:tc>
        <w:tc>
          <w:tcPr>
            <w:tcW w:w="1151" w:type="dxa"/>
            <w:vMerge w:val="continue"/>
            <w:vAlign w:val="bottom"/>
          </w:tcPr>
          <w:p w14:paraId="2C578C40">
            <w:pPr>
              <w:rPr>
                <w:sz w:val="24"/>
                <w:szCs w:val="24"/>
              </w:rPr>
            </w:pPr>
          </w:p>
        </w:tc>
        <w:tc>
          <w:tcPr>
            <w:tcW w:w="1319" w:type="dxa"/>
            <w:vMerge w:val="continue"/>
            <w:vAlign w:val="bottom"/>
          </w:tcPr>
          <w:p w14:paraId="09A8E647">
            <w:pPr>
              <w:rPr>
                <w:sz w:val="24"/>
                <w:szCs w:val="24"/>
              </w:rPr>
            </w:pPr>
          </w:p>
        </w:tc>
        <w:tc>
          <w:tcPr>
            <w:tcW w:w="1050" w:type="dxa"/>
            <w:vMerge w:val="continue"/>
            <w:vAlign w:val="bottom"/>
          </w:tcPr>
          <w:p w14:paraId="7DA5B0BE">
            <w:pPr>
              <w:rPr>
                <w:sz w:val="24"/>
                <w:szCs w:val="24"/>
              </w:rPr>
            </w:pPr>
          </w:p>
        </w:tc>
        <w:tc>
          <w:tcPr>
            <w:tcW w:w="1555" w:type="dxa"/>
            <w:vAlign w:val="bottom"/>
          </w:tcPr>
          <w:p w14:paraId="046DE89C">
            <w:pPr>
              <w:rPr>
                <w:sz w:val="2"/>
                <w:szCs w:val="2"/>
              </w:rPr>
            </w:pPr>
          </w:p>
        </w:tc>
      </w:tr>
      <w:tr w14:paraId="14C75AE9">
        <w:tblPrEx>
          <w:tblCellMar>
            <w:top w:w="0" w:type="dxa"/>
            <w:left w:w="0" w:type="dxa"/>
            <w:bottom w:w="0" w:type="dxa"/>
            <w:right w:w="0" w:type="dxa"/>
          </w:tblCellMar>
        </w:tblPrEx>
        <w:trPr>
          <w:trHeight w:val="259" w:hRule="atLeast"/>
        </w:trPr>
        <w:tc>
          <w:tcPr>
            <w:tcW w:w="527" w:type="dxa"/>
            <w:vAlign w:val="bottom"/>
          </w:tcPr>
          <w:p w14:paraId="3978BDF8">
            <w:pPr>
              <w:spacing w:line="259" w:lineRule="exact"/>
              <w:jc w:val="center"/>
              <w:rPr>
                <w:sz w:val="20"/>
                <w:szCs w:val="20"/>
              </w:rPr>
            </w:pPr>
            <w:r>
              <w:rPr>
                <w:rFonts w:ascii="仿宋" w:hAnsi="仿宋" w:eastAsia="仿宋" w:cs="仿宋"/>
                <w:w w:val="99"/>
                <w:sz w:val="24"/>
                <w:szCs w:val="24"/>
              </w:rPr>
              <w:t>28</w:t>
            </w:r>
          </w:p>
        </w:tc>
        <w:tc>
          <w:tcPr>
            <w:tcW w:w="710" w:type="dxa"/>
            <w:vAlign w:val="bottom"/>
          </w:tcPr>
          <w:p w14:paraId="5BD70D9A"/>
        </w:tc>
        <w:tc>
          <w:tcPr>
            <w:tcW w:w="3379" w:type="dxa"/>
            <w:vAlign w:val="bottom"/>
          </w:tcPr>
          <w:p w14:paraId="110BB335">
            <w:pPr>
              <w:spacing w:line="259" w:lineRule="exact"/>
              <w:ind w:left="140"/>
              <w:rPr>
                <w:sz w:val="20"/>
                <w:szCs w:val="20"/>
              </w:rPr>
            </w:pPr>
            <w:r>
              <w:rPr>
                <w:rFonts w:hint="eastAsia" w:ascii="仿宋" w:hAnsi="仿宋" w:eastAsia="仿宋" w:cs="仿宋"/>
                <w:sz w:val="24"/>
                <w:szCs w:val="24"/>
              </w:rPr>
              <w:t>国家卫生县城数量占比</w:t>
            </w:r>
          </w:p>
        </w:tc>
        <w:tc>
          <w:tcPr>
            <w:tcW w:w="949" w:type="dxa"/>
            <w:gridSpan w:val="2"/>
            <w:vAlign w:val="bottom"/>
          </w:tcPr>
          <w:p w14:paraId="163CFF43">
            <w:pPr>
              <w:spacing w:line="259" w:lineRule="exact"/>
              <w:jc w:val="center"/>
              <w:rPr>
                <w:sz w:val="20"/>
                <w:szCs w:val="20"/>
              </w:rPr>
            </w:pPr>
            <w:r>
              <w:rPr>
                <w:rFonts w:ascii="仿宋" w:hAnsi="仿宋" w:eastAsia="仿宋" w:cs="仿宋"/>
                <w:w w:val="99"/>
                <w:sz w:val="24"/>
                <w:szCs w:val="24"/>
              </w:rPr>
              <w:t>%</w:t>
            </w:r>
          </w:p>
        </w:tc>
        <w:tc>
          <w:tcPr>
            <w:tcW w:w="1151" w:type="dxa"/>
            <w:vAlign w:val="bottom"/>
          </w:tcPr>
          <w:p w14:paraId="7AC0C776">
            <w:pPr>
              <w:spacing w:line="259" w:lineRule="exact"/>
              <w:jc w:val="center"/>
              <w:rPr>
                <w:sz w:val="20"/>
                <w:szCs w:val="20"/>
              </w:rPr>
            </w:pPr>
            <w:r>
              <w:rPr>
                <w:rFonts w:ascii="仿宋" w:hAnsi="仿宋" w:eastAsia="仿宋" w:cs="仿宋"/>
                <w:w w:val="99"/>
                <w:sz w:val="24"/>
                <w:szCs w:val="24"/>
              </w:rPr>
              <w:t>0</w:t>
            </w:r>
          </w:p>
        </w:tc>
        <w:tc>
          <w:tcPr>
            <w:tcW w:w="1319" w:type="dxa"/>
            <w:vAlign w:val="bottom"/>
          </w:tcPr>
          <w:p w14:paraId="57706A9B">
            <w:pPr>
              <w:spacing w:line="259" w:lineRule="exact"/>
              <w:jc w:val="center"/>
              <w:rPr>
                <w:sz w:val="20"/>
                <w:szCs w:val="20"/>
              </w:rPr>
            </w:pPr>
            <w:r>
              <w:rPr>
                <w:rFonts w:ascii="仿宋" w:hAnsi="仿宋" w:eastAsia="仿宋" w:cs="仿宋"/>
                <w:w w:val="94"/>
                <w:sz w:val="24"/>
                <w:szCs w:val="24"/>
              </w:rPr>
              <w:t>100</w:t>
            </w:r>
          </w:p>
        </w:tc>
        <w:tc>
          <w:tcPr>
            <w:tcW w:w="1050" w:type="dxa"/>
            <w:vAlign w:val="bottom"/>
          </w:tcPr>
          <w:p w14:paraId="378ED298">
            <w:pPr>
              <w:spacing w:line="259" w:lineRule="exact"/>
              <w:ind w:left="120"/>
              <w:rPr>
                <w:sz w:val="20"/>
                <w:szCs w:val="20"/>
              </w:rPr>
            </w:pPr>
            <w:r>
              <w:rPr>
                <w:rFonts w:hint="eastAsia" w:ascii="仿宋" w:hAnsi="仿宋" w:eastAsia="仿宋" w:cs="仿宋"/>
                <w:sz w:val="24"/>
                <w:szCs w:val="24"/>
              </w:rPr>
              <w:t>预期性</w:t>
            </w:r>
          </w:p>
        </w:tc>
        <w:tc>
          <w:tcPr>
            <w:tcW w:w="1555" w:type="dxa"/>
            <w:vAlign w:val="bottom"/>
          </w:tcPr>
          <w:p w14:paraId="3D4A8456">
            <w:pPr>
              <w:rPr>
                <w:sz w:val="2"/>
                <w:szCs w:val="2"/>
              </w:rPr>
            </w:pPr>
          </w:p>
        </w:tc>
      </w:tr>
      <w:tr w14:paraId="1A9AB6E9">
        <w:tblPrEx>
          <w:tblCellMar>
            <w:top w:w="0" w:type="dxa"/>
            <w:left w:w="0" w:type="dxa"/>
            <w:bottom w:w="0" w:type="dxa"/>
            <w:right w:w="0" w:type="dxa"/>
          </w:tblCellMar>
        </w:tblPrEx>
        <w:trPr>
          <w:trHeight w:val="81" w:hRule="atLeast"/>
        </w:trPr>
        <w:tc>
          <w:tcPr>
            <w:tcW w:w="527" w:type="dxa"/>
            <w:tcBorders>
              <w:bottom w:val="single" w:color="auto" w:sz="8" w:space="0"/>
            </w:tcBorders>
            <w:vAlign w:val="bottom"/>
          </w:tcPr>
          <w:p w14:paraId="355B1DD5">
            <w:pPr>
              <w:rPr>
                <w:sz w:val="7"/>
                <w:szCs w:val="7"/>
              </w:rPr>
            </w:pPr>
          </w:p>
        </w:tc>
        <w:tc>
          <w:tcPr>
            <w:tcW w:w="710" w:type="dxa"/>
            <w:tcBorders>
              <w:bottom w:val="single" w:color="auto" w:sz="8" w:space="0"/>
            </w:tcBorders>
            <w:vAlign w:val="bottom"/>
          </w:tcPr>
          <w:p w14:paraId="4524A7C3">
            <w:pPr>
              <w:rPr>
                <w:sz w:val="7"/>
                <w:szCs w:val="7"/>
              </w:rPr>
            </w:pPr>
          </w:p>
        </w:tc>
        <w:tc>
          <w:tcPr>
            <w:tcW w:w="3379" w:type="dxa"/>
            <w:tcBorders>
              <w:bottom w:val="single" w:color="auto" w:sz="8" w:space="0"/>
            </w:tcBorders>
            <w:vAlign w:val="bottom"/>
          </w:tcPr>
          <w:p w14:paraId="6800B7CF">
            <w:pPr>
              <w:rPr>
                <w:sz w:val="7"/>
                <w:szCs w:val="7"/>
              </w:rPr>
            </w:pPr>
          </w:p>
        </w:tc>
        <w:tc>
          <w:tcPr>
            <w:tcW w:w="949" w:type="dxa"/>
            <w:gridSpan w:val="2"/>
            <w:tcBorders>
              <w:bottom w:val="single" w:color="auto" w:sz="8" w:space="0"/>
            </w:tcBorders>
            <w:vAlign w:val="bottom"/>
          </w:tcPr>
          <w:p w14:paraId="071D252C">
            <w:pPr>
              <w:rPr>
                <w:sz w:val="7"/>
                <w:szCs w:val="7"/>
              </w:rPr>
            </w:pPr>
          </w:p>
        </w:tc>
        <w:tc>
          <w:tcPr>
            <w:tcW w:w="1151" w:type="dxa"/>
            <w:tcBorders>
              <w:bottom w:val="single" w:color="auto" w:sz="8" w:space="0"/>
            </w:tcBorders>
            <w:vAlign w:val="bottom"/>
          </w:tcPr>
          <w:p w14:paraId="653C010C">
            <w:pPr>
              <w:rPr>
                <w:sz w:val="7"/>
                <w:szCs w:val="7"/>
              </w:rPr>
            </w:pPr>
          </w:p>
        </w:tc>
        <w:tc>
          <w:tcPr>
            <w:tcW w:w="1319" w:type="dxa"/>
            <w:tcBorders>
              <w:bottom w:val="single" w:color="auto" w:sz="8" w:space="0"/>
            </w:tcBorders>
            <w:vAlign w:val="bottom"/>
          </w:tcPr>
          <w:p w14:paraId="118630DF">
            <w:pPr>
              <w:rPr>
                <w:sz w:val="7"/>
                <w:szCs w:val="7"/>
              </w:rPr>
            </w:pPr>
          </w:p>
        </w:tc>
        <w:tc>
          <w:tcPr>
            <w:tcW w:w="1050" w:type="dxa"/>
            <w:tcBorders>
              <w:bottom w:val="single" w:color="auto" w:sz="8" w:space="0"/>
            </w:tcBorders>
            <w:vAlign w:val="bottom"/>
          </w:tcPr>
          <w:p w14:paraId="47A1A42B">
            <w:pPr>
              <w:rPr>
                <w:sz w:val="7"/>
                <w:szCs w:val="7"/>
              </w:rPr>
            </w:pPr>
          </w:p>
        </w:tc>
        <w:tc>
          <w:tcPr>
            <w:tcW w:w="1555" w:type="dxa"/>
            <w:vAlign w:val="bottom"/>
          </w:tcPr>
          <w:p w14:paraId="0017EBEC">
            <w:pPr>
              <w:rPr>
                <w:sz w:val="2"/>
                <w:szCs w:val="2"/>
              </w:rPr>
            </w:pPr>
          </w:p>
        </w:tc>
      </w:tr>
      <w:tr w14:paraId="7C44D53B">
        <w:tblPrEx>
          <w:tblCellMar>
            <w:top w:w="0" w:type="dxa"/>
            <w:left w:w="0" w:type="dxa"/>
            <w:bottom w:w="0" w:type="dxa"/>
            <w:right w:w="0" w:type="dxa"/>
          </w:tblCellMar>
        </w:tblPrEx>
        <w:trPr>
          <w:trHeight w:val="448" w:hRule="atLeast"/>
        </w:trPr>
        <w:tc>
          <w:tcPr>
            <w:tcW w:w="527" w:type="dxa"/>
            <w:vAlign w:val="bottom"/>
          </w:tcPr>
          <w:p w14:paraId="5EB7971C">
            <w:pPr>
              <w:spacing w:line="274" w:lineRule="exact"/>
              <w:jc w:val="center"/>
              <w:rPr>
                <w:sz w:val="20"/>
                <w:szCs w:val="20"/>
              </w:rPr>
            </w:pPr>
            <w:r>
              <w:rPr>
                <w:rFonts w:ascii="仿宋" w:hAnsi="仿宋" w:eastAsia="仿宋" w:cs="仿宋"/>
                <w:w w:val="99"/>
                <w:sz w:val="24"/>
                <w:szCs w:val="24"/>
              </w:rPr>
              <w:t>29</w:t>
            </w:r>
          </w:p>
        </w:tc>
        <w:tc>
          <w:tcPr>
            <w:tcW w:w="710" w:type="dxa"/>
            <w:vAlign w:val="bottom"/>
          </w:tcPr>
          <w:p w14:paraId="06681174">
            <w:pPr>
              <w:rPr>
                <w:sz w:val="24"/>
                <w:szCs w:val="24"/>
              </w:rPr>
            </w:pPr>
          </w:p>
        </w:tc>
        <w:tc>
          <w:tcPr>
            <w:tcW w:w="3379" w:type="dxa"/>
            <w:vAlign w:val="bottom"/>
          </w:tcPr>
          <w:p w14:paraId="0DC5F186">
            <w:pPr>
              <w:spacing w:line="274" w:lineRule="exact"/>
              <w:ind w:left="140"/>
              <w:rPr>
                <w:color w:val="000000"/>
                <w:sz w:val="20"/>
                <w:szCs w:val="20"/>
              </w:rPr>
            </w:pPr>
            <w:r>
              <w:rPr>
                <w:rFonts w:hint="eastAsia" w:ascii="仿宋" w:hAnsi="仿宋" w:eastAsia="仿宋" w:cs="仿宋"/>
                <w:color w:val="000000"/>
                <w:sz w:val="24"/>
                <w:szCs w:val="24"/>
              </w:rPr>
              <w:t>个人卫生支出占卫生总费用的比重</w:t>
            </w:r>
          </w:p>
        </w:tc>
        <w:tc>
          <w:tcPr>
            <w:tcW w:w="949" w:type="dxa"/>
            <w:gridSpan w:val="2"/>
            <w:vAlign w:val="bottom"/>
          </w:tcPr>
          <w:p w14:paraId="2BECE12F">
            <w:pPr>
              <w:spacing w:line="274" w:lineRule="exact"/>
              <w:jc w:val="center"/>
              <w:rPr>
                <w:color w:val="000000"/>
                <w:sz w:val="20"/>
                <w:szCs w:val="20"/>
              </w:rPr>
            </w:pPr>
            <w:r>
              <w:rPr>
                <w:rFonts w:ascii="仿宋" w:hAnsi="仿宋" w:eastAsia="仿宋" w:cs="仿宋"/>
                <w:color w:val="000000"/>
                <w:w w:val="99"/>
                <w:sz w:val="24"/>
                <w:szCs w:val="24"/>
              </w:rPr>
              <w:t>%</w:t>
            </w:r>
          </w:p>
        </w:tc>
        <w:tc>
          <w:tcPr>
            <w:tcW w:w="1151" w:type="dxa"/>
            <w:vAlign w:val="bottom"/>
          </w:tcPr>
          <w:p w14:paraId="6E1C5CCD">
            <w:pPr>
              <w:spacing w:line="320" w:lineRule="exact"/>
              <w:jc w:val="center"/>
              <w:rPr>
                <w:color w:val="000000"/>
                <w:sz w:val="20"/>
                <w:szCs w:val="20"/>
              </w:rPr>
            </w:pPr>
            <w:r>
              <w:rPr>
                <w:rFonts w:ascii="仿宋" w:hAnsi="仿宋" w:eastAsia="仿宋" w:cs="仿宋"/>
                <w:b/>
                <w:bCs/>
                <w:color w:val="000000"/>
                <w:w w:val="99"/>
                <w:sz w:val="28"/>
                <w:szCs w:val="28"/>
              </w:rPr>
              <w:t>*</w:t>
            </w:r>
          </w:p>
        </w:tc>
        <w:tc>
          <w:tcPr>
            <w:tcW w:w="1319" w:type="dxa"/>
            <w:vAlign w:val="bottom"/>
          </w:tcPr>
          <w:p w14:paraId="71ACA7AD">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27</w:t>
            </w:r>
          </w:p>
        </w:tc>
        <w:tc>
          <w:tcPr>
            <w:tcW w:w="1050" w:type="dxa"/>
            <w:vAlign w:val="bottom"/>
          </w:tcPr>
          <w:p w14:paraId="13A883DA">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14:paraId="40A1FEA9">
            <w:pPr>
              <w:rPr>
                <w:color w:val="000000"/>
                <w:sz w:val="2"/>
                <w:szCs w:val="2"/>
              </w:rPr>
            </w:pPr>
          </w:p>
        </w:tc>
      </w:tr>
      <w:tr w14:paraId="3E71EE8E">
        <w:tblPrEx>
          <w:tblCellMar>
            <w:top w:w="0" w:type="dxa"/>
            <w:left w:w="0" w:type="dxa"/>
            <w:bottom w:w="0" w:type="dxa"/>
            <w:right w:w="0" w:type="dxa"/>
          </w:tblCellMar>
        </w:tblPrEx>
        <w:trPr>
          <w:trHeight w:val="644" w:hRule="atLeast"/>
        </w:trPr>
        <w:tc>
          <w:tcPr>
            <w:tcW w:w="527" w:type="dxa"/>
            <w:vAlign w:val="bottom"/>
          </w:tcPr>
          <w:p w14:paraId="251A33BC">
            <w:pPr>
              <w:spacing w:line="274" w:lineRule="exact"/>
              <w:jc w:val="center"/>
              <w:rPr>
                <w:sz w:val="20"/>
                <w:szCs w:val="20"/>
              </w:rPr>
            </w:pPr>
            <w:r>
              <w:rPr>
                <w:rFonts w:ascii="仿宋" w:hAnsi="仿宋" w:eastAsia="仿宋" w:cs="仿宋"/>
                <w:w w:val="99"/>
                <w:sz w:val="24"/>
                <w:szCs w:val="24"/>
              </w:rPr>
              <w:t>30</w:t>
            </w:r>
          </w:p>
        </w:tc>
        <w:tc>
          <w:tcPr>
            <w:tcW w:w="710" w:type="dxa"/>
            <w:vAlign w:val="bottom"/>
          </w:tcPr>
          <w:p w14:paraId="53C384EB">
            <w:pPr>
              <w:spacing w:line="274" w:lineRule="exact"/>
              <w:ind w:left="220"/>
              <w:rPr>
                <w:sz w:val="20"/>
                <w:szCs w:val="20"/>
              </w:rPr>
            </w:pPr>
            <w:r>
              <w:rPr>
                <w:rFonts w:hint="eastAsia" w:ascii="仿宋" w:hAnsi="仿宋" w:eastAsia="仿宋" w:cs="仿宋"/>
                <w:sz w:val="24"/>
                <w:szCs w:val="24"/>
              </w:rPr>
              <w:t>健康</w:t>
            </w:r>
          </w:p>
        </w:tc>
        <w:tc>
          <w:tcPr>
            <w:tcW w:w="3379" w:type="dxa"/>
            <w:vMerge w:val="restart"/>
            <w:vAlign w:val="center"/>
          </w:tcPr>
          <w:p w14:paraId="032A6656">
            <w:pPr>
              <w:spacing w:line="274" w:lineRule="exact"/>
              <w:ind w:left="140"/>
              <w:rPr>
                <w:color w:val="000000"/>
                <w:sz w:val="20"/>
                <w:szCs w:val="20"/>
              </w:rPr>
            </w:pPr>
            <w:r>
              <w:rPr>
                <w:rFonts w:hint="eastAsia" w:ascii="仿宋" w:hAnsi="仿宋" w:eastAsia="仿宋" w:cs="仿宋"/>
                <w:color w:val="000000"/>
                <w:sz w:val="24"/>
                <w:szCs w:val="24"/>
              </w:rPr>
              <w:t>城乡居民医保政策范围内住院费用支付比例</w:t>
            </w:r>
          </w:p>
        </w:tc>
        <w:tc>
          <w:tcPr>
            <w:tcW w:w="949" w:type="dxa"/>
            <w:gridSpan w:val="2"/>
            <w:vAlign w:val="center"/>
          </w:tcPr>
          <w:p w14:paraId="7DE6BFA5">
            <w:pPr>
              <w:spacing w:line="274" w:lineRule="exact"/>
              <w:jc w:val="center"/>
              <w:rPr>
                <w:color w:val="000000"/>
                <w:sz w:val="20"/>
                <w:szCs w:val="20"/>
              </w:rPr>
            </w:pPr>
            <w:r>
              <w:rPr>
                <w:rFonts w:ascii="仿宋" w:hAnsi="仿宋" w:eastAsia="仿宋" w:cs="仿宋"/>
                <w:color w:val="000000"/>
                <w:w w:val="99"/>
                <w:sz w:val="24"/>
                <w:szCs w:val="24"/>
              </w:rPr>
              <w:t>%</w:t>
            </w:r>
          </w:p>
        </w:tc>
        <w:tc>
          <w:tcPr>
            <w:tcW w:w="1151" w:type="dxa"/>
            <w:vMerge w:val="restart"/>
            <w:vAlign w:val="center"/>
          </w:tcPr>
          <w:p w14:paraId="63AC7074">
            <w:pPr>
              <w:jc w:val="center"/>
              <w:rPr>
                <w:color w:val="000000"/>
              </w:rPr>
            </w:pPr>
            <w:r>
              <w:rPr>
                <w:rFonts w:ascii="仿宋" w:hAnsi="仿宋" w:eastAsia="仿宋" w:cs="仿宋"/>
                <w:color w:val="000000"/>
                <w:w w:val="99"/>
                <w:sz w:val="24"/>
                <w:szCs w:val="24"/>
              </w:rPr>
              <w:t>65</w:t>
            </w:r>
          </w:p>
        </w:tc>
        <w:tc>
          <w:tcPr>
            <w:tcW w:w="1319" w:type="dxa"/>
            <w:vAlign w:val="bottom"/>
          </w:tcPr>
          <w:p w14:paraId="446F08FD">
            <w:pPr>
              <w:spacing w:line="274" w:lineRule="exact"/>
              <w:jc w:val="center"/>
              <w:rPr>
                <w:rFonts w:ascii="仿宋" w:hAnsi="仿宋" w:eastAsia="仿宋"/>
                <w:color w:val="000000"/>
                <w:w w:val="97"/>
                <w:sz w:val="24"/>
                <w:szCs w:val="24"/>
              </w:rPr>
            </w:pPr>
            <w:r>
              <w:rPr>
                <w:rFonts w:hint="eastAsia" w:ascii="仿宋" w:hAnsi="仿宋" w:eastAsia="仿宋" w:cs="仿宋"/>
                <w:color w:val="000000"/>
                <w:w w:val="97"/>
                <w:sz w:val="24"/>
                <w:szCs w:val="24"/>
              </w:rPr>
              <w:t>维持在</w:t>
            </w:r>
          </w:p>
          <w:p w14:paraId="43D5E4B6">
            <w:pPr>
              <w:spacing w:line="274" w:lineRule="exact"/>
              <w:jc w:val="center"/>
              <w:rPr>
                <w:color w:val="000000"/>
                <w:sz w:val="20"/>
                <w:szCs w:val="20"/>
              </w:rPr>
            </w:pPr>
            <w:r>
              <w:rPr>
                <w:rFonts w:ascii="仿宋" w:hAnsi="仿宋" w:eastAsia="仿宋" w:cs="仿宋"/>
                <w:color w:val="000000"/>
                <w:w w:val="97"/>
                <w:sz w:val="24"/>
                <w:szCs w:val="24"/>
              </w:rPr>
              <w:t>70%</w:t>
            </w:r>
            <w:r>
              <w:rPr>
                <w:rFonts w:hint="eastAsia" w:ascii="仿宋" w:hAnsi="仿宋" w:eastAsia="仿宋" w:cs="仿宋"/>
                <w:color w:val="000000"/>
                <w:w w:val="97"/>
                <w:sz w:val="24"/>
                <w:szCs w:val="24"/>
              </w:rPr>
              <w:t>左右</w:t>
            </w:r>
          </w:p>
        </w:tc>
        <w:tc>
          <w:tcPr>
            <w:tcW w:w="1050" w:type="dxa"/>
            <w:vAlign w:val="center"/>
          </w:tcPr>
          <w:p w14:paraId="634E99E1">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14:paraId="2CEDD7CB">
            <w:pPr>
              <w:rPr>
                <w:sz w:val="2"/>
                <w:szCs w:val="2"/>
              </w:rPr>
            </w:pPr>
          </w:p>
        </w:tc>
      </w:tr>
      <w:tr w14:paraId="3A4D864C">
        <w:tblPrEx>
          <w:tblCellMar>
            <w:top w:w="0" w:type="dxa"/>
            <w:left w:w="0" w:type="dxa"/>
            <w:bottom w:w="0" w:type="dxa"/>
            <w:right w:w="0" w:type="dxa"/>
          </w:tblCellMar>
        </w:tblPrEx>
        <w:trPr>
          <w:trHeight w:val="110" w:hRule="atLeast"/>
        </w:trPr>
        <w:tc>
          <w:tcPr>
            <w:tcW w:w="527" w:type="dxa"/>
            <w:vAlign w:val="bottom"/>
          </w:tcPr>
          <w:p w14:paraId="4F89A609"/>
        </w:tc>
        <w:tc>
          <w:tcPr>
            <w:tcW w:w="710" w:type="dxa"/>
            <w:vAlign w:val="bottom"/>
          </w:tcPr>
          <w:p w14:paraId="69AF3C1C">
            <w:pPr>
              <w:spacing w:line="245" w:lineRule="exact"/>
              <w:ind w:left="220"/>
              <w:rPr>
                <w:sz w:val="20"/>
                <w:szCs w:val="20"/>
              </w:rPr>
            </w:pPr>
            <w:r>
              <w:rPr>
                <w:rFonts w:hint="eastAsia" w:ascii="仿宋" w:hAnsi="仿宋" w:eastAsia="仿宋" w:cs="仿宋"/>
                <w:sz w:val="24"/>
                <w:szCs w:val="24"/>
              </w:rPr>
              <w:t>保障</w:t>
            </w:r>
          </w:p>
        </w:tc>
        <w:tc>
          <w:tcPr>
            <w:tcW w:w="3379" w:type="dxa"/>
            <w:vMerge w:val="continue"/>
            <w:vAlign w:val="center"/>
          </w:tcPr>
          <w:p w14:paraId="664FF64C">
            <w:pPr>
              <w:spacing w:line="245" w:lineRule="exact"/>
              <w:ind w:left="140"/>
              <w:rPr>
                <w:color w:val="000000"/>
                <w:sz w:val="20"/>
                <w:szCs w:val="20"/>
              </w:rPr>
            </w:pPr>
          </w:p>
        </w:tc>
        <w:tc>
          <w:tcPr>
            <w:tcW w:w="949" w:type="dxa"/>
            <w:gridSpan w:val="2"/>
            <w:vAlign w:val="center"/>
          </w:tcPr>
          <w:p w14:paraId="481A514D">
            <w:pPr>
              <w:jc w:val="center"/>
              <w:rPr>
                <w:color w:val="000000"/>
              </w:rPr>
            </w:pPr>
          </w:p>
        </w:tc>
        <w:tc>
          <w:tcPr>
            <w:tcW w:w="1151" w:type="dxa"/>
            <w:vMerge w:val="continue"/>
            <w:vAlign w:val="center"/>
          </w:tcPr>
          <w:p w14:paraId="3C7CB47D">
            <w:pPr>
              <w:jc w:val="center"/>
              <w:rPr>
                <w:color w:val="000000"/>
              </w:rPr>
            </w:pPr>
          </w:p>
        </w:tc>
        <w:tc>
          <w:tcPr>
            <w:tcW w:w="1319" w:type="dxa"/>
            <w:vMerge w:val="restart"/>
            <w:vAlign w:val="center"/>
          </w:tcPr>
          <w:p w14:paraId="61BF0D35">
            <w:pPr>
              <w:spacing w:line="274" w:lineRule="exact"/>
              <w:jc w:val="center"/>
              <w:rPr>
                <w:rFonts w:ascii="仿宋" w:hAnsi="仿宋" w:eastAsia="仿宋"/>
                <w:color w:val="000000"/>
                <w:w w:val="97"/>
                <w:sz w:val="24"/>
                <w:szCs w:val="24"/>
              </w:rPr>
            </w:pPr>
            <w:r>
              <w:rPr>
                <w:rFonts w:hint="eastAsia" w:ascii="仿宋" w:hAnsi="仿宋" w:eastAsia="仿宋" w:cs="仿宋"/>
                <w:color w:val="000000"/>
                <w:w w:val="97"/>
                <w:sz w:val="24"/>
                <w:szCs w:val="24"/>
              </w:rPr>
              <w:t>维持在</w:t>
            </w:r>
          </w:p>
          <w:p w14:paraId="1A51612F">
            <w:pPr>
              <w:spacing w:line="274" w:lineRule="exact"/>
              <w:jc w:val="center"/>
              <w:rPr>
                <w:color w:val="000000"/>
                <w:sz w:val="20"/>
                <w:szCs w:val="20"/>
              </w:rPr>
            </w:pPr>
            <w:r>
              <w:rPr>
                <w:rFonts w:ascii="仿宋" w:hAnsi="仿宋" w:eastAsia="仿宋" w:cs="仿宋"/>
                <w:color w:val="000000"/>
                <w:w w:val="97"/>
                <w:sz w:val="24"/>
                <w:szCs w:val="24"/>
              </w:rPr>
              <w:t>85%</w:t>
            </w:r>
            <w:r>
              <w:rPr>
                <w:rFonts w:hint="eastAsia" w:ascii="仿宋" w:hAnsi="仿宋" w:eastAsia="仿宋" w:cs="仿宋"/>
                <w:color w:val="000000"/>
                <w:w w:val="97"/>
                <w:sz w:val="24"/>
                <w:szCs w:val="24"/>
              </w:rPr>
              <w:t>左右</w:t>
            </w:r>
          </w:p>
        </w:tc>
        <w:tc>
          <w:tcPr>
            <w:tcW w:w="1050" w:type="dxa"/>
          </w:tcPr>
          <w:p w14:paraId="546BBB7F">
            <w:pPr>
              <w:rPr>
                <w:color w:val="000000"/>
              </w:rPr>
            </w:pPr>
          </w:p>
        </w:tc>
        <w:tc>
          <w:tcPr>
            <w:tcW w:w="1555" w:type="dxa"/>
            <w:vAlign w:val="bottom"/>
          </w:tcPr>
          <w:p w14:paraId="2942686B">
            <w:pPr>
              <w:rPr>
                <w:sz w:val="2"/>
                <w:szCs w:val="2"/>
              </w:rPr>
            </w:pPr>
          </w:p>
        </w:tc>
      </w:tr>
      <w:tr w14:paraId="2A882559">
        <w:tblPrEx>
          <w:tblCellMar>
            <w:top w:w="0" w:type="dxa"/>
            <w:left w:w="0" w:type="dxa"/>
            <w:bottom w:w="0" w:type="dxa"/>
            <w:right w:w="0" w:type="dxa"/>
          </w:tblCellMar>
        </w:tblPrEx>
        <w:trPr>
          <w:trHeight w:val="248" w:hRule="atLeast"/>
        </w:trPr>
        <w:tc>
          <w:tcPr>
            <w:tcW w:w="527" w:type="dxa"/>
            <w:vMerge w:val="restart"/>
            <w:vAlign w:val="bottom"/>
          </w:tcPr>
          <w:p w14:paraId="742E67ED">
            <w:pPr>
              <w:spacing w:line="274" w:lineRule="exact"/>
              <w:jc w:val="center"/>
              <w:rPr>
                <w:sz w:val="20"/>
                <w:szCs w:val="20"/>
              </w:rPr>
            </w:pPr>
            <w:r>
              <w:rPr>
                <w:rFonts w:ascii="仿宋" w:hAnsi="仿宋" w:eastAsia="仿宋" w:cs="仿宋"/>
                <w:w w:val="99"/>
                <w:sz w:val="24"/>
                <w:szCs w:val="24"/>
              </w:rPr>
              <w:t>31</w:t>
            </w:r>
          </w:p>
        </w:tc>
        <w:tc>
          <w:tcPr>
            <w:tcW w:w="710" w:type="dxa"/>
            <w:vAlign w:val="bottom"/>
          </w:tcPr>
          <w:p w14:paraId="7F76B6EE"/>
        </w:tc>
        <w:tc>
          <w:tcPr>
            <w:tcW w:w="3379" w:type="dxa"/>
            <w:vMerge w:val="restart"/>
            <w:vAlign w:val="center"/>
          </w:tcPr>
          <w:p w14:paraId="4E62A3C5">
            <w:pPr>
              <w:spacing w:line="274" w:lineRule="exact"/>
              <w:ind w:left="140"/>
              <w:rPr>
                <w:color w:val="000000"/>
                <w:sz w:val="20"/>
                <w:szCs w:val="20"/>
              </w:rPr>
            </w:pPr>
            <w:r>
              <w:rPr>
                <w:rFonts w:hint="eastAsia" w:ascii="仿宋" w:hAnsi="仿宋" w:eastAsia="仿宋" w:cs="仿宋"/>
                <w:color w:val="000000"/>
                <w:sz w:val="24"/>
                <w:szCs w:val="24"/>
              </w:rPr>
              <w:t>职工医保政策范围内住院费用支付比例</w:t>
            </w:r>
          </w:p>
        </w:tc>
        <w:tc>
          <w:tcPr>
            <w:tcW w:w="949" w:type="dxa"/>
            <w:gridSpan w:val="2"/>
            <w:vMerge w:val="restart"/>
            <w:vAlign w:val="center"/>
          </w:tcPr>
          <w:p w14:paraId="7F6BAF89">
            <w:pPr>
              <w:spacing w:line="274" w:lineRule="exact"/>
              <w:jc w:val="center"/>
              <w:rPr>
                <w:color w:val="000000"/>
                <w:sz w:val="20"/>
                <w:szCs w:val="20"/>
              </w:rPr>
            </w:pPr>
            <w:r>
              <w:rPr>
                <w:rFonts w:ascii="仿宋" w:hAnsi="仿宋" w:eastAsia="仿宋" w:cs="仿宋"/>
                <w:color w:val="000000"/>
                <w:w w:val="99"/>
                <w:sz w:val="24"/>
                <w:szCs w:val="24"/>
              </w:rPr>
              <w:t>%</w:t>
            </w:r>
          </w:p>
        </w:tc>
        <w:tc>
          <w:tcPr>
            <w:tcW w:w="1151" w:type="dxa"/>
            <w:vMerge w:val="restart"/>
            <w:vAlign w:val="center"/>
          </w:tcPr>
          <w:p w14:paraId="3A39E7A3">
            <w:pPr>
              <w:spacing w:line="274" w:lineRule="exact"/>
              <w:jc w:val="center"/>
              <w:rPr>
                <w:color w:val="000000"/>
                <w:sz w:val="20"/>
                <w:szCs w:val="20"/>
              </w:rPr>
            </w:pPr>
            <w:r>
              <w:rPr>
                <w:rFonts w:ascii="仿宋" w:hAnsi="仿宋" w:eastAsia="仿宋" w:cs="仿宋"/>
                <w:color w:val="000000"/>
                <w:w w:val="99"/>
                <w:sz w:val="24"/>
                <w:szCs w:val="24"/>
              </w:rPr>
              <w:t>81.4</w:t>
            </w:r>
          </w:p>
        </w:tc>
        <w:tc>
          <w:tcPr>
            <w:tcW w:w="1319" w:type="dxa"/>
            <w:vMerge w:val="continue"/>
            <w:vAlign w:val="center"/>
          </w:tcPr>
          <w:p w14:paraId="2ECD0DB1">
            <w:pPr>
              <w:spacing w:line="262" w:lineRule="exact"/>
              <w:rPr>
                <w:color w:val="000000"/>
                <w:sz w:val="20"/>
                <w:szCs w:val="20"/>
              </w:rPr>
            </w:pPr>
          </w:p>
        </w:tc>
        <w:tc>
          <w:tcPr>
            <w:tcW w:w="1050" w:type="dxa"/>
            <w:vMerge w:val="restart"/>
            <w:vAlign w:val="center"/>
          </w:tcPr>
          <w:p w14:paraId="6D4F21AD">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14:paraId="3DEC24CB">
            <w:pPr>
              <w:rPr>
                <w:sz w:val="2"/>
                <w:szCs w:val="2"/>
              </w:rPr>
            </w:pPr>
          </w:p>
        </w:tc>
      </w:tr>
      <w:tr w14:paraId="0A651A79">
        <w:tblPrEx>
          <w:tblCellMar>
            <w:top w:w="0" w:type="dxa"/>
            <w:left w:w="0" w:type="dxa"/>
            <w:bottom w:w="0" w:type="dxa"/>
            <w:right w:w="0" w:type="dxa"/>
          </w:tblCellMar>
        </w:tblPrEx>
        <w:trPr>
          <w:trHeight w:val="90" w:hRule="atLeast"/>
        </w:trPr>
        <w:tc>
          <w:tcPr>
            <w:tcW w:w="527" w:type="dxa"/>
            <w:vMerge w:val="continue"/>
            <w:vAlign w:val="bottom"/>
          </w:tcPr>
          <w:p w14:paraId="080EFEBB">
            <w:pPr>
              <w:rPr>
                <w:sz w:val="13"/>
                <w:szCs w:val="13"/>
              </w:rPr>
            </w:pPr>
          </w:p>
        </w:tc>
        <w:tc>
          <w:tcPr>
            <w:tcW w:w="710" w:type="dxa"/>
            <w:vAlign w:val="bottom"/>
          </w:tcPr>
          <w:p w14:paraId="6950A991">
            <w:pPr>
              <w:rPr>
                <w:sz w:val="13"/>
                <w:szCs w:val="13"/>
              </w:rPr>
            </w:pPr>
          </w:p>
        </w:tc>
        <w:tc>
          <w:tcPr>
            <w:tcW w:w="3379" w:type="dxa"/>
            <w:vMerge w:val="continue"/>
            <w:vAlign w:val="center"/>
          </w:tcPr>
          <w:p w14:paraId="690EA944">
            <w:pPr>
              <w:jc w:val="center"/>
              <w:rPr>
                <w:color w:val="000000"/>
                <w:sz w:val="13"/>
                <w:szCs w:val="13"/>
              </w:rPr>
            </w:pPr>
          </w:p>
        </w:tc>
        <w:tc>
          <w:tcPr>
            <w:tcW w:w="949" w:type="dxa"/>
            <w:gridSpan w:val="2"/>
            <w:vMerge w:val="continue"/>
            <w:vAlign w:val="center"/>
          </w:tcPr>
          <w:p w14:paraId="50670CAF">
            <w:pPr>
              <w:jc w:val="center"/>
              <w:rPr>
                <w:color w:val="000000"/>
                <w:sz w:val="13"/>
                <w:szCs w:val="13"/>
              </w:rPr>
            </w:pPr>
          </w:p>
        </w:tc>
        <w:tc>
          <w:tcPr>
            <w:tcW w:w="1151" w:type="dxa"/>
            <w:vMerge w:val="continue"/>
            <w:vAlign w:val="center"/>
          </w:tcPr>
          <w:p w14:paraId="4E76B2CA">
            <w:pPr>
              <w:jc w:val="center"/>
              <w:rPr>
                <w:color w:val="000000"/>
                <w:sz w:val="13"/>
                <w:szCs w:val="13"/>
              </w:rPr>
            </w:pPr>
          </w:p>
        </w:tc>
        <w:tc>
          <w:tcPr>
            <w:tcW w:w="1319" w:type="dxa"/>
            <w:vMerge w:val="continue"/>
            <w:vAlign w:val="center"/>
          </w:tcPr>
          <w:p w14:paraId="2926B5C1">
            <w:pPr>
              <w:spacing w:line="274" w:lineRule="exact"/>
              <w:jc w:val="center"/>
              <w:rPr>
                <w:color w:val="000000"/>
                <w:sz w:val="20"/>
                <w:szCs w:val="20"/>
              </w:rPr>
            </w:pPr>
          </w:p>
        </w:tc>
        <w:tc>
          <w:tcPr>
            <w:tcW w:w="1050" w:type="dxa"/>
            <w:vMerge w:val="continue"/>
            <w:vAlign w:val="center"/>
          </w:tcPr>
          <w:p w14:paraId="57A6AE07">
            <w:pPr>
              <w:jc w:val="center"/>
              <w:rPr>
                <w:color w:val="000000"/>
                <w:sz w:val="13"/>
                <w:szCs w:val="13"/>
              </w:rPr>
            </w:pPr>
          </w:p>
        </w:tc>
        <w:tc>
          <w:tcPr>
            <w:tcW w:w="1555" w:type="dxa"/>
            <w:vAlign w:val="bottom"/>
          </w:tcPr>
          <w:p w14:paraId="1517AB8E">
            <w:pPr>
              <w:rPr>
                <w:sz w:val="2"/>
                <w:szCs w:val="2"/>
              </w:rPr>
            </w:pPr>
          </w:p>
        </w:tc>
      </w:tr>
      <w:tr w14:paraId="6122D451">
        <w:tblPrEx>
          <w:tblCellMar>
            <w:top w:w="0" w:type="dxa"/>
            <w:left w:w="0" w:type="dxa"/>
            <w:bottom w:w="0" w:type="dxa"/>
            <w:right w:w="0" w:type="dxa"/>
          </w:tblCellMar>
        </w:tblPrEx>
        <w:trPr>
          <w:trHeight w:val="395" w:hRule="atLeast"/>
        </w:trPr>
        <w:tc>
          <w:tcPr>
            <w:tcW w:w="527" w:type="dxa"/>
            <w:vAlign w:val="bottom"/>
          </w:tcPr>
          <w:p w14:paraId="564FA045">
            <w:pPr>
              <w:spacing w:line="274" w:lineRule="exact"/>
              <w:jc w:val="center"/>
              <w:rPr>
                <w:sz w:val="20"/>
                <w:szCs w:val="20"/>
              </w:rPr>
            </w:pPr>
            <w:r>
              <w:rPr>
                <w:rFonts w:ascii="仿宋" w:hAnsi="仿宋" w:eastAsia="仿宋" w:cs="仿宋"/>
                <w:w w:val="99"/>
                <w:sz w:val="24"/>
                <w:szCs w:val="24"/>
              </w:rPr>
              <w:t>32</w:t>
            </w:r>
          </w:p>
        </w:tc>
        <w:tc>
          <w:tcPr>
            <w:tcW w:w="710" w:type="dxa"/>
            <w:vAlign w:val="bottom"/>
          </w:tcPr>
          <w:p w14:paraId="50393EE2">
            <w:pPr>
              <w:spacing w:line="274" w:lineRule="exact"/>
              <w:ind w:left="220"/>
              <w:rPr>
                <w:sz w:val="20"/>
                <w:szCs w:val="20"/>
              </w:rPr>
            </w:pPr>
            <w:r>
              <w:rPr>
                <w:rFonts w:hint="eastAsia" w:ascii="仿宋" w:hAnsi="仿宋" w:eastAsia="仿宋" w:cs="仿宋"/>
                <w:sz w:val="24"/>
                <w:szCs w:val="24"/>
              </w:rPr>
              <w:t>健康</w:t>
            </w:r>
          </w:p>
        </w:tc>
        <w:tc>
          <w:tcPr>
            <w:tcW w:w="3379" w:type="dxa"/>
            <w:vAlign w:val="bottom"/>
          </w:tcPr>
          <w:p w14:paraId="2ECCD0E5">
            <w:pPr>
              <w:spacing w:line="274" w:lineRule="exact"/>
              <w:ind w:left="140"/>
              <w:rPr>
                <w:color w:val="000000"/>
                <w:sz w:val="20"/>
                <w:szCs w:val="20"/>
              </w:rPr>
            </w:pPr>
            <w:r>
              <w:rPr>
                <w:rFonts w:hint="eastAsia" w:ascii="仿宋" w:hAnsi="仿宋" w:eastAsia="仿宋" w:cs="仿宋"/>
                <w:color w:val="000000"/>
                <w:sz w:val="24"/>
                <w:szCs w:val="24"/>
              </w:rPr>
              <w:t>健康服务业总规模</w:t>
            </w:r>
          </w:p>
        </w:tc>
        <w:tc>
          <w:tcPr>
            <w:tcW w:w="949" w:type="dxa"/>
            <w:gridSpan w:val="2"/>
            <w:vAlign w:val="bottom"/>
          </w:tcPr>
          <w:p w14:paraId="3FE0D7B3">
            <w:pPr>
              <w:spacing w:line="274" w:lineRule="exact"/>
              <w:jc w:val="center"/>
              <w:rPr>
                <w:color w:val="000000"/>
                <w:sz w:val="20"/>
                <w:szCs w:val="20"/>
              </w:rPr>
            </w:pPr>
            <w:r>
              <w:rPr>
                <w:rFonts w:hint="eastAsia" w:ascii="仿宋" w:hAnsi="仿宋" w:eastAsia="仿宋" w:cs="仿宋"/>
                <w:color w:val="000000"/>
                <w:w w:val="95"/>
                <w:sz w:val="24"/>
                <w:szCs w:val="24"/>
              </w:rPr>
              <w:t>亿元</w:t>
            </w:r>
          </w:p>
        </w:tc>
        <w:tc>
          <w:tcPr>
            <w:tcW w:w="1151" w:type="dxa"/>
            <w:vAlign w:val="bottom"/>
          </w:tcPr>
          <w:p w14:paraId="01021F88">
            <w:pPr>
              <w:spacing w:line="274" w:lineRule="exact"/>
              <w:jc w:val="center"/>
              <w:rPr>
                <w:color w:val="000000"/>
                <w:sz w:val="20"/>
                <w:szCs w:val="20"/>
              </w:rPr>
            </w:pPr>
            <w:r>
              <w:rPr>
                <w:rFonts w:ascii="仿宋" w:hAnsi="仿宋" w:eastAsia="仿宋" w:cs="仿宋"/>
                <w:b/>
                <w:bCs/>
                <w:color w:val="000000"/>
                <w:w w:val="99"/>
                <w:sz w:val="24"/>
                <w:szCs w:val="24"/>
              </w:rPr>
              <w:t>-</w:t>
            </w:r>
          </w:p>
        </w:tc>
        <w:tc>
          <w:tcPr>
            <w:tcW w:w="1319" w:type="dxa"/>
            <w:vAlign w:val="bottom"/>
          </w:tcPr>
          <w:p w14:paraId="2BE992A9">
            <w:pPr>
              <w:spacing w:line="274" w:lineRule="exact"/>
              <w:jc w:val="center"/>
              <w:rPr>
                <w:color w:val="000000"/>
                <w:sz w:val="20"/>
                <w:szCs w:val="20"/>
              </w:rPr>
            </w:pPr>
            <w:r>
              <w:rPr>
                <w:rFonts w:hint="eastAsia" w:ascii="仿宋" w:hAnsi="仿宋" w:eastAsia="仿宋" w:cs="仿宋"/>
                <w:color w:val="000000"/>
                <w:w w:val="99"/>
                <w:sz w:val="24"/>
                <w:szCs w:val="24"/>
              </w:rPr>
              <w:t>增长</w:t>
            </w:r>
          </w:p>
        </w:tc>
        <w:tc>
          <w:tcPr>
            <w:tcW w:w="1050" w:type="dxa"/>
            <w:vAlign w:val="bottom"/>
          </w:tcPr>
          <w:p w14:paraId="16BB327D">
            <w:pPr>
              <w:spacing w:line="274" w:lineRule="exact"/>
              <w:ind w:left="120"/>
              <w:rPr>
                <w:color w:val="000000"/>
                <w:sz w:val="20"/>
                <w:szCs w:val="20"/>
              </w:rPr>
            </w:pPr>
            <w:r>
              <w:rPr>
                <w:rFonts w:hint="eastAsia" w:ascii="仿宋" w:hAnsi="仿宋" w:eastAsia="仿宋" w:cs="仿宋"/>
                <w:color w:val="000000"/>
                <w:sz w:val="24"/>
                <w:szCs w:val="24"/>
              </w:rPr>
              <w:t>预期性</w:t>
            </w:r>
          </w:p>
        </w:tc>
        <w:tc>
          <w:tcPr>
            <w:tcW w:w="1555" w:type="dxa"/>
            <w:vAlign w:val="bottom"/>
          </w:tcPr>
          <w:p w14:paraId="6245AA45">
            <w:pPr>
              <w:rPr>
                <w:sz w:val="2"/>
                <w:szCs w:val="2"/>
              </w:rPr>
            </w:pPr>
          </w:p>
        </w:tc>
      </w:tr>
      <w:tr w14:paraId="209378CB">
        <w:tblPrEx>
          <w:tblCellMar>
            <w:top w:w="0" w:type="dxa"/>
            <w:left w:w="0" w:type="dxa"/>
            <w:bottom w:w="0" w:type="dxa"/>
            <w:right w:w="0" w:type="dxa"/>
          </w:tblCellMar>
        </w:tblPrEx>
        <w:trPr>
          <w:trHeight w:val="237" w:hRule="atLeast"/>
        </w:trPr>
        <w:tc>
          <w:tcPr>
            <w:tcW w:w="527" w:type="dxa"/>
            <w:tcBorders>
              <w:bottom w:val="single" w:color="auto" w:sz="8" w:space="0"/>
            </w:tcBorders>
            <w:vAlign w:val="bottom"/>
          </w:tcPr>
          <w:p w14:paraId="5A047906">
            <w:pPr>
              <w:rPr>
                <w:sz w:val="20"/>
                <w:szCs w:val="20"/>
              </w:rPr>
            </w:pPr>
          </w:p>
        </w:tc>
        <w:tc>
          <w:tcPr>
            <w:tcW w:w="710" w:type="dxa"/>
            <w:tcBorders>
              <w:bottom w:val="single" w:color="auto" w:sz="8" w:space="0"/>
            </w:tcBorders>
            <w:vAlign w:val="bottom"/>
          </w:tcPr>
          <w:p w14:paraId="5F975ED1">
            <w:pPr>
              <w:spacing w:line="227" w:lineRule="exact"/>
              <w:ind w:left="220"/>
              <w:rPr>
                <w:sz w:val="20"/>
                <w:szCs w:val="20"/>
              </w:rPr>
            </w:pPr>
            <w:r>
              <w:rPr>
                <w:rFonts w:hint="eastAsia" w:ascii="仿宋" w:hAnsi="仿宋" w:eastAsia="仿宋" w:cs="仿宋"/>
                <w:sz w:val="24"/>
                <w:szCs w:val="24"/>
              </w:rPr>
              <w:t>产业</w:t>
            </w:r>
          </w:p>
        </w:tc>
        <w:tc>
          <w:tcPr>
            <w:tcW w:w="3379" w:type="dxa"/>
            <w:tcBorders>
              <w:bottom w:val="single" w:color="auto" w:sz="8" w:space="0"/>
            </w:tcBorders>
            <w:vAlign w:val="bottom"/>
          </w:tcPr>
          <w:p w14:paraId="26467F8D">
            <w:pPr>
              <w:rPr>
                <w:color w:val="FF0000"/>
                <w:sz w:val="20"/>
                <w:szCs w:val="20"/>
              </w:rPr>
            </w:pPr>
          </w:p>
        </w:tc>
        <w:tc>
          <w:tcPr>
            <w:tcW w:w="949" w:type="dxa"/>
            <w:gridSpan w:val="2"/>
            <w:tcBorders>
              <w:bottom w:val="single" w:color="auto" w:sz="8" w:space="0"/>
            </w:tcBorders>
            <w:vAlign w:val="bottom"/>
          </w:tcPr>
          <w:p w14:paraId="5C885870">
            <w:pPr>
              <w:rPr>
                <w:color w:val="FF0000"/>
                <w:sz w:val="20"/>
                <w:szCs w:val="20"/>
              </w:rPr>
            </w:pPr>
          </w:p>
        </w:tc>
        <w:tc>
          <w:tcPr>
            <w:tcW w:w="1151" w:type="dxa"/>
            <w:tcBorders>
              <w:bottom w:val="single" w:color="auto" w:sz="8" w:space="0"/>
            </w:tcBorders>
            <w:vAlign w:val="bottom"/>
          </w:tcPr>
          <w:p w14:paraId="5FAF6FAC">
            <w:pPr>
              <w:rPr>
                <w:color w:val="FF0000"/>
                <w:sz w:val="20"/>
                <w:szCs w:val="20"/>
              </w:rPr>
            </w:pPr>
          </w:p>
        </w:tc>
        <w:tc>
          <w:tcPr>
            <w:tcW w:w="1319" w:type="dxa"/>
            <w:tcBorders>
              <w:bottom w:val="single" w:color="auto" w:sz="8" w:space="0"/>
            </w:tcBorders>
            <w:vAlign w:val="bottom"/>
          </w:tcPr>
          <w:p w14:paraId="794E47C1">
            <w:pPr>
              <w:rPr>
                <w:color w:val="FF0000"/>
                <w:sz w:val="20"/>
                <w:szCs w:val="20"/>
              </w:rPr>
            </w:pPr>
          </w:p>
        </w:tc>
        <w:tc>
          <w:tcPr>
            <w:tcW w:w="1050" w:type="dxa"/>
            <w:tcBorders>
              <w:bottom w:val="single" w:color="auto" w:sz="8" w:space="0"/>
            </w:tcBorders>
            <w:vAlign w:val="bottom"/>
          </w:tcPr>
          <w:p w14:paraId="563572F1">
            <w:pPr>
              <w:rPr>
                <w:color w:val="FF0000"/>
                <w:sz w:val="20"/>
                <w:szCs w:val="20"/>
              </w:rPr>
            </w:pPr>
          </w:p>
        </w:tc>
        <w:tc>
          <w:tcPr>
            <w:tcW w:w="1555" w:type="dxa"/>
            <w:vAlign w:val="bottom"/>
          </w:tcPr>
          <w:p w14:paraId="7D87B931">
            <w:pPr>
              <w:rPr>
                <w:sz w:val="2"/>
                <w:szCs w:val="2"/>
              </w:rPr>
            </w:pPr>
          </w:p>
        </w:tc>
      </w:tr>
    </w:tbl>
    <w:p w14:paraId="30B5785B">
      <w:pPr>
        <w:spacing w:line="560" w:lineRule="exact"/>
        <w:ind w:firstLine="640" w:firstLineChars="200"/>
        <w:rPr>
          <w:rFonts w:ascii="方正黑体_GBK" w:eastAsia="方正黑体_GBK"/>
          <w:sz w:val="20"/>
          <w:szCs w:val="20"/>
        </w:rPr>
      </w:pPr>
      <w:bookmarkStart w:id="5" w:name="page13"/>
      <w:bookmarkEnd w:id="5"/>
      <w:r>
        <w:rPr>
          <w:rFonts w:hint="eastAsia" w:ascii="方正黑体_GBK" w:eastAsia="方正黑体_GBK" w:cs="方正黑体_GBK"/>
          <w:sz w:val="32"/>
          <w:szCs w:val="32"/>
        </w:rPr>
        <w:t>三、主要任务</w:t>
      </w:r>
    </w:p>
    <w:p w14:paraId="270ECC6B">
      <w:pPr>
        <w:spacing w:line="560" w:lineRule="exact"/>
        <w:ind w:firstLine="630" w:firstLineChars="196"/>
        <w:rPr>
          <w:rFonts w:ascii="方正楷体_GBK" w:eastAsia="方正楷体_GBK"/>
          <w:sz w:val="20"/>
          <w:szCs w:val="20"/>
        </w:rPr>
      </w:pPr>
      <w:r>
        <w:rPr>
          <w:rFonts w:hint="eastAsia" w:ascii="方正楷体_GBK" w:eastAsia="方正楷体_GBK" w:cs="方正楷体_GBK"/>
          <w:b/>
          <w:bCs/>
          <w:sz w:val="32"/>
          <w:szCs w:val="32"/>
        </w:rPr>
        <w:t>（一）织牢公共卫生防护网</w:t>
      </w:r>
    </w:p>
    <w:p w14:paraId="171AB5DF">
      <w:pPr>
        <w:spacing w:line="560" w:lineRule="exact"/>
        <w:ind w:firstLine="634"/>
        <w:rPr>
          <w:rFonts w:eastAsia="方正仿宋_GBK"/>
          <w:sz w:val="32"/>
          <w:szCs w:val="32"/>
        </w:rPr>
      </w:pPr>
      <w:r>
        <w:rPr>
          <w:rFonts w:hint="eastAsia" w:eastAsia="方正仿宋_GBK" w:cs="方正仿宋_GBK"/>
          <w:b/>
          <w:bCs/>
          <w:sz w:val="32"/>
          <w:szCs w:val="32"/>
        </w:rPr>
        <w:t>改革疾病预防控制体系。</w:t>
      </w:r>
      <w:r>
        <w:rPr>
          <w:rFonts w:hint="eastAsia" w:eastAsia="方正仿宋_GBK" w:cs="方正仿宋_GBK"/>
          <w:sz w:val="32"/>
          <w:szCs w:val="32"/>
        </w:rPr>
        <w:t>完善体系构成，健全以疾病预防控制机构为骨干，医疗机构为依托，基层医疗卫生机构为网底，建立防治结合、全社会协同机制的疾病预防控制体系。加强疾病预防控制体系基础设施建设，全面提高监测预警、风险评估、流行病学调查、检验检测和应急处置能力。合理规划和推进疾控中心生物安全实验室建设，可配备移动检测车，提升基层传染病检测能力。理顺疾病预防控制体制机制，明确功能定位，健全疾病预防控制机构和与城乡社区联动工作机制。完善疾控部门与城乡社区联动机制，构建常态化管理和应急管理动态衔接的基层治理机制，建设网格化管理、精细化服务、信息化支撑、开放共享的基层治理平台，夯实联防、群防群控的基层基础。建立稳定的公共卫生事业投入机制，持续加大重大疫病防治经费投入。强化疾控中心疫情防控职责。</w:t>
      </w:r>
    </w:p>
    <w:p w14:paraId="5A0FFC40">
      <w:pPr>
        <w:spacing w:line="560" w:lineRule="exact"/>
        <w:ind w:firstLine="634"/>
        <w:rPr>
          <w:rFonts w:eastAsia="方正仿宋_GBK"/>
          <w:sz w:val="32"/>
          <w:szCs w:val="32"/>
        </w:rPr>
      </w:pPr>
      <w:r>
        <w:rPr>
          <w:rFonts w:hint="eastAsia" w:eastAsia="方正仿宋_GBK" w:cs="方正仿宋_GBK"/>
          <w:b/>
          <w:bCs/>
          <w:sz w:val="32"/>
          <w:szCs w:val="32"/>
        </w:rPr>
        <w:t>加强疾控机构和队伍建设。</w:t>
      </w:r>
      <w:r>
        <w:rPr>
          <w:rFonts w:hint="eastAsia" w:eastAsia="方正仿宋_GBK" w:cs="方正仿宋_GBK"/>
          <w:sz w:val="32"/>
          <w:szCs w:val="32"/>
        </w:rPr>
        <w:t>加强疾病预防控制机构基础设施建设，提升装备配置水平、公共卫生服务能力。加强实验室检测能力和检测网络建设。加强疾病预防控制人才队伍建设，合理核定疾病预防控制机构人员编制并足额配备。建立适应现代化疾病预防控制体系的人才培养使</w:t>
      </w:r>
      <w:bookmarkStart w:id="6" w:name="page14"/>
      <w:bookmarkEnd w:id="6"/>
      <w:r>
        <w:rPr>
          <w:rFonts w:hint="eastAsia" w:eastAsia="方正仿宋_GBK" w:cs="方正仿宋_GBK"/>
          <w:sz w:val="32"/>
          <w:szCs w:val="32"/>
        </w:rPr>
        <w:t>用机制，稳定基层疾病预防控制队伍。着力培养能解决病原学鉴定、疫情形势研判和传播规律研究、现场流行病学调查、实验室检测等实际问题的人才。加强疾控骨干人才队伍建设，强化岗位培训，提升现场流行病学调查等核心能力。完善公卫医师准入、使用、考核评价和激励机制，到</w:t>
      </w:r>
      <w:r>
        <w:rPr>
          <w:rFonts w:eastAsia="方正仿宋_GBK"/>
          <w:sz w:val="32"/>
          <w:szCs w:val="32"/>
        </w:rPr>
        <w:t>2025</w:t>
      </w:r>
      <w:r>
        <w:rPr>
          <w:rFonts w:hint="eastAsia" w:eastAsia="方正仿宋_GBK" w:cs="方正仿宋_GBK"/>
          <w:sz w:val="32"/>
          <w:szCs w:val="32"/>
        </w:rPr>
        <w:t>年，所有新入职的公共卫生医师上岗前须经过规范化培训。</w:t>
      </w:r>
    </w:p>
    <w:p w14:paraId="60EB653E">
      <w:pPr>
        <w:spacing w:line="560" w:lineRule="exact"/>
        <w:ind w:firstLine="634"/>
        <w:rPr>
          <w:rFonts w:eastAsia="方正仿宋_GBK"/>
          <w:sz w:val="32"/>
          <w:szCs w:val="32"/>
        </w:rPr>
      </w:pPr>
      <w:r>
        <w:rPr>
          <w:rFonts w:hint="eastAsia" w:eastAsia="方正仿宋_GBK" w:cs="方正仿宋_GBK"/>
          <w:b/>
          <w:bCs/>
          <w:sz w:val="32"/>
          <w:szCs w:val="32"/>
        </w:rPr>
        <w:t>强化基层和医院公共卫生责任。</w:t>
      </w:r>
      <w:r>
        <w:rPr>
          <w:rFonts w:hint="eastAsia" w:eastAsia="方正仿宋_GBK" w:cs="方正仿宋_GBK"/>
          <w:sz w:val="32"/>
          <w:szCs w:val="32"/>
        </w:rPr>
        <w:t>明晰乡镇（街道）公共卫生管理权责，村（居）委会健全公共卫生委员会。乡镇卫生院、社区卫生服务中心（站）落实基层疾控、公共卫生管理服务职责，至少配备</w:t>
      </w:r>
      <w:r>
        <w:rPr>
          <w:rFonts w:eastAsia="方正仿宋_GBK"/>
          <w:sz w:val="32"/>
          <w:szCs w:val="32"/>
        </w:rPr>
        <w:t>1</w:t>
      </w:r>
      <w:r>
        <w:rPr>
          <w:rFonts w:hint="eastAsia" w:eastAsia="方正仿宋_GBK" w:cs="方正仿宋_GBK"/>
          <w:sz w:val="32"/>
          <w:szCs w:val="32"/>
        </w:rPr>
        <w:t>名公共卫生医师，公共卫生人员不得低于专业技术人员数的</w:t>
      </w:r>
      <w:r>
        <w:rPr>
          <w:rFonts w:eastAsia="方正仿宋_GBK"/>
          <w:sz w:val="32"/>
          <w:szCs w:val="32"/>
        </w:rPr>
        <w:t xml:space="preserve"> </w:t>
      </w:r>
      <w:r>
        <w:rPr>
          <w:rFonts w:eastAsia="方正仿宋_GBK"/>
          <w:color w:val="000000"/>
          <w:sz w:val="32"/>
          <w:szCs w:val="32"/>
        </w:rPr>
        <w:t>25%</w:t>
      </w:r>
      <w:r>
        <w:rPr>
          <w:rFonts w:hint="eastAsia" w:eastAsia="方正仿宋_GBK" w:cs="方正仿宋_GBK"/>
          <w:color w:val="000000"/>
          <w:sz w:val="32"/>
          <w:szCs w:val="32"/>
        </w:rPr>
        <w:t>。</w:t>
      </w:r>
      <w:r>
        <w:rPr>
          <w:rFonts w:hint="eastAsia" w:eastAsia="方正仿宋_GBK" w:cs="方正仿宋_GBK"/>
          <w:sz w:val="32"/>
          <w:szCs w:val="32"/>
        </w:rPr>
        <w:t>完善疾病预防控制行政管理部门与城乡社区联动机制，构建常态化管理和应急管理动态衔接的基层治理机制，建设网格化管理、精细化服务、信息化支撑、开放共享的基层治理平台，夯实联防联控、群防群控的基层基础。将监管场所医疗卫生工作纳入公共卫生体系，加强监管场所医疗卫生专业化建设。落实各级医疗机构公共卫生职责，公立医疗机构设立公共卫生科等直接从事疾病预防控制工作的科室并配备具备相应资质的人员，建立医疗机构（医疗卫生共同体）公共卫生责任清单制度和医疗机构公共卫生服务经费保障机制。加强疾控机构对医疗机构疾控工作的技术指导和监督考核。充分发挥医疗机构、药店等疫情防控</w:t>
      </w:r>
      <w:r>
        <w:rPr>
          <w:rFonts w:eastAsia="方正仿宋_GBK"/>
          <w:sz w:val="32"/>
          <w:szCs w:val="32"/>
        </w:rPr>
        <w:t>“</w:t>
      </w:r>
      <w:r>
        <w:rPr>
          <w:rFonts w:hint="eastAsia" w:eastAsia="方正仿宋_GBK" w:cs="方正仿宋_GBK"/>
          <w:sz w:val="32"/>
          <w:szCs w:val="32"/>
        </w:rPr>
        <w:t>哨点</w:t>
      </w:r>
      <w:r>
        <w:rPr>
          <w:rFonts w:eastAsia="方正仿宋_GBK"/>
          <w:sz w:val="32"/>
          <w:szCs w:val="32"/>
        </w:rPr>
        <w:t>”</w:t>
      </w:r>
      <w:r>
        <w:rPr>
          <w:rFonts w:hint="eastAsia" w:eastAsia="方正仿宋_GBK" w:cs="方正仿宋_GBK"/>
          <w:sz w:val="32"/>
          <w:szCs w:val="32"/>
        </w:rPr>
        <w:t>作用，全面提升公立医院预检分诊、发热门诊、实验室检测能力，完善发热门诊功能，全部发热门诊</w:t>
      </w:r>
      <w:bookmarkStart w:id="7" w:name="page15"/>
      <w:bookmarkEnd w:id="7"/>
      <w:r>
        <w:rPr>
          <w:rFonts w:hint="eastAsia" w:eastAsia="方正仿宋_GBK" w:cs="方正仿宋_GBK"/>
          <w:sz w:val="32"/>
          <w:szCs w:val="32"/>
        </w:rPr>
        <w:t>要独立开展检验和影像检查。</w:t>
      </w:r>
    </w:p>
    <w:p w14:paraId="68232BFE">
      <w:pPr>
        <w:spacing w:line="560" w:lineRule="exact"/>
        <w:ind w:firstLine="634"/>
        <w:rPr>
          <w:rFonts w:eastAsia="方正仿宋_GBK"/>
          <w:sz w:val="32"/>
          <w:szCs w:val="32"/>
        </w:rPr>
      </w:pPr>
      <w:r>
        <w:rPr>
          <w:rFonts w:hint="eastAsia" w:eastAsia="方正仿宋_GBK" w:cs="方正仿宋_GBK"/>
          <w:b/>
          <w:bCs/>
          <w:sz w:val="32"/>
          <w:szCs w:val="32"/>
        </w:rPr>
        <w:t>创新医防协同机制。</w:t>
      </w:r>
      <w:r>
        <w:rPr>
          <w:rFonts w:hint="eastAsia" w:eastAsia="方正仿宋_GBK" w:cs="方正仿宋_GBK"/>
          <w:sz w:val="32"/>
          <w:szCs w:val="32"/>
        </w:rPr>
        <w:t>完善专业公共卫生机构、综合性医院和专科医院、基层医疗卫生机构</w:t>
      </w:r>
      <w:r>
        <w:rPr>
          <w:rFonts w:eastAsia="方正仿宋_GBK"/>
          <w:sz w:val="32"/>
          <w:szCs w:val="32"/>
        </w:rPr>
        <w:t>“</w:t>
      </w:r>
      <w:r>
        <w:rPr>
          <w:rFonts w:hint="eastAsia" w:eastAsia="方正仿宋_GBK" w:cs="方正仿宋_GBK"/>
          <w:sz w:val="32"/>
          <w:szCs w:val="32"/>
        </w:rPr>
        <w:t>三位一体</w:t>
      </w:r>
      <w:r>
        <w:rPr>
          <w:rFonts w:eastAsia="方正仿宋_GBK"/>
          <w:sz w:val="32"/>
          <w:szCs w:val="32"/>
        </w:rPr>
        <w:t>”</w:t>
      </w:r>
      <w:r>
        <w:rPr>
          <w:rFonts w:hint="eastAsia" w:eastAsia="方正仿宋_GBK" w:cs="方正仿宋_GBK"/>
          <w:sz w:val="32"/>
          <w:szCs w:val="32"/>
        </w:rPr>
        <w:t>的重大疾病防控机制。全面推进医疗机构和专业公共卫生机构深度合作，建立共同承担公共卫生责任、保障人民群众健康的协同协作机制，建立疾病预防控制机构和医疗机构人员通、信息通、资源通、监督监管相互制约的机制，推进疾病三级预防和连续管理。加强疾病预防控制工作监督管理，落实疾病预防控制机构、医疗机构传染病疫情和突发公共卫生事件报告责任。推动疾控机构与县域医共体协同建设发展。鼓励防治结合类专业公共卫生机构通过提供预防保健和基本医疗服务获得合理收入，提高医疗机构绩效考核评价中疾病预防控制工作的权重，完善与居民健康结果相挂钩的公共卫生和社区卫生服务激励机制。</w:t>
      </w:r>
    </w:p>
    <w:p w14:paraId="2CC16C1E">
      <w:pPr>
        <w:spacing w:line="560" w:lineRule="exact"/>
        <w:ind w:firstLine="634"/>
        <w:rPr>
          <w:rFonts w:eastAsia="方正仿宋_GBK"/>
          <w:sz w:val="32"/>
          <w:szCs w:val="32"/>
        </w:rPr>
      </w:pPr>
      <w:r>
        <w:rPr>
          <w:rFonts w:hint="eastAsia" w:eastAsia="方正仿宋_GBK" w:cs="方正仿宋_GBK"/>
          <w:b/>
          <w:bCs/>
          <w:sz w:val="32"/>
          <w:szCs w:val="32"/>
        </w:rPr>
        <w:t>完善公共卫生服务项目。</w:t>
      </w:r>
      <w:r>
        <w:rPr>
          <w:rFonts w:hint="eastAsia" w:eastAsia="方正仿宋_GBK" w:cs="方正仿宋_GBK"/>
          <w:sz w:val="32"/>
          <w:szCs w:val="32"/>
        </w:rPr>
        <w:t>实施国家基本公共卫生服务项目和重大公共卫生服务项目，持续巩固和扩大服务面、优化服务内涵、提高防治结合和健康管理服务水平。继续抓实国家免疫规划，强化慢性病预防、早期筛查和综合干预。加强城乡社区慢病医防融合，推进基本公共卫生服务均等化、项目制度化。结合实际把受群众欢迎、与基层能力相适应、服务获得感强的项目纳入公共卫生服务项目。</w:t>
      </w:r>
    </w:p>
    <w:p w14:paraId="1AA8DCE1">
      <w:pPr>
        <w:spacing w:line="560" w:lineRule="exact"/>
        <w:ind w:firstLine="634"/>
        <w:rPr>
          <w:rFonts w:eastAsia="方正仿宋_GBK"/>
          <w:sz w:val="32"/>
          <w:szCs w:val="32"/>
        </w:rPr>
      </w:pPr>
      <w:r>
        <w:rPr>
          <w:rFonts w:hint="eastAsia" w:eastAsia="方正仿宋_GBK" w:cs="方正仿宋_GBK"/>
          <w:b/>
          <w:bCs/>
          <w:sz w:val="32"/>
          <w:szCs w:val="32"/>
        </w:rPr>
        <w:t>完善突发公共卫生事件监测预警处置机制。</w:t>
      </w:r>
      <w:r>
        <w:rPr>
          <w:rFonts w:hint="eastAsia" w:eastAsia="方正仿宋_GBK" w:cs="方正仿宋_GBK"/>
          <w:sz w:val="32"/>
          <w:szCs w:val="32"/>
        </w:rPr>
        <w:t>构建和完善多点触发、反应快速、权威高效的监测预警体系，完善传染病疫情和</w:t>
      </w:r>
      <w:bookmarkStart w:id="8" w:name="page16"/>
      <w:bookmarkEnd w:id="8"/>
      <w:r>
        <w:rPr>
          <w:rFonts w:hint="eastAsia" w:eastAsia="方正仿宋_GBK" w:cs="方正仿宋_GBK"/>
          <w:sz w:val="32"/>
          <w:szCs w:val="32"/>
        </w:rPr>
        <w:t>突发公共卫生事件监测和网络直报系统，改进不明原因疾病和异常健康事件监测机制。建立公共卫生机构和医疗机构协同监测机制，打通信息系统，发挥基层哨点作用，早发现、早报告、早处置，增强传染病报告信息时效性和敏感性，建立智慧化预警多点触发机制，健全多渠道监测预警机制，强化医疗卫生机构和医务人员依法依规报告责任，开通社会公众主动报告疑似传染病和异常健康事件的渠道，依托公共卫生、动物疫病、食品安全、生态环境等系统，共享检测报告并实时报送异常健康事件，提高潜在隐患的早期识别、快速报告、实时分析和综合研判的能力。健全信息报告和风险评估制度，明确传染病和突发公共卫生事件信息报告责任，依法依规落实医疗卫生机构疫情信息报告责任。健全突发公共卫生事件应对预案体系和应急处置机制。建立集中统一高效的传染病疫情和突发公共卫生事件应急指挥体系，升级完善传染病疫情和突发公共卫生事件应急指挥系统，建设跨部门紧急事务数据共享调度平台。完善应急预案体系和定期演练机制。分级分类组建卫生应急队伍，强化监测预警、形势研判和风险评估、流行病学调查、检验检测、应急处置、社区指导、物资调配等领域和职能，动态修订专项预案和部门预案，提升预案针对性、操作性和约束性。建立全社会定期演练机制，加强有针对性的传染病疫情和突发事件应急培训和实战演练。提升医务人员早期识别和应急处置水平，完善首诊负责、联合会诊等制度和应急处置流程，加强排放物中粪大肠菌群、肠道病毒等指标监测，</w:t>
      </w:r>
      <w:bookmarkStart w:id="9" w:name="page17"/>
      <w:bookmarkEnd w:id="9"/>
      <w:r>
        <w:rPr>
          <w:rFonts w:hint="eastAsia" w:eastAsia="方正仿宋_GBK" w:cs="方正仿宋_GBK"/>
          <w:sz w:val="32"/>
          <w:szCs w:val="32"/>
        </w:rPr>
        <w:t>提高各级各类医疗卫生机构规范化处置能力。</w:t>
      </w:r>
    </w:p>
    <w:p w14:paraId="51D81C76">
      <w:pPr>
        <w:spacing w:line="560" w:lineRule="exact"/>
        <w:ind w:firstLine="634"/>
        <w:rPr>
          <w:rFonts w:eastAsia="方正仿宋_GBK"/>
          <w:sz w:val="32"/>
          <w:szCs w:val="32"/>
        </w:rPr>
      </w:pPr>
      <w:r>
        <w:rPr>
          <w:rFonts w:hint="eastAsia" w:eastAsia="方正仿宋_GBK" w:cs="方正仿宋_GBK"/>
          <w:b/>
          <w:bCs/>
          <w:sz w:val="32"/>
          <w:szCs w:val="32"/>
        </w:rPr>
        <w:t>健全重大疫情救治体系。</w:t>
      </w:r>
      <w:r>
        <w:rPr>
          <w:rFonts w:hint="eastAsia" w:eastAsia="方正仿宋_GBK" w:cs="方正仿宋_GBK"/>
          <w:sz w:val="32"/>
          <w:szCs w:val="32"/>
        </w:rPr>
        <w:t>完善院前医疗急救体系，完善二级以上综合医院（含中医医院）急诊科设置。推动院前医疗急救与医院信息系统连接贯通。加快县级医院（含中医医院）传染病病区、标准化感染性疾病科建设，提升县级医院传染病防控救治能力。二级医院要在医院独立区域规范设置发热门诊和留观室，有条件的乡镇卫生院和社区卫生服务中心可在医疗机构独立区域设置发热门诊（或诊室）和留观室，提升基层疫情防控和应急救治基本功能。强化突发事件紧急医学救援体系，加强卫生应急队伍建设。推动中医药融入疾病预防控制和应急救治体系，发挥中医疫病防治和紧急医学救援支撑功能。</w:t>
      </w:r>
    </w:p>
    <w:p w14:paraId="781FA0C5">
      <w:pPr>
        <w:spacing w:line="540" w:lineRule="exact"/>
        <w:ind w:firstLine="635"/>
        <w:rPr>
          <w:rFonts w:eastAsia="方正仿宋_GBK"/>
          <w:sz w:val="32"/>
          <w:szCs w:val="32"/>
        </w:rPr>
      </w:pPr>
      <w:r>
        <w:rPr>
          <w:rFonts w:hint="eastAsia" w:eastAsia="方正仿宋_GBK" w:cs="方正仿宋_GBK"/>
          <w:b/>
          <w:bCs/>
          <w:sz w:val="32"/>
          <w:szCs w:val="32"/>
        </w:rPr>
        <w:t>健全科技支撑体系。</w:t>
      </w:r>
      <w:r>
        <w:rPr>
          <w:rFonts w:hint="eastAsia" w:eastAsia="方正仿宋_GBK" w:cs="方正仿宋_GBK"/>
          <w:sz w:val="32"/>
          <w:szCs w:val="32"/>
        </w:rPr>
        <w:t>按照公共卫生信息化建设标准与规范，加强疾病预防控制信息化建设，推动各级疾病预防控制机构和预防接种单位信息系统升级，优化预防接种服务，依托各类健康信息平台和系统，建设涵盖传染病监测、慢性病及其危险因素监测、职业病及其危害因素、免疫规划、精神卫生、健康危害因素监测、疾控综合管理服务等业务应用系统的综合监测平台，实现各级各</w:t>
      </w:r>
      <w:bookmarkStart w:id="10" w:name="page18"/>
      <w:bookmarkEnd w:id="10"/>
      <w:r>
        <w:rPr>
          <w:rFonts w:hint="eastAsia" w:eastAsia="方正仿宋_GBK" w:cs="方正仿宋_GBK"/>
          <w:sz w:val="32"/>
          <w:szCs w:val="32"/>
        </w:rPr>
        <w:t>类医疗机构与疾病预防控制信息系统互通共享。建立多部门业务协同和信息共享机制，推进健康大数据在公共卫生领域的应用。开展疫情防控科研能力培训，提升应对突发公共卫生事件时的科技支撑意识和专门技术。</w:t>
      </w:r>
    </w:p>
    <w:p w14:paraId="6CFBFC65">
      <w:pPr>
        <w:spacing w:line="540" w:lineRule="exact"/>
        <w:ind w:firstLine="635"/>
        <w:rPr>
          <w:rFonts w:eastAsia="方正仿宋_GBK"/>
          <w:sz w:val="32"/>
          <w:szCs w:val="32"/>
        </w:rPr>
      </w:pPr>
      <w:r>
        <w:rPr>
          <w:rFonts w:hint="eastAsia" w:eastAsia="方正仿宋_GBK" w:cs="方正仿宋_GBK"/>
          <w:b/>
          <w:bCs/>
          <w:sz w:val="32"/>
          <w:szCs w:val="32"/>
        </w:rPr>
        <w:t>健全物资保障体系。</w:t>
      </w:r>
      <w:r>
        <w:rPr>
          <w:rFonts w:hint="eastAsia" w:eastAsia="方正仿宋_GBK" w:cs="方正仿宋_GBK"/>
          <w:sz w:val="32"/>
          <w:szCs w:val="32"/>
        </w:rPr>
        <w:t>以提升医疗卫生救治能力、应对突发公共卫生事件能力为重点，优化医疗救治、应对突发公共卫生事件集中隔离医学观察场所、物资储备基地、检验检测和应急救援队伍建设布局。完善储备制度，科学制定储备目录，合理确定储备种类、规模和储备点。定期开展储备评估，形成动态储备、更换和调用机制。完善疫情防控、医疗救治、物资储备、产能动员、调运保障流程，加强医疗和公共卫生物资储备机制建设。加强医疗卫生应急、生物安全管理，建立各类医疗防护物资、急救物资、血液、药品、医疗器械、负压救护车辆和大型医疗设备等物资储备配备计划、清单、使用管理等保障制度，构建平急结合、运转高效、科学规范的医疗卫生物资保障体系。</w:t>
      </w:r>
    </w:p>
    <w:p w14:paraId="4A1BB195">
      <w:pPr>
        <w:spacing w:line="540" w:lineRule="exact"/>
        <w:ind w:firstLine="635"/>
        <w:rPr>
          <w:rFonts w:eastAsia="方正仿宋_GBK"/>
          <w:b/>
          <w:bCs/>
          <w:sz w:val="32"/>
          <w:szCs w:val="32"/>
        </w:rPr>
      </w:pPr>
      <w:r>
        <w:pict>
          <v:shape id="_x0000_s1027" o:spid="_x0000_s1027" o:spt="202" type="#_x0000_t202" style="position:absolute;left:0pt;margin-left:0pt;margin-top:408.4pt;height:148.2pt;width:442.05pt;mso-position-vertical-relative:page;mso-wrap-distance-bottom:0pt;mso-wrap-distance-top:0pt;z-index:251668480;mso-width-relative:page;mso-height-relative:page;" coordsize="21600,21600">
            <v:path/>
            <v:fill focussize="0,0"/>
            <v:stroke weight="0.5pt" joinstyle="round"/>
            <v:imagedata o:title=""/>
            <o:lock v:ext="edit"/>
            <v:textbox inset="5mm,3mm,5mm,3mm">
              <w:txbxContent>
                <w:p w14:paraId="20AEDCCA">
                  <w:pPr>
                    <w:tabs>
                      <w:tab w:val="left" w:pos="220"/>
                    </w:tabs>
                    <w:spacing w:line="292" w:lineRule="exact"/>
                    <w:ind w:right="-13"/>
                    <w:jc w:val="center"/>
                    <w:rPr>
                      <w:rFonts w:ascii="仿宋_GB2312" w:hAnsi="仿宋_GB2312" w:eastAsia="仿宋_GB2312"/>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 xml:space="preserve"> 1</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公共卫生重大项目</w:t>
                  </w:r>
                </w:p>
                <w:p w14:paraId="26F43713">
                  <w:pPr>
                    <w:pStyle w:val="8"/>
                    <w:spacing w:line="320" w:lineRule="exact"/>
                    <w:ind w:firstLine="31680"/>
                    <w:jc w:val="both"/>
                    <w:rPr>
                      <w:rFonts w:cs="Times New Roman"/>
                    </w:rPr>
                  </w:pPr>
                </w:p>
                <w:p w14:paraId="45C73E2E">
                  <w:pPr>
                    <w:spacing w:line="320" w:lineRule="exact"/>
                    <w:ind w:firstLine="482"/>
                    <w:rPr>
                      <w:rFonts w:ascii="仿宋_GB2312" w:hAnsi="仿宋_GB2312" w:eastAsia="仿宋_GB2312"/>
                      <w:b/>
                      <w:bCs/>
                      <w:sz w:val="24"/>
                      <w:szCs w:val="24"/>
                    </w:rPr>
                  </w:pPr>
                  <w:r>
                    <w:rPr>
                      <w:rFonts w:hint="eastAsia" w:ascii="仿宋_GB2312" w:hAnsi="仿宋_GB2312" w:eastAsia="仿宋_GB2312" w:cs="仿宋_GB2312"/>
                      <w:b/>
                      <w:bCs/>
                      <w:sz w:val="24"/>
                      <w:szCs w:val="24"/>
                    </w:rPr>
                    <w:t>县疾控中心能力建设项目：</w:t>
                  </w:r>
                  <w:r>
                    <w:rPr>
                      <w:rFonts w:hint="eastAsia" w:ascii="仿宋_GB2312" w:hAnsi="仿宋_GB2312" w:eastAsia="仿宋_GB2312" w:cs="仿宋_GB2312"/>
                      <w:sz w:val="24"/>
                      <w:szCs w:val="24"/>
                    </w:rPr>
                    <w:t>加强实验室检测能力和监测网络建设，加强疾控信息化建设，加强防控能力储备，提高新发突发传染病早期发现和快速处置能力。</w:t>
                  </w:r>
                </w:p>
                <w:p w14:paraId="5C1CA7C0">
                  <w:pPr>
                    <w:spacing w:line="320" w:lineRule="exact"/>
                    <w:ind w:firstLine="482"/>
                    <w:rPr>
                      <w:rFonts w:ascii="仿宋_GB2312" w:eastAsia="仿宋_GB2312"/>
                    </w:rPr>
                  </w:pPr>
                  <w:r>
                    <w:rPr>
                      <w:rFonts w:hint="eastAsia" w:ascii="仿宋_GB2312" w:eastAsia="仿宋_GB2312" w:cs="仿宋_GB2312"/>
                      <w:b/>
                      <w:bCs/>
                    </w:rPr>
                    <w:t>县级医院传染防控能力提升建设项目：</w:t>
                  </w:r>
                  <w:r>
                    <w:rPr>
                      <w:rFonts w:hint="eastAsia" w:ascii="仿宋_GB2312" w:eastAsia="仿宋_GB2312" w:cs="仿宋_GB2312"/>
                      <w:color w:val="000000"/>
                    </w:rPr>
                    <w:t>建成</w:t>
                  </w:r>
                  <w:r>
                    <w:rPr>
                      <w:rFonts w:hint="eastAsia" w:ascii="仿宋_GB2312" w:eastAsia="仿宋_GB2312" w:cs="仿宋_GB2312"/>
                    </w:rPr>
                    <w:t>县人民医院传染病防控大楼，完成标准化感染性疾病科建设并投入使用，建立相对独立的传染病区和重症监护病区，提高传染病救治能力。</w:t>
                  </w:r>
                </w:p>
              </w:txbxContent>
            </v:textbox>
            <w10:wrap type="topAndBottom"/>
          </v:shape>
        </w:pict>
      </w:r>
      <w:r>
        <w:rPr>
          <w:rFonts w:hint="eastAsia" w:eastAsia="方正仿宋_GBK" w:cs="方正仿宋_GBK"/>
          <w:b/>
          <w:bCs/>
          <w:sz w:val="32"/>
          <w:szCs w:val="32"/>
        </w:rPr>
        <w:t>健全卫生健康监督执法体系。</w:t>
      </w:r>
      <w:r>
        <w:rPr>
          <w:rFonts w:hint="eastAsia" w:eastAsia="方正仿宋_GBK" w:cs="方正仿宋_GBK"/>
          <w:sz w:val="32"/>
          <w:szCs w:val="32"/>
        </w:rPr>
        <w:t>健全卫生健康监督执法体系，合理配置人员，加强执法车辆、现场快速检测设备和防护装备、执法取证工具等配备，提高卫生健康监督执法能力。加强卫生健康监督执法信息化建设，创新</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监管</w:t>
      </w:r>
      <w:r>
        <w:rPr>
          <w:rFonts w:eastAsia="方正仿宋_GBK"/>
          <w:sz w:val="32"/>
          <w:szCs w:val="32"/>
        </w:rPr>
        <w:t>”</w:t>
      </w:r>
      <w:r>
        <w:rPr>
          <w:rFonts w:hint="eastAsia" w:eastAsia="方正仿宋_GBK" w:cs="方正仿宋_GBK"/>
          <w:sz w:val="32"/>
          <w:szCs w:val="32"/>
        </w:rPr>
        <w:t>手段，加强传染病防控等重点领域监督执法，强化对医疗机构传染病防控工作的巡查监督，大力开展专项整治，深入实施</w:t>
      </w:r>
      <w:r>
        <w:rPr>
          <w:rFonts w:eastAsia="方正仿宋_GBK"/>
          <w:sz w:val="32"/>
          <w:szCs w:val="32"/>
        </w:rPr>
        <w:t>“</w:t>
      </w:r>
      <w:r>
        <w:rPr>
          <w:rFonts w:hint="eastAsia" w:eastAsia="方正仿宋_GBK" w:cs="方正仿宋_GBK"/>
          <w:sz w:val="32"/>
          <w:szCs w:val="32"/>
        </w:rPr>
        <w:t>双随机</w:t>
      </w:r>
      <w:r>
        <w:rPr>
          <w:rFonts w:hint="eastAsia" w:eastAsia="方正仿宋_GBK" w:cs="方正仿宋_GBK"/>
          <w:sz w:val="32"/>
          <w:szCs w:val="32"/>
          <w:lang w:eastAsia="zh-CN"/>
        </w:rPr>
        <w:t>、</w:t>
      </w:r>
      <w:bookmarkStart w:id="39" w:name="_GoBack"/>
      <w:bookmarkEnd w:id="39"/>
      <w:r>
        <w:rPr>
          <w:rFonts w:hint="eastAsia" w:eastAsia="方正仿宋_GBK" w:cs="方正仿宋_GBK"/>
          <w:sz w:val="32"/>
          <w:szCs w:val="32"/>
        </w:rPr>
        <w:t>一公开</w:t>
      </w:r>
      <w:r>
        <w:rPr>
          <w:rFonts w:eastAsia="方正仿宋_GBK"/>
          <w:sz w:val="32"/>
          <w:szCs w:val="32"/>
        </w:rPr>
        <w:t>”</w:t>
      </w:r>
      <w:r>
        <w:rPr>
          <w:rFonts w:hint="eastAsia" w:eastAsia="方正仿宋_GBK" w:cs="方正仿宋_GBK"/>
          <w:sz w:val="32"/>
          <w:szCs w:val="32"/>
        </w:rPr>
        <w:t>监督检查。到</w:t>
      </w:r>
      <w:r>
        <w:rPr>
          <w:rFonts w:eastAsia="方正仿宋_GBK"/>
          <w:sz w:val="32"/>
          <w:szCs w:val="32"/>
        </w:rPr>
        <w:t>2025</w:t>
      </w:r>
      <w:r>
        <w:rPr>
          <w:rFonts w:hint="eastAsia" w:eastAsia="方正仿宋_GBK" w:cs="方正仿宋_GBK"/>
          <w:sz w:val="32"/>
          <w:szCs w:val="32"/>
        </w:rPr>
        <w:t>年，力争全县实现行政审批、行政处罚信息互联互通和实时共享，承担监督执法的机构运用移动执法终端开展现场执法工作，承担卫生监督协管工作的乡（镇）全部装备卫生监督协管信息系统</w:t>
      </w:r>
      <w:bookmarkStart w:id="11" w:name="page20"/>
      <w:bookmarkEnd w:id="11"/>
      <w:r>
        <w:rPr>
          <w:rFonts w:hint="eastAsia" w:eastAsia="方正仿宋_GBK" w:cs="方正仿宋_GBK"/>
          <w:sz w:val="32"/>
          <w:szCs w:val="32"/>
        </w:rPr>
        <w:t>。</w:t>
      </w:r>
    </w:p>
    <w:p w14:paraId="55B60265">
      <w:pPr>
        <w:spacing w:line="560" w:lineRule="exact"/>
        <w:ind w:firstLine="964" w:firstLineChars="300"/>
        <w:rPr>
          <w:rFonts w:ascii="方正楷体_GBK" w:eastAsia="方正楷体_GBK"/>
          <w:b/>
          <w:bCs/>
          <w:sz w:val="32"/>
          <w:szCs w:val="32"/>
        </w:rPr>
      </w:pPr>
      <w:r>
        <w:rPr>
          <w:rFonts w:hint="eastAsia" w:ascii="方正楷体_GBK" w:eastAsia="方正楷体_GBK" w:cs="方正楷体_GBK"/>
          <w:b/>
          <w:bCs/>
          <w:sz w:val="32"/>
          <w:szCs w:val="32"/>
        </w:rPr>
        <w:t>（二）干预主要健康问题</w:t>
      </w:r>
    </w:p>
    <w:p w14:paraId="21F5A58B">
      <w:pPr>
        <w:spacing w:line="560" w:lineRule="exact"/>
        <w:ind w:firstLine="643" w:firstLineChars="200"/>
        <w:rPr>
          <w:rFonts w:eastAsia="方正仿宋_GBK"/>
          <w:sz w:val="32"/>
          <w:szCs w:val="32"/>
        </w:rPr>
      </w:pPr>
      <w:r>
        <w:rPr>
          <w:rFonts w:hint="eastAsia" w:eastAsia="方正仿宋_GBK" w:cs="方正仿宋_GBK"/>
          <w:b/>
          <w:bCs/>
          <w:sz w:val="32"/>
          <w:szCs w:val="32"/>
        </w:rPr>
        <w:t>强化健康教育。</w:t>
      </w:r>
      <w:r>
        <w:rPr>
          <w:rFonts w:hint="eastAsia" w:eastAsia="方正仿宋_GBK" w:cs="方正仿宋_GBK"/>
          <w:sz w:val="32"/>
          <w:szCs w:val="32"/>
        </w:rPr>
        <w:t>完善健康教育专业机构设置，强化医疗卫生机构健康教育职能，健全社会健康教育网络。以提高全民健康素养水平为核心，健全健康知识和技能核心信息发布制度，开展全县健康素养和生活方式监测。加大健康科学知识宣传力度，探索建设一批健康科普基地、健康教育服务基地，充分发挥全媒体在健康科普知识发布和传播中的积极作用。</w:t>
      </w:r>
    </w:p>
    <w:p w14:paraId="61B678FD">
      <w:pPr>
        <w:spacing w:line="540" w:lineRule="exact"/>
        <w:ind w:firstLine="634"/>
        <w:rPr>
          <w:rFonts w:eastAsia="方正仿宋_GBK"/>
          <w:sz w:val="32"/>
          <w:szCs w:val="32"/>
        </w:rPr>
      </w:pPr>
      <w:r>
        <w:rPr>
          <w:rFonts w:hint="eastAsia" w:eastAsia="方正仿宋_GBK" w:cs="方正仿宋_GBK"/>
          <w:b/>
          <w:bCs/>
          <w:sz w:val="32"/>
          <w:szCs w:val="32"/>
        </w:rPr>
        <w:t>促进健康行为。</w:t>
      </w:r>
      <w:r>
        <w:rPr>
          <w:rFonts w:hint="eastAsia" w:eastAsia="方正仿宋_GBK" w:cs="方正仿宋_GBK"/>
          <w:sz w:val="32"/>
          <w:szCs w:val="32"/>
        </w:rPr>
        <w:t>推进全民健康生活方式行动，加强家庭、高危群体生活方式和行为干预指导，开展健康知识</w:t>
      </w:r>
      <w:r>
        <w:rPr>
          <w:rFonts w:eastAsia="方正仿宋_GBK"/>
          <w:sz w:val="32"/>
          <w:szCs w:val="32"/>
        </w:rPr>
        <w:t>“</w:t>
      </w:r>
      <w:r>
        <w:rPr>
          <w:rFonts w:hint="eastAsia" w:eastAsia="方正仿宋_GBK" w:cs="方正仿宋_GBK"/>
          <w:sz w:val="32"/>
          <w:szCs w:val="32"/>
        </w:rPr>
        <w:t>六进</w:t>
      </w:r>
      <w:r>
        <w:rPr>
          <w:rFonts w:eastAsia="方正仿宋_GBK"/>
          <w:sz w:val="32"/>
          <w:szCs w:val="32"/>
        </w:rPr>
        <w:t>”</w:t>
      </w:r>
      <w:r>
        <w:rPr>
          <w:rFonts w:hint="eastAsia" w:eastAsia="方正仿宋_GBK" w:cs="方正仿宋_GBK"/>
          <w:sz w:val="32"/>
          <w:szCs w:val="32"/>
        </w:rPr>
        <w:t>活动，推行</w:t>
      </w:r>
      <w:r>
        <w:rPr>
          <w:rFonts w:eastAsia="方正仿宋_GBK"/>
          <w:sz w:val="32"/>
          <w:szCs w:val="32"/>
        </w:rPr>
        <w:t>“</w:t>
      </w:r>
      <w:r>
        <w:rPr>
          <w:rFonts w:hint="eastAsia" w:eastAsia="方正仿宋_GBK" w:cs="方正仿宋_GBK"/>
          <w:sz w:val="32"/>
          <w:szCs w:val="32"/>
        </w:rPr>
        <w:t>三减三健</w:t>
      </w:r>
      <w:r>
        <w:rPr>
          <w:rFonts w:eastAsia="方正仿宋_GBK"/>
          <w:sz w:val="32"/>
          <w:szCs w:val="32"/>
        </w:rPr>
        <w:t>”</w:t>
      </w:r>
      <w:r>
        <w:rPr>
          <w:rFonts w:hint="eastAsia" w:eastAsia="方正仿宋_GBK" w:cs="方正仿宋_GBK"/>
          <w:sz w:val="32"/>
          <w:szCs w:val="32"/>
        </w:rPr>
        <w:t>活动。深化体卫融合，推进全民健身，倡导</w:t>
      </w:r>
      <w:r>
        <w:rPr>
          <w:rFonts w:eastAsia="方正仿宋_GBK"/>
          <w:sz w:val="32"/>
          <w:szCs w:val="32"/>
        </w:rPr>
        <w:t>“</w:t>
      </w:r>
      <w:r>
        <w:rPr>
          <w:rFonts w:hint="eastAsia" w:eastAsia="方正仿宋_GBK" w:cs="方正仿宋_GBK"/>
          <w:sz w:val="32"/>
          <w:szCs w:val="32"/>
        </w:rPr>
        <w:t>主动健康</w:t>
      </w:r>
      <w:r>
        <w:rPr>
          <w:rFonts w:eastAsia="方正仿宋_GBK"/>
          <w:sz w:val="32"/>
          <w:szCs w:val="32"/>
        </w:rPr>
        <w:t>”</w:t>
      </w:r>
      <w:r>
        <w:rPr>
          <w:rFonts w:hint="eastAsia" w:eastAsia="方正仿宋_GBK" w:cs="方正仿宋_GBK"/>
          <w:sz w:val="32"/>
          <w:szCs w:val="32"/>
        </w:rPr>
        <w:t>理念，普及</w:t>
      </w:r>
      <w:r>
        <w:rPr>
          <w:rFonts w:eastAsia="方正仿宋_GBK"/>
          <w:sz w:val="32"/>
          <w:szCs w:val="32"/>
        </w:rPr>
        <w:t>“</w:t>
      </w:r>
      <w:r>
        <w:rPr>
          <w:rFonts w:hint="eastAsia" w:eastAsia="方正仿宋_GBK" w:cs="方正仿宋_GBK"/>
          <w:sz w:val="32"/>
          <w:szCs w:val="32"/>
        </w:rPr>
        <w:t>运动促进健康知识</w:t>
      </w:r>
      <w:r>
        <w:rPr>
          <w:rFonts w:eastAsia="方正仿宋_GBK"/>
          <w:sz w:val="32"/>
          <w:szCs w:val="32"/>
        </w:rPr>
        <w:t>”</w:t>
      </w:r>
      <w:r>
        <w:rPr>
          <w:rFonts w:hint="eastAsia" w:eastAsia="方正仿宋_GBK" w:cs="方正仿宋_GBK"/>
          <w:sz w:val="32"/>
          <w:szCs w:val="32"/>
        </w:rPr>
        <w:t>。完善全民健身公共服务体系，推进社会体育场地设施建设和学校场馆开放共享，提高便民健身场所覆盖面。以青少年为重点开展国民体质监测和干预。在社区医疗卫生机构中设立科学健身门诊，推动国民体质监测站点与医疗卫生机构合作。倡导树立珍惜食物的意识和平衡膳食习惯。实施国民营养计划和合理膳食行动，普及膳食营养知识，研究建立营养指导员制度，健全居民营养监测制度。探索根据年龄、职业等特征开展有效健康体检。加强对学校、幼儿园、养老机构等营养健康工作的指导；开展示范健康食堂和健康餐厅建设。全面推进控烟履约，深入开展控烟宣传教育，把党政机关建成无烟机关，推进公共场所无烟环境建设，</w:t>
      </w:r>
      <w:bookmarkStart w:id="12" w:name="page21"/>
      <w:bookmarkEnd w:id="12"/>
      <w:r>
        <w:rPr>
          <w:rFonts w:eastAsia="方正仿宋_GBK"/>
          <w:sz w:val="32"/>
          <w:szCs w:val="32"/>
        </w:rPr>
        <w:t>15</w:t>
      </w:r>
      <w:r>
        <w:rPr>
          <w:rFonts w:hint="eastAsia" w:eastAsia="方正仿宋_GBK" w:cs="方正仿宋_GBK"/>
          <w:sz w:val="32"/>
          <w:szCs w:val="32"/>
        </w:rPr>
        <w:t>岁以上人群吸烟率控制在</w:t>
      </w:r>
      <w:r>
        <w:rPr>
          <w:rFonts w:eastAsia="方正仿宋_GBK"/>
          <w:sz w:val="32"/>
          <w:szCs w:val="32"/>
        </w:rPr>
        <w:t>20%</w:t>
      </w:r>
      <w:r>
        <w:rPr>
          <w:rFonts w:hint="eastAsia" w:eastAsia="方正仿宋_GBK" w:cs="方正仿宋_GBK"/>
          <w:sz w:val="32"/>
          <w:szCs w:val="32"/>
        </w:rPr>
        <w:t>以内。加强限酒健康教育和干预。加强更年期妇女、老年人骨质疏松筛查和综合干预。</w:t>
      </w:r>
    </w:p>
    <w:p w14:paraId="00EE3842">
      <w:pPr>
        <w:spacing w:line="540" w:lineRule="exact"/>
        <w:ind w:firstLine="634"/>
        <w:rPr>
          <w:rFonts w:eastAsia="方正仿宋_GBK"/>
          <w:color w:val="000000"/>
          <w:sz w:val="32"/>
          <w:szCs w:val="32"/>
        </w:rPr>
      </w:pPr>
      <w:r>
        <w:rPr>
          <w:rFonts w:hint="eastAsia" w:eastAsia="方正仿宋_GBK" w:cs="方正仿宋_GBK"/>
          <w:b/>
          <w:bCs/>
          <w:sz w:val="32"/>
          <w:szCs w:val="32"/>
        </w:rPr>
        <w:t>实施慢性病综合防控。</w:t>
      </w:r>
      <w:r>
        <w:rPr>
          <w:rFonts w:hint="eastAsia" w:eastAsia="方正仿宋_GBK" w:cs="方正仿宋_GBK"/>
          <w:sz w:val="32"/>
          <w:szCs w:val="32"/>
        </w:rPr>
        <w:t>深入推进慢性病综合防控示范区建设，完善政府主导、多部门参与的慢性病综合防控工作机制，逐步建立完善覆盖全人群、全生命周期的慢性病健康管理制度和慢性病健康管理体系，推动防、治、康、管整体融合发展。强化死因监测、肿瘤随访登记和慢性病与营养监测体系建设，探索建立健康危险因素监测评估制度。完善慢性病患者管理信息平台，实现慢性病信息互联互通。提高心脑血管疾病、癌症、慢性呼吸系统疾病、糖尿病等重大慢性病综合防治能力。推进高血压、糖尿病、高血脂、脑卒中、心血管疾病、慢性阻塞性肺疾病、癌症等重大慢性病机会性筛查干预管理，多渠道扩大癌症早诊早治覆盖范围，逐步将符合条件的慢性病早诊早治适宜技术纳入诊疗常规。建立</w:t>
      </w:r>
      <w:r>
        <w:rPr>
          <w:rFonts w:eastAsia="方正仿宋_GBK"/>
          <w:sz w:val="32"/>
          <w:szCs w:val="32"/>
        </w:rPr>
        <w:t>35</w:t>
      </w:r>
      <w:r>
        <w:rPr>
          <w:rFonts w:hint="eastAsia" w:eastAsia="方正仿宋_GBK" w:cs="方正仿宋_GBK"/>
          <w:sz w:val="32"/>
          <w:szCs w:val="32"/>
        </w:rPr>
        <w:t>岁以上人群首诊测血压制度，全面实施</w:t>
      </w:r>
      <w:r>
        <w:rPr>
          <w:rFonts w:eastAsia="方正仿宋_GBK"/>
          <w:sz w:val="32"/>
          <w:szCs w:val="32"/>
        </w:rPr>
        <w:t>35</w:t>
      </w:r>
      <w:r>
        <w:rPr>
          <w:rFonts w:hint="eastAsia" w:eastAsia="方正仿宋_GBK" w:cs="方正仿宋_GBK"/>
          <w:sz w:val="32"/>
          <w:szCs w:val="32"/>
        </w:rPr>
        <w:t>岁及以上就诊和体检人群血糖、血脂检测，将肺功能检查纳入</w:t>
      </w:r>
      <w:r>
        <w:rPr>
          <w:rFonts w:eastAsia="方正仿宋_GBK"/>
          <w:sz w:val="32"/>
          <w:szCs w:val="32"/>
        </w:rPr>
        <w:t>40</w:t>
      </w:r>
      <w:r>
        <w:rPr>
          <w:rFonts w:hint="eastAsia" w:eastAsia="方正仿宋_GBK" w:cs="方正仿宋_GBK"/>
          <w:sz w:val="32"/>
          <w:szCs w:val="32"/>
        </w:rPr>
        <w:t>岁及以上人群常规体检。提升基层呼吸系统疾病早期筛查和干预能力，推行高危人群首诊测量肺功能。推进在企事业单位、公共场所设置免费自助血压检测点，引导群众定期检测。推进</w:t>
      </w:r>
      <w:r>
        <w:rPr>
          <w:rFonts w:eastAsia="方正仿宋_GBK"/>
          <w:sz w:val="32"/>
          <w:szCs w:val="32"/>
        </w:rPr>
        <w:t>“</w:t>
      </w:r>
      <w:r>
        <w:rPr>
          <w:rFonts w:hint="eastAsia" w:eastAsia="方正仿宋_GBK" w:cs="方正仿宋_GBK"/>
          <w:sz w:val="32"/>
          <w:szCs w:val="32"/>
        </w:rPr>
        <w:t>三高</w:t>
      </w:r>
      <w:r>
        <w:rPr>
          <w:rFonts w:eastAsia="方正仿宋_GBK"/>
          <w:sz w:val="32"/>
          <w:szCs w:val="32"/>
        </w:rPr>
        <w:t>”</w:t>
      </w:r>
      <w:r>
        <w:rPr>
          <w:rFonts w:hint="eastAsia" w:eastAsia="方正仿宋_GBK" w:cs="方正仿宋_GBK"/>
          <w:sz w:val="32"/>
          <w:szCs w:val="32"/>
        </w:rPr>
        <w:t>（高血压、高血糖、高血脂）共管，到</w:t>
      </w:r>
      <w:r>
        <w:rPr>
          <w:rFonts w:eastAsia="方正仿宋_GBK"/>
          <w:sz w:val="32"/>
          <w:szCs w:val="32"/>
        </w:rPr>
        <w:t>“</w:t>
      </w:r>
      <w:r>
        <w:rPr>
          <w:rFonts w:hint="eastAsia" w:eastAsia="方正仿宋_GBK" w:cs="方正仿宋_GBK"/>
          <w:sz w:val="32"/>
          <w:szCs w:val="32"/>
        </w:rPr>
        <w:t>十四五</w:t>
      </w:r>
      <w:r>
        <w:rPr>
          <w:rFonts w:eastAsia="方正仿宋_GBK"/>
          <w:sz w:val="32"/>
          <w:szCs w:val="32"/>
        </w:rPr>
        <w:t>”</w:t>
      </w:r>
      <w:r>
        <w:rPr>
          <w:rFonts w:hint="eastAsia" w:eastAsia="方正仿宋_GBK" w:cs="方正仿宋_GBK"/>
          <w:sz w:val="32"/>
          <w:szCs w:val="32"/>
        </w:rPr>
        <w:t>末，高血压、</w:t>
      </w:r>
      <w:r>
        <w:rPr>
          <w:rFonts w:hint="eastAsia" w:ascii="宋体" w:hAnsi="宋体" w:cs="宋体"/>
          <w:sz w:val="32"/>
          <w:szCs w:val="32"/>
        </w:rPr>
        <w:t>Ⅱ</w:t>
      </w:r>
      <w:r>
        <w:rPr>
          <w:rFonts w:hint="eastAsia" w:eastAsia="方正仿宋_GBK" w:cs="方正仿宋_GBK"/>
          <w:sz w:val="32"/>
          <w:szCs w:val="32"/>
        </w:rPr>
        <w:t>型糖尿病患者规范化</w:t>
      </w:r>
      <w:r>
        <w:rPr>
          <w:rFonts w:hint="eastAsia" w:eastAsia="方正仿宋_GBK" w:cs="方正仿宋_GBK"/>
          <w:color w:val="000000"/>
          <w:sz w:val="32"/>
          <w:szCs w:val="32"/>
        </w:rPr>
        <w:t>管理率均达到</w:t>
      </w:r>
      <w:r>
        <w:rPr>
          <w:rFonts w:eastAsia="方正仿宋_GBK"/>
          <w:color w:val="000000"/>
          <w:sz w:val="32"/>
          <w:szCs w:val="32"/>
        </w:rPr>
        <w:t>91%</w:t>
      </w:r>
      <w:r>
        <w:rPr>
          <w:rFonts w:hint="eastAsia" w:eastAsia="方正仿宋_GBK" w:cs="方正仿宋_GBK"/>
          <w:color w:val="000000"/>
          <w:sz w:val="32"/>
          <w:szCs w:val="32"/>
        </w:rPr>
        <w:t>以上。以龋齿、牙周病等口腔常见病防治为重点，加强口腔健康工作，</w:t>
      </w:r>
      <w:r>
        <w:rPr>
          <w:rFonts w:eastAsia="方正仿宋_GBK"/>
          <w:color w:val="000000"/>
          <w:sz w:val="32"/>
          <w:szCs w:val="32"/>
        </w:rPr>
        <w:t>12</w:t>
      </w:r>
      <w:r>
        <w:rPr>
          <w:rFonts w:hint="eastAsia" w:eastAsia="方正仿宋_GBK" w:cs="方正仿宋_GBK"/>
          <w:color w:val="000000"/>
          <w:sz w:val="32"/>
          <w:szCs w:val="32"/>
        </w:rPr>
        <w:t>岁儿童龋齿患病率控制在</w:t>
      </w:r>
      <w:r>
        <w:rPr>
          <w:rFonts w:eastAsia="方正仿宋_GBK"/>
          <w:color w:val="000000"/>
          <w:sz w:val="32"/>
          <w:szCs w:val="32"/>
        </w:rPr>
        <w:t>30%</w:t>
      </w:r>
      <w:r>
        <w:rPr>
          <w:rFonts w:hint="eastAsia" w:eastAsia="方正仿宋_GBK" w:cs="方正仿宋_GBK"/>
          <w:color w:val="000000"/>
          <w:sz w:val="32"/>
          <w:szCs w:val="32"/>
        </w:rPr>
        <w:t>以内。</w:t>
      </w:r>
      <w:bookmarkStart w:id="13" w:name="page22"/>
      <w:bookmarkEnd w:id="13"/>
    </w:p>
    <w:p w14:paraId="02103F31">
      <w:pPr>
        <w:spacing w:line="540" w:lineRule="exact"/>
        <w:ind w:firstLine="634"/>
        <w:rPr>
          <w:rFonts w:eastAsia="方正仿宋_GBK"/>
          <w:sz w:val="32"/>
          <w:szCs w:val="32"/>
        </w:rPr>
      </w:pPr>
      <w:r>
        <w:rPr>
          <w:rFonts w:hint="eastAsia" w:eastAsia="方正仿宋_GBK" w:cs="方正仿宋_GBK"/>
          <w:b/>
          <w:bCs/>
          <w:sz w:val="32"/>
          <w:szCs w:val="32"/>
        </w:rPr>
        <w:t>加强传染病和地方病防控。</w:t>
      </w:r>
      <w:r>
        <w:rPr>
          <w:rFonts w:hint="eastAsia" w:eastAsia="方正仿宋_GBK" w:cs="方正仿宋_GBK"/>
          <w:sz w:val="32"/>
          <w:szCs w:val="32"/>
        </w:rPr>
        <w:t>进一步优化新冠肺炎疫情常态化防控策略，不断巩固疫情防控成果。完善法定传染病疫情信息发布制度，建立完善传染病预警机制。坚持多病共防，进一步加强流感、登革热等重点传染病监测和分析，统筹做好鼠疫、人感染高致病性禽流感等新发突发传染病防控。加强区域鼠疫联防联控协调机制。加强艾滋病实验室检测、筛查、抗病毒治疗和随访管理。到</w:t>
      </w:r>
      <w:r>
        <w:rPr>
          <w:rFonts w:eastAsia="方正仿宋_GBK"/>
          <w:sz w:val="32"/>
          <w:szCs w:val="32"/>
        </w:rPr>
        <w:t>2025</w:t>
      </w:r>
      <w:r>
        <w:rPr>
          <w:rFonts w:hint="eastAsia" w:eastAsia="方正仿宋_GBK" w:cs="方正仿宋_GBK"/>
          <w:sz w:val="32"/>
          <w:szCs w:val="32"/>
        </w:rPr>
        <w:t>年，</w:t>
      </w:r>
      <w:r>
        <w:rPr>
          <w:rFonts w:hint="eastAsia" w:eastAsia="方正仿宋_GBK" w:cs="方正仿宋_GBK"/>
          <w:color w:val="000000"/>
          <w:sz w:val="32"/>
          <w:szCs w:val="32"/>
        </w:rPr>
        <w:t>艾滋病全人群感染率降低至</w:t>
      </w:r>
      <w:r>
        <w:rPr>
          <w:rFonts w:eastAsia="方正仿宋_GBK"/>
          <w:color w:val="000000"/>
          <w:sz w:val="32"/>
          <w:szCs w:val="32"/>
        </w:rPr>
        <w:t xml:space="preserve"> 6.3/</w:t>
      </w:r>
      <w:r>
        <w:rPr>
          <w:rFonts w:hint="eastAsia" w:eastAsia="方正仿宋_GBK" w:cs="方正仿宋_GBK"/>
          <w:color w:val="000000"/>
          <w:sz w:val="32"/>
          <w:szCs w:val="32"/>
        </w:rPr>
        <w:t>万以下。</w:t>
      </w:r>
      <w:r>
        <w:rPr>
          <w:rFonts w:hint="eastAsia" w:eastAsia="方正仿宋_GBK" w:cs="方正仿宋_GBK"/>
          <w:sz w:val="32"/>
          <w:szCs w:val="32"/>
        </w:rPr>
        <w:t>全面实施病毒性肝炎防治措施，开展消除丙肝公共卫生危害行动。实施结核病综合防治服务模式，加强肺结核患者发现和规范化诊疗，实施耐药高危人群筛查和监测，强化基层医疗卫生机构结核病患者健康管理服务，</w:t>
      </w:r>
      <w:r>
        <w:rPr>
          <w:rFonts w:eastAsia="方正仿宋_GBK"/>
          <w:sz w:val="32"/>
          <w:szCs w:val="32"/>
        </w:rPr>
        <w:t>2025</w:t>
      </w:r>
      <w:r>
        <w:rPr>
          <w:rFonts w:hint="eastAsia" w:eastAsia="方正仿宋_GBK" w:cs="方正仿宋_GBK"/>
          <w:sz w:val="32"/>
          <w:szCs w:val="32"/>
        </w:rPr>
        <w:t>年肺结核发病率降低至</w:t>
      </w:r>
      <w:r>
        <w:rPr>
          <w:rFonts w:eastAsia="方正仿宋_GBK"/>
          <w:sz w:val="32"/>
          <w:szCs w:val="32"/>
        </w:rPr>
        <w:t>32/10</w:t>
      </w:r>
      <w:r>
        <w:rPr>
          <w:rFonts w:hint="eastAsia" w:eastAsia="方正仿宋_GBK" w:cs="方正仿宋_GBK"/>
          <w:sz w:val="32"/>
          <w:szCs w:val="32"/>
        </w:rPr>
        <w:t>万。有效防控霍乱、手足口病、麻疹等重点传染病疫情。强化鼠疫等甲类传染病监测，强化乙脑、流行性出血热、炭疽等监测。实施以传染源控制为主的狂犬病、布病、包虫病等人畜共患病综合治理，实施布病攻坚行动，落实包虫病综合防治策略，提升包虫病普查普治工作质量。建立和完善地方病监测体系，持续开展地方病监测与调查，加强地方病现症病人救治管理，巩固地方病防治成果，持续控制和消除重点地方病危害。</w:t>
      </w:r>
    </w:p>
    <w:p w14:paraId="5FE45994">
      <w:pPr>
        <w:spacing w:line="540" w:lineRule="exact"/>
        <w:ind w:firstLine="634"/>
        <w:rPr>
          <w:rFonts w:eastAsia="方正仿宋_GBK"/>
          <w:sz w:val="32"/>
          <w:szCs w:val="32"/>
        </w:rPr>
      </w:pPr>
      <w:r>
        <w:rPr>
          <w:rFonts w:hint="eastAsia" w:eastAsia="方正仿宋_GBK" w:cs="方正仿宋_GBK"/>
          <w:b/>
          <w:bCs/>
          <w:sz w:val="32"/>
          <w:szCs w:val="32"/>
        </w:rPr>
        <w:t>强化疫苗预防接种。</w:t>
      </w:r>
      <w:r>
        <w:rPr>
          <w:rFonts w:hint="eastAsia" w:eastAsia="方正仿宋_GBK" w:cs="方正仿宋_GBK"/>
          <w:sz w:val="32"/>
          <w:szCs w:val="32"/>
        </w:rPr>
        <w:t>稳妥有序做好新冠病毒疫苗接种工作，加强全流程管理，逐步提高人群接种率，确保接种安全。推动重点人群流感疫苗接种。继续实施国家扩大免疫规划，保持高水平免疫规划疫苗接种率，以乡（镇、街道）为单位适龄儿童免疫规</w:t>
      </w:r>
      <w:bookmarkStart w:id="14" w:name="page23"/>
      <w:bookmarkEnd w:id="14"/>
      <w:r>
        <w:rPr>
          <w:rFonts w:hint="eastAsia" w:eastAsia="方正仿宋_GBK" w:cs="方正仿宋_GBK"/>
          <w:sz w:val="32"/>
          <w:szCs w:val="32"/>
        </w:rPr>
        <w:t>划疫苗接种率不低于</w:t>
      </w:r>
      <w:r>
        <w:rPr>
          <w:rFonts w:eastAsia="方正仿宋_GBK"/>
          <w:sz w:val="32"/>
          <w:szCs w:val="32"/>
        </w:rPr>
        <w:t>90%</w:t>
      </w:r>
      <w:r>
        <w:rPr>
          <w:rFonts w:hint="eastAsia" w:eastAsia="方正仿宋_GBK" w:cs="方正仿宋_GBK"/>
          <w:sz w:val="32"/>
          <w:szCs w:val="32"/>
        </w:rPr>
        <w:t>，不断提高非免疫规划疫苗覆盖水平。完善预防接种管理制度体系，加强免疫规划冷链系统和信息化建设，加快推进数字化预防接种门诊建设，提升预防接种单位服务能力。</w:t>
      </w:r>
    </w:p>
    <w:p w14:paraId="0DFD6562">
      <w:pPr>
        <w:spacing w:line="540" w:lineRule="exact"/>
        <w:ind w:firstLine="634"/>
        <w:rPr>
          <w:rFonts w:eastAsia="方正仿宋_GBK"/>
          <w:sz w:val="32"/>
          <w:szCs w:val="32"/>
        </w:rPr>
      </w:pPr>
      <w:r>
        <w:rPr>
          <w:rFonts w:hint="eastAsia" w:eastAsia="方正仿宋_GBK" w:cs="方正仿宋_GBK"/>
          <w:b/>
          <w:bCs/>
          <w:sz w:val="32"/>
          <w:szCs w:val="32"/>
        </w:rPr>
        <w:t>加强精神卫生和心理健康。</w:t>
      </w:r>
      <w:r>
        <w:rPr>
          <w:rFonts w:hint="eastAsia" w:eastAsia="方正仿宋_GBK" w:cs="方正仿宋_GBK"/>
          <w:sz w:val="32"/>
          <w:szCs w:val="32"/>
        </w:rPr>
        <w:t>加强精神卫生防治体系和心理健康服务体系建设及规范化管理，完善心理健康和精神卫生服务体系，加大全民心理健康科普宣传力度，提升心理健康素养。加强抑郁症、焦虑障碍、睡眠障碍、儿童心理行为发育异常，老年阿尔茨海默病等常见精神障碍和心理行为干预。加强儿童孤独症（自闭症）等精神类疾病的健康管理和干预，落实残疾儿童康复救助制度职责。建立精神障碍社区康复服务体系，完善精神障碍社区康复服务。十四五末，严重精神障碍患者规范管理率达到</w:t>
      </w:r>
      <w:r>
        <w:rPr>
          <w:rFonts w:eastAsia="方正仿宋_GBK"/>
          <w:sz w:val="32"/>
          <w:szCs w:val="32"/>
        </w:rPr>
        <w:t>95%</w:t>
      </w:r>
      <w:r>
        <w:rPr>
          <w:rFonts w:hint="eastAsia" w:eastAsia="方正仿宋_GBK" w:cs="方正仿宋_GBK"/>
          <w:sz w:val="32"/>
          <w:szCs w:val="32"/>
        </w:rPr>
        <w:t>以上。加强二级以上医疗机构心理门诊建设，提高突发事件心理危机的干预能力和水平，加强常见精神障碍防治、规范化诊疗能力和心理行为问题识别干预。培育专业化、规范化社会心理健康服务机构，承担公众心理健康教育和心理咨询等任务。设立统一的心理援助热线，为公众提供公益服务。</w:t>
      </w:r>
    </w:p>
    <w:p w14:paraId="06F78C0A">
      <w:pPr>
        <w:spacing w:line="540" w:lineRule="exact"/>
        <w:ind w:firstLine="634"/>
        <w:rPr>
          <w:rFonts w:eastAsia="方正仿宋_GBK"/>
          <w:sz w:val="32"/>
          <w:szCs w:val="32"/>
        </w:rPr>
      </w:pPr>
      <w:r>
        <w:rPr>
          <w:rFonts w:hint="eastAsia" w:eastAsia="方正仿宋_GBK" w:cs="方正仿宋_GBK"/>
          <w:b/>
          <w:bCs/>
          <w:w w:val="99"/>
          <w:sz w:val="32"/>
          <w:szCs w:val="32"/>
        </w:rPr>
        <w:t>加强伤害预防和干预。</w:t>
      </w:r>
      <w:r>
        <w:rPr>
          <w:rFonts w:hint="eastAsia" w:eastAsia="方正仿宋_GBK" w:cs="方正仿宋_GBK"/>
          <w:w w:val="99"/>
          <w:sz w:val="32"/>
          <w:szCs w:val="32"/>
        </w:rPr>
        <w:t>开展意外死亡综合防治。部门联动，</w:t>
      </w:r>
      <w:bookmarkStart w:id="15" w:name="page24"/>
      <w:bookmarkEnd w:id="15"/>
      <w:r>
        <w:rPr>
          <w:rFonts w:hint="eastAsia" w:eastAsia="方正仿宋_GBK" w:cs="方正仿宋_GBK"/>
          <w:sz w:val="32"/>
          <w:szCs w:val="32"/>
        </w:rPr>
        <w:t>健全学校安全管理制度，完善学校安全事故应急预案，加强学生和家长的安全教育，落实踩踏、溺水、中毒、坠落等易发安全事故防范措施，降低在校中小学生意外伤害死亡率。加强道路交通安全设施设计、规划和建设，落实公路养护和管理规范，加强运营公路临水、临崖、急弯陡坡和长大桥隧路段的交通隐患治理，降低道路交通伤害死亡率。加强适老环境建设和改造，减少老年人意外跌倒等伤害。落实安全生产宣传教育，提高全民安全防范意识和防护技能，及时应对处置火灾、地震等安全事故，减少生产安全事故死亡人数。到</w:t>
      </w:r>
      <w:r>
        <w:rPr>
          <w:rFonts w:eastAsia="方正仿宋_GBK"/>
          <w:sz w:val="32"/>
          <w:szCs w:val="32"/>
        </w:rPr>
        <w:t xml:space="preserve"> 2025 </w:t>
      </w:r>
      <w:r>
        <w:rPr>
          <w:rFonts w:hint="eastAsia" w:eastAsia="方正仿宋_GBK" w:cs="方正仿宋_GBK"/>
          <w:sz w:val="32"/>
          <w:szCs w:val="32"/>
        </w:rPr>
        <w:t>年，跌倒或坠落、交通死亡率低于全区平均水平。完善产品伤害监测体系，建立完善消费品质量安全事故强制报告制度，加强召回管理，减少消费品安全伤害。</w:t>
      </w:r>
    </w:p>
    <w:p w14:paraId="35A4C5ED">
      <w:pPr>
        <w:spacing w:line="540" w:lineRule="exact"/>
        <w:ind w:firstLine="634"/>
        <w:rPr>
          <w:rFonts w:eastAsia="方正仿宋_GBK"/>
          <w:sz w:val="32"/>
          <w:szCs w:val="32"/>
        </w:rPr>
      </w:pPr>
      <w:r>
        <w:rPr>
          <w:rFonts w:hint="eastAsia" w:eastAsia="方正仿宋_GBK" w:cs="方正仿宋_GBK"/>
          <w:b/>
          <w:bCs/>
          <w:sz w:val="32"/>
          <w:szCs w:val="32"/>
        </w:rPr>
        <w:t>保障食品药品安全。</w:t>
      </w:r>
      <w:r>
        <w:rPr>
          <w:rFonts w:hint="eastAsia" w:eastAsia="方正仿宋_GBK" w:cs="方正仿宋_GBK"/>
          <w:sz w:val="32"/>
          <w:szCs w:val="32"/>
        </w:rPr>
        <w:t>健全食品安全风险监测通报、会商和科学研判机制，定期开展人群营养状况监测。基本建成涵盖从农田到餐桌全过程的最严谨食品安全标准体系并有效实施。提高食品污染物风险识别能力，基本摸清平罗居民膳食暴露特征，全面提升食源性疾病调查溯源能力。不断提升食品药品安全保障水平，建立健全药品安全保障长效机制。提高药品质量，推进仿制药质量和疗效一致性评价。建立符合中药特点的质量和疗效评价体系。构建药品和疫苗全生命周期管理机制，推动药品和疫苗信息化追溯体系建设，实现来源可溯，去向可靠。深化专项整治，依法严厉打击食品药品违法违</w:t>
      </w:r>
      <w:bookmarkStart w:id="16" w:name="page25"/>
      <w:bookmarkEnd w:id="16"/>
      <w:r>
        <w:rPr>
          <w:rFonts w:hint="eastAsia" w:eastAsia="方正仿宋_GBK" w:cs="方正仿宋_GBK"/>
          <w:sz w:val="32"/>
          <w:szCs w:val="32"/>
        </w:rPr>
        <w:t>规行为，不断提升群众幸福感、获得感。加大对食品药品从业人员教育培训力度，切实提高食品药品安全保障能力。</w:t>
      </w:r>
    </w:p>
    <w:p w14:paraId="64A0B7A0">
      <w:pPr>
        <w:spacing w:line="540" w:lineRule="exact"/>
        <w:ind w:firstLine="634"/>
        <w:rPr>
          <w:rFonts w:eastAsia="方正仿宋_GBK"/>
          <w:sz w:val="32"/>
          <w:szCs w:val="32"/>
        </w:rPr>
      </w:pPr>
      <w:r>
        <w:pict>
          <v:shape id="_x0000_s1028" o:spid="_x0000_s1028" o:spt="202" type="#_x0000_t202" style="position:absolute;left:0pt;margin-left:0pt;margin-top:204.6pt;height:361.8pt;width:450pt;mso-wrap-distance-bottom:0pt;mso-wrap-distance-left:9pt;mso-wrap-distance-right:9pt;mso-wrap-distance-top:0pt;z-index:251667456;mso-width-relative:page;mso-height-relative:page;" coordsize="21600,21600">
            <v:path/>
            <v:fill focussize="0,0"/>
            <v:stroke weight="0.5pt" joinstyle="round"/>
            <v:imagedata o:title=""/>
            <o:lock v:ext="edit"/>
            <v:textbox>
              <w:txbxContent>
                <w:p w14:paraId="35A6B3DA">
                  <w:pPr>
                    <w:tabs>
                      <w:tab w:val="left" w:pos="220"/>
                    </w:tabs>
                    <w:spacing w:line="292" w:lineRule="exact"/>
                    <w:ind w:right="-13" w:firstLine="562" w:firstLineChars="200"/>
                    <w:jc w:val="center"/>
                    <w:rPr>
                      <w:b/>
                      <w:bCs/>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 xml:space="preserve"> 2</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健康问题干预重大项目</w:t>
                  </w:r>
                </w:p>
                <w:p w14:paraId="67AD6945">
                  <w:pPr>
                    <w:spacing w:line="320" w:lineRule="exact"/>
                    <w:ind w:firstLine="400" w:firstLineChars="200"/>
                    <w:rPr>
                      <w:sz w:val="20"/>
                      <w:szCs w:val="20"/>
                    </w:rPr>
                  </w:pPr>
                </w:p>
                <w:p w14:paraId="1178595D">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健康平罗建设项目：</w:t>
                  </w:r>
                  <w:r>
                    <w:rPr>
                      <w:rFonts w:hint="eastAsia" w:ascii="仿宋_GB2312" w:hAnsi="仿宋_GB2312" w:eastAsia="仿宋_GB2312" w:cs="仿宋_GB2312"/>
                      <w:sz w:val="24"/>
                      <w:szCs w:val="24"/>
                    </w:rPr>
                    <w:t>围绕健康平罗建设和全民健康水平提升行动，以提高我县人均预期寿命为目标，每年遴选并支持一批在全方位健康影响因素干预、维护全生命周期健康、防控重大疾病等方面，跨学科、跨领域、跨行业开展科学研究、临床应用、宣传推广、惠民服务的项目，以项目推动健康平罗和全民健康水平提升行动，逐步提高我县居民人均预期寿命。</w:t>
                  </w:r>
                </w:p>
                <w:p w14:paraId="22EEB096">
                  <w:pPr>
                    <w:spacing w:line="320" w:lineRule="exact"/>
                    <w:ind w:left="229" w:leftChars="109"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重大慢性非传染性疾病医疗机构机会性筛查干预项目：</w:t>
                  </w:r>
                  <w:r>
                    <w:rPr>
                      <w:rFonts w:hint="eastAsia" w:ascii="仿宋_GB2312" w:hAnsi="仿宋_GB2312" w:eastAsia="仿宋_GB2312" w:cs="仿宋_GB2312"/>
                      <w:sz w:val="24"/>
                      <w:szCs w:val="24"/>
                    </w:rPr>
                    <w:t>依托二级及以上医疗机构，开展就医和体检常住居民心血管病、脑卒中、高血压、糖尿病、高血脂、慢性阻塞性肺疾病、肺癌、上消化道癌症（胃癌、食管癌）、结直肠癌等重大慢性病机会性筛查干预管理。逐步将重大慢性病机会性筛查干预管理适宜技术纳入诊疗常规和基本医疗保险支付范畴，推进重点癌症机会性筛查适宜技术的广泛应用，提高癌症早诊早治能力。</w:t>
                  </w:r>
                </w:p>
                <w:p w14:paraId="6E70A732">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健康素养监测项目：</w:t>
                  </w:r>
                  <w:r>
                    <w:rPr>
                      <w:rFonts w:hint="eastAsia" w:ascii="仿宋_GB2312" w:hAnsi="仿宋_GB2312" w:eastAsia="仿宋_GB2312" w:cs="仿宋_GB2312"/>
                      <w:sz w:val="24"/>
                      <w:szCs w:val="24"/>
                    </w:rPr>
                    <w:t>开展全县健康素养和生活方式监测，推进全民健康生活方式行动，加强家庭、高危群体生活方式和行为干预指导，强化健康体重、健康口腔、健康骨骼、孕产期健康等专项行动。开展中医药健康教育和群众性中医养生保健活动，提高全民中医健康文化素养水平。</w:t>
                  </w:r>
                </w:p>
                <w:p w14:paraId="2B449650">
                  <w:pPr>
                    <w:spacing w:line="320" w:lineRule="exact"/>
                    <w:ind w:firstLine="482" w:firstLineChars="200"/>
                  </w:pPr>
                  <w:r>
                    <w:rPr>
                      <w:rFonts w:hint="eastAsia" w:ascii="仿宋_GB2312" w:hAnsi="仿宋_GB2312" w:eastAsia="仿宋_GB2312" w:cs="仿宋_GB2312"/>
                      <w:b/>
                      <w:bCs/>
                      <w:sz w:val="24"/>
                      <w:szCs w:val="24"/>
                    </w:rPr>
                    <w:t>慢性病综合防治项目：</w:t>
                  </w:r>
                  <w:r>
                    <w:rPr>
                      <w:rFonts w:hint="eastAsia" w:ascii="仿宋_GB2312" w:hAnsi="仿宋_GB2312" w:eastAsia="仿宋_GB2312" w:cs="仿宋_GB2312"/>
                      <w:sz w:val="24"/>
                      <w:szCs w:val="24"/>
                    </w:rPr>
                    <w:t>推进慢性病综合防控，完善慢性病防控政策，强化健康支持环境建设，优化慢性病防控体系，实现慢性病防、治、管整体融合发展。实施儿童视力保健和学生肥胖、龋齿等常见问题综合干预。加强老年人群重点慢性病的早期筛查、早期干预及分类管理，开展阿尔茨海默病、帕金森病等疾病的早期筛查和健康指导。</w:t>
                  </w:r>
                </w:p>
              </w:txbxContent>
            </v:textbox>
            <w10:wrap type="square"/>
          </v:shape>
        </w:pict>
      </w:r>
      <w:r>
        <w:rPr>
          <w:rFonts w:hint="eastAsia" w:eastAsia="方正仿宋_GBK" w:cs="方正仿宋_GBK"/>
          <w:b/>
          <w:bCs/>
          <w:sz w:val="32"/>
          <w:szCs w:val="32"/>
        </w:rPr>
        <w:t>加强环境健康管理。</w:t>
      </w:r>
      <w:r>
        <w:rPr>
          <w:rFonts w:hint="eastAsia" w:eastAsia="方正仿宋_GBK" w:cs="方正仿宋_GBK"/>
          <w:sz w:val="32"/>
          <w:szCs w:val="32"/>
        </w:rPr>
        <w:t>深入开展污染防治行动。基本消除重污染天气，完善水污染防治流域协同机制。完善环境健康风险评估技术方法和监测体系。探索建立重大工程、重大项目健康影响评估技术体系，形成制度框架。开展新污染物健康危害识别和风险评估。强化公共场所及室内环境风险评价。健全县域医疗废弃物收集转运处置体系。动员全民参与，提升居民环境与健康素养，构建形成各方积极参与，协作共建健康环境的社会格局。</w:t>
      </w:r>
    </w:p>
    <w:p w14:paraId="7A74C25F">
      <w:pPr>
        <w:spacing w:line="560" w:lineRule="exact"/>
        <w:ind w:firstLine="630" w:firstLineChars="196"/>
        <w:rPr>
          <w:rFonts w:ascii="方正楷体_GBK" w:eastAsia="方正楷体_GBK"/>
          <w:sz w:val="20"/>
          <w:szCs w:val="20"/>
        </w:rPr>
      </w:pPr>
      <w:bookmarkStart w:id="17" w:name="page26"/>
      <w:bookmarkEnd w:id="17"/>
      <w:r>
        <w:rPr>
          <w:rFonts w:hint="eastAsia" w:ascii="方正楷体_GBK" w:eastAsia="方正楷体_GBK" w:cs="方正楷体_GBK"/>
          <w:b/>
          <w:bCs/>
          <w:sz w:val="32"/>
          <w:szCs w:val="32"/>
        </w:rPr>
        <w:t>（三）提供全方位全周期健康服务</w:t>
      </w:r>
    </w:p>
    <w:p w14:paraId="4391DFA6">
      <w:pPr>
        <w:topLinePunct/>
        <w:spacing w:line="560" w:lineRule="exact"/>
        <w:ind w:firstLine="630" w:firstLineChars="196"/>
        <w:rPr>
          <w:rFonts w:eastAsia="方正仿宋_GBK"/>
          <w:sz w:val="32"/>
          <w:szCs w:val="32"/>
        </w:rPr>
      </w:pPr>
      <w:r>
        <w:rPr>
          <w:rFonts w:hint="eastAsia" w:eastAsia="方正仿宋_GBK" w:cs="方正仿宋_GBK"/>
          <w:b/>
          <w:bCs/>
          <w:sz w:val="32"/>
          <w:szCs w:val="32"/>
        </w:rPr>
        <w:t>促进优生优育。</w:t>
      </w:r>
      <w:r>
        <w:rPr>
          <w:rFonts w:hint="eastAsia" w:eastAsia="方正仿宋_GBK" w:cs="方正仿宋_GBK"/>
          <w:sz w:val="32"/>
          <w:szCs w:val="32"/>
        </w:rPr>
        <w:t>实施三孩生育政策。严格落实产假、哺乳假等制度，支持开展父母育儿假试点。合理配置母婴设施等公共服务资源。构建新型婚育文化，营造生育友好的社会环境。实施母婴安全计划、健康儿童行动提升计划，倡导适龄婚育、优生优育，向孕产妇免费提供生育全过程的基本医疗保健服务。全面落实母婴安全五项制度，提供优质的生育全过程医疗保健服务。促进人类辅助生殖技术规范有序应用，推动人类辅助生殖技术服务更加公平可及。加强出生缺陷综合防治，构建覆盖城乡居民，涵盖婚前和孕前、孕期、产前、新生儿各阶段的出生缺陷三级防治体系。加强儿童早期发展工作，到</w:t>
      </w:r>
      <w:r>
        <w:rPr>
          <w:rFonts w:eastAsia="方正仿宋_GBK"/>
          <w:sz w:val="32"/>
          <w:szCs w:val="32"/>
        </w:rPr>
        <w:t xml:space="preserve">2025 </w:t>
      </w:r>
      <w:r>
        <w:rPr>
          <w:rFonts w:hint="eastAsia" w:eastAsia="方正仿宋_GBK" w:cs="方正仿宋_GBK"/>
          <w:sz w:val="32"/>
          <w:szCs w:val="32"/>
        </w:rPr>
        <w:t>年，孕产妇系统管理率和</w:t>
      </w:r>
      <w:r>
        <w:rPr>
          <w:rFonts w:eastAsia="方正仿宋_GBK"/>
          <w:sz w:val="32"/>
          <w:szCs w:val="32"/>
        </w:rPr>
        <w:t>3</w:t>
      </w:r>
      <w:r>
        <w:rPr>
          <w:rFonts w:hint="eastAsia" w:eastAsia="方正仿宋_GBK" w:cs="方正仿宋_GBK"/>
          <w:sz w:val="32"/>
          <w:szCs w:val="32"/>
        </w:rPr>
        <w:t>岁以下儿童系统管理率进一步提升，</w:t>
      </w:r>
      <w:r>
        <w:rPr>
          <w:rFonts w:hint="eastAsia" w:eastAsia="方正仿宋_GBK" w:cs="方正仿宋_GBK"/>
          <w:color w:val="000000"/>
          <w:sz w:val="32"/>
          <w:szCs w:val="32"/>
        </w:rPr>
        <w:t>孕前优生健康检查目标人群覆盖率和产前筛查率均达到</w:t>
      </w:r>
      <w:r>
        <w:rPr>
          <w:rFonts w:eastAsia="方正仿宋_GBK"/>
          <w:color w:val="000000"/>
          <w:sz w:val="32"/>
          <w:szCs w:val="32"/>
        </w:rPr>
        <w:t xml:space="preserve"> 80%</w:t>
      </w:r>
      <w:r>
        <w:rPr>
          <w:rFonts w:hint="eastAsia" w:eastAsia="方正仿宋_GBK" w:cs="方正仿宋_GBK"/>
          <w:color w:val="000000"/>
          <w:sz w:val="32"/>
          <w:szCs w:val="32"/>
        </w:rPr>
        <w:t>以上，新生儿遗传代谢性疾病筛查率达到</w:t>
      </w:r>
      <w:r>
        <w:rPr>
          <w:rFonts w:eastAsia="方正仿宋_GBK"/>
          <w:color w:val="000000"/>
          <w:sz w:val="32"/>
          <w:szCs w:val="32"/>
        </w:rPr>
        <w:t>98%</w:t>
      </w:r>
      <w:r>
        <w:rPr>
          <w:rFonts w:hint="eastAsia" w:eastAsia="方正仿宋_GBK" w:cs="方正仿宋_GBK"/>
          <w:color w:val="000000"/>
          <w:sz w:val="32"/>
          <w:szCs w:val="32"/>
        </w:rPr>
        <w:t>以上，新生儿听力筛查率达到</w:t>
      </w:r>
      <w:r>
        <w:rPr>
          <w:rFonts w:eastAsia="方正仿宋_GBK"/>
          <w:color w:val="000000"/>
          <w:sz w:val="32"/>
          <w:szCs w:val="32"/>
        </w:rPr>
        <w:t>95%</w:t>
      </w:r>
      <w:r>
        <w:rPr>
          <w:rFonts w:hint="eastAsia" w:eastAsia="方正仿宋_GBK" w:cs="方正仿宋_GBK"/>
          <w:color w:val="000000"/>
          <w:sz w:val="32"/>
          <w:szCs w:val="32"/>
        </w:rPr>
        <w:t>以上，</w:t>
      </w:r>
      <w:r>
        <w:rPr>
          <w:rFonts w:hint="eastAsia" w:eastAsia="方正仿宋_GBK" w:cs="方正仿宋_GBK"/>
          <w:sz w:val="32"/>
          <w:szCs w:val="32"/>
        </w:rPr>
        <w:t>先天性心脏病、唐氏综合征、听力障碍、苯丙酮尿症、地中海贫血、神经管缺陷等严重出生缺陷得到有效控制。</w:t>
      </w:r>
    </w:p>
    <w:p w14:paraId="518D139A">
      <w:pPr>
        <w:topLinePunct/>
        <w:spacing w:line="560" w:lineRule="exact"/>
        <w:ind w:firstLine="630" w:firstLineChars="196"/>
        <w:rPr>
          <w:rFonts w:eastAsia="方正仿宋_GBK"/>
          <w:sz w:val="32"/>
          <w:szCs w:val="32"/>
        </w:rPr>
      </w:pPr>
      <w:r>
        <w:rPr>
          <w:rFonts w:hint="eastAsia" w:eastAsia="方正仿宋_GBK" w:cs="方正仿宋_GBK"/>
          <w:b/>
          <w:bCs/>
          <w:sz w:val="32"/>
          <w:szCs w:val="32"/>
        </w:rPr>
        <w:t>发展婴幼儿照护服务。</w:t>
      </w:r>
      <w:r>
        <w:rPr>
          <w:rFonts w:hint="eastAsia" w:eastAsia="方正仿宋_GBK" w:cs="方正仿宋_GBK"/>
          <w:sz w:val="32"/>
          <w:szCs w:val="32"/>
        </w:rPr>
        <w:t>落实好有利于婴幼儿照护服务发展的土地、住房、财政、金融、人才、税收等支持政策，支持多种形式的婴幼儿照护服务专业化、规范化发展。健全完善托育服务机构设置、登记备案、信息公示和质量评估等相关标准规范，推进与市场监管、民政、编制等部门信息互通共享，严把婴幼儿照</w:t>
      </w:r>
      <w:bookmarkStart w:id="18" w:name="page27"/>
      <w:bookmarkEnd w:id="18"/>
      <w:r>
        <w:rPr>
          <w:rFonts w:hint="eastAsia" w:eastAsia="方正仿宋_GBK" w:cs="方正仿宋_GBK"/>
          <w:sz w:val="32"/>
          <w:szCs w:val="32"/>
        </w:rPr>
        <w:t>护服务机构准入关，探索服务指标跟踪监测。制定完善婴幼儿照护服务人才培养、培训规划和标准，加强婴幼儿照护服务人才培养，推动从业人员职业技能登记评价，建立综合监管机制，加强社会监督和行业自律，提高保育保教质量和水平。做好普惠托育服务项目谋划、储备、申报工作，积极争取中央预算内投资，支持公办托育服务中心，支持企事业单位等社会力量举办托育服务机构，推动建设一批方便可及、价格可接受、质量有保障的普惠托育服务机构。支持有条件的用人单位以单独或联合相关单位共同举办的方式，在工作场所为职工提供福利性婴幼儿照护服务，有条件的可向附近居民开放。鼓励国有企业等主体积极参与政府推动的普惠托育服务体系建设。拓展基层公共卫生机构照护指导服务功能，完善居住社区婴幼儿活动场所和服务设施，建立社区普惠托育中心，以社区家庭为主要服务对象，提供全日托、半日托、计时托、临时托等多样化的普惠托育服务和家庭婴幼儿早期发展专业指导服务，支持隔代照料、家庭互助等照护模式。鼓励符合条件的社会组织承接社区公益性婴幼儿照护服务。推进幼儿园发展托育一体化服务，鼓励和支持有条件的幼儿园开设托班，招收</w:t>
      </w:r>
      <w:r>
        <w:rPr>
          <w:rFonts w:eastAsia="方正仿宋_GBK"/>
          <w:sz w:val="32"/>
          <w:szCs w:val="32"/>
        </w:rPr>
        <w:t>2</w:t>
      </w:r>
      <w:r>
        <w:rPr>
          <w:rFonts w:hint="eastAsia" w:eastAsia="方正仿宋_GBK" w:cs="方正仿宋_GBK"/>
          <w:sz w:val="32"/>
          <w:szCs w:val="32"/>
        </w:rPr>
        <w:t>至</w:t>
      </w:r>
      <w:r>
        <w:rPr>
          <w:rFonts w:eastAsia="方正仿宋_GBK"/>
          <w:sz w:val="32"/>
          <w:szCs w:val="32"/>
        </w:rPr>
        <w:t>3</w:t>
      </w:r>
      <w:r>
        <w:rPr>
          <w:rFonts w:hint="eastAsia" w:eastAsia="方正仿宋_GBK" w:cs="方正仿宋_GBK"/>
          <w:sz w:val="32"/>
          <w:szCs w:val="32"/>
        </w:rPr>
        <w:t>岁幼儿。多点发力，培育形成一批具有示范引领和辐射带动效应的婴幼儿照护服务机构。到</w:t>
      </w:r>
      <w:r>
        <w:rPr>
          <w:rFonts w:eastAsia="方正仿宋_GBK"/>
          <w:sz w:val="32"/>
          <w:szCs w:val="32"/>
        </w:rPr>
        <w:t>2025</w:t>
      </w:r>
      <w:r>
        <w:rPr>
          <w:rFonts w:hint="eastAsia" w:eastAsia="方正仿宋_GBK" w:cs="方正仿宋_GBK"/>
          <w:sz w:val="32"/>
          <w:szCs w:val="32"/>
        </w:rPr>
        <w:t>年，力争建设</w:t>
      </w:r>
      <w:r>
        <w:rPr>
          <w:rFonts w:eastAsia="方正仿宋_GBK"/>
          <w:sz w:val="32"/>
          <w:szCs w:val="32"/>
        </w:rPr>
        <w:t>1</w:t>
      </w:r>
      <w:r>
        <w:rPr>
          <w:rFonts w:hint="eastAsia" w:eastAsia="方正仿宋_GBK" w:cs="方正仿宋_GBK"/>
          <w:sz w:val="32"/>
          <w:szCs w:val="32"/>
        </w:rPr>
        <w:t>所婴幼儿照护服务指导中心（县级综合托育服务中心），争取在</w:t>
      </w:r>
      <w:r>
        <w:rPr>
          <w:rFonts w:eastAsia="方正仿宋_GBK"/>
          <w:sz w:val="32"/>
          <w:szCs w:val="32"/>
        </w:rPr>
        <w:t>50%</w:t>
      </w:r>
      <w:r>
        <w:rPr>
          <w:rFonts w:hint="eastAsia" w:eastAsia="方正仿宋_GBK" w:cs="方正仿宋_GBK"/>
          <w:sz w:val="32"/>
          <w:szCs w:val="32"/>
        </w:rPr>
        <w:t>的社区建成普惠托育机构。支持</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托育</w:t>
      </w:r>
      <w:r>
        <w:rPr>
          <w:rFonts w:eastAsia="方正仿宋_GBK"/>
          <w:sz w:val="32"/>
          <w:szCs w:val="32"/>
        </w:rPr>
        <w:t>”</w:t>
      </w:r>
      <w:r>
        <w:rPr>
          <w:rFonts w:hint="eastAsia" w:eastAsia="方正仿宋_GBK" w:cs="方正仿宋_GBK"/>
          <w:sz w:val="32"/>
          <w:szCs w:val="32"/>
        </w:rPr>
        <w:t>发展，支持优质机构、行业协会开发公益课程，</w:t>
      </w:r>
      <w:bookmarkStart w:id="19" w:name="page28"/>
      <w:bookmarkEnd w:id="19"/>
      <w:r>
        <w:rPr>
          <w:rFonts w:hint="eastAsia" w:eastAsia="方正仿宋_GBK" w:cs="方正仿宋_GBK"/>
          <w:sz w:val="32"/>
          <w:szCs w:val="32"/>
        </w:rPr>
        <w:t>打造一批关键共性技术的互联网、移动网络平台及直播教室，开展在线父母课堂、在线家庭教育咨询等服务，帮助家庭成员提高照护能力。鼓励保险机构开发相关责任险及托育机构运营相关保险。</w:t>
      </w:r>
    </w:p>
    <w:p w14:paraId="0C9ADB31">
      <w:pPr>
        <w:topLinePunct/>
        <w:spacing w:line="560" w:lineRule="exact"/>
        <w:ind w:firstLine="630" w:firstLineChars="196"/>
        <w:rPr>
          <w:rFonts w:eastAsia="方正仿宋_GBK"/>
          <w:sz w:val="32"/>
          <w:szCs w:val="32"/>
        </w:rPr>
      </w:pPr>
      <w:r>
        <w:rPr>
          <w:rFonts w:hint="eastAsia" w:eastAsia="方正仿宋_GBK" w:cs="方正仿宋_GBK"/>
          <w:b/>
          <w:bCs/>
          <w:sz w:val="32"/>
          <w:szCs w:val="32"/>
        </w:rPr>
        <w:t>保障妇女儿童健康。</w:t>
      </w:r>
      <w:r>
        <w:rPr>
          <w:rFonts w:hint="eastAsia" w:eastAsia="方正仿宋_GBK" w:cs="方正仿宋_GBK"/>
          <w:sz w:val="32"/>
          <w:szCs w:val="32"/>
        </w:rPr>
        <w:t>实施母婴安全行动提升计划、健康儿童行动提升计划，全面落实母婴安全五项制度。加强危重孕产妇和新生儿救治网络建设，全面提升危重孕产妇和新生儿救治能力，控制全县孕产妇死亡率和婴儿死亡率持续稳中有降。加强孕产妇</w:t>
      </w:r>
      <w:r>
        <w:rPr>
          <w:rFonts w:eastAsia="方正仿宋_GBK"/>
          <w:sz w:val="32"/>
          <w:szCs w:val="32"/>
        </w:rPr>
        <w:t>7</w:t>
      </w:r>
      <w:r>
        <w:rPr>
          <w:rFonts w:hint="eastAsia" w:eastAsia="方正仿宋_GBK" w:cs="方正仿宋_GBK"/>
          <w:sz w:val="32"/>
          <w:szCs w:val="32"/>
        </w:rPr>
        <w:t>岁以下儿童保健管理，管理率均保持在</w:t>
      </w:r>
      <w:r>
        <w:rPr>
          <w:rFonts w:eastAsia="方正仿宋_GBK"/>
          <w:sz w:val="32"/>
          <w:szCs w:val="32"/>
        </w:rPr>
        <w:t>90%</w:t>
      </w:r>
      <w:r>
        <w:rPr>
          <w:rFonts w:hint="eastAsia" w:eastAsia="方正仿宋_GBK" w:cs="方正仿宋_GBK"/>
          <w:sz w:val="32"/>
          <w:szCs w:val="32"/>
        </w:rPr>
        <w:t>以上。实施妇幼健康促进行动，深入开展妇幼保健特色专科建设。开展妇女宫颈癌、乳腺癌</w:t>
      </w:r>
      <w:r>
        <w:rPr>
          <w:rFonts w:eastAsia="方正仿宋_GBK"/>
          <w:sz w:val="32"/>
          <w:szCs w:val="32"/>
        </w:rPr>
        <w:t>“</w:t>
      </w:r>
      <w:r>
        <w:rPr>
          <w:rFonts w:hint="eastAsia" w:eastAsia="方正仿宋_GBK" w:cs="方正仿宋_GBK"/>
          <w:sz w:val="32"/>
          <w:szCs w:val="32"/>
        </w:rPr>
        <w:t>两癌</w:t>
      </w:r>
      <w:r>
        <w:rPr>
          <w:rFonts w:eastAsia="方正仿宋_GBK"/>
          <w:sz w:val="32"/>
          <w:szCs w:val="32"/>
        </w:rPr>
        <w:t>”</w:t>
      </w:r>
      <w:r>
        <w:rPr>
          <w:rFonts w:hint="eastAsia" w:eastAsia="方正仿宋_GBK" w:cs="方正仿宋_GBK"/>
          <w:sz w:val="32"/>
          <w:szCs w:val="32"/>
        </w:rPr>
        <w:t>筛查，提高妇女常见病筛查率和早诊早治率。实施母乳喂养促进行动，倡导母乳喂养，加强母乳代用品销售监管。加强婴幼儿辅食添加指导，降低儿童贫血患病率和生长迟缓率。加大儿童贫血、肥胖、视力不良、龋齿、心理行为发育异常、听力障碍、脊柱侧弯等风险因素和疾病的筛查、诊断和干预力度，继续开展儿童营养改善等项目。开展婴幼儿养育照护和学龄前儿童营养专业指导，促进儿童早期发展。推动儿童保健门诊标准化、规范化建设，做好儿童健康管理和指导。改善妇幼保健机构设施设备条件，开展妇幼保健机构等级评审工作，推进妇幼保健机构标准化建设。</w:t>
      </w:r>
      <w:bookmarkStart w:id="20" w:name="page29"/>
      <w:bookmarkEnd w:id="20"/>
    </w:p>
    <w:p w14:paraId="56055549">
      <w:pPr>
        <w:topLinePunct/>
        <w:spacing w:line="560" w:lineRule="exact"/>
        <w:ind w:firstLine="630" w:firstLineChars="196"/>
        <w:rPr>
          <w:rFonts w:eastAsia="方正仿宋_GBK"/>
          <w:sz w:val="32"/>
          <w:szCs w:val="32"/>
        </w:rPr>
      </w:pPr>
      <w:r>
        <w:rPr>
          <w:rFonts w:hint="eastAsia" w:eastAsia="方正仿宋_GBK" w:cs="方正仿宋_GBK"/>
          <w:b/>
          <w:bCs/>
          <w:sz w:val="32"/>
          <w:szCs w:val="32"/>
        </w:rPr>
        <w:t>强化青少年健康服务。</w:t>
      </w:r>
      <w:r>
        <w:rPr>
          <w:rFonts w:hint="eastAsia" w:eastAsia="方正仿宋_GBK" w:cs="方正仿宋_GBK"/>
          <w:sz w:val="32"/>
          <w:szCs w:val="32"/>
        </w:rPr>
        <w:t>加强学生体质健康管理，培养青少年体育爱好，提高身体素质。加强学校健康教育，开展学生生理、心理卫生和健康行为教育、生命教育和食品药品安全等健康科普宣传。开展学生健康影响因素监测与评价，落实食品安全、传染病防控、学校卫生、青少年控烟措施。全县儿童青少年总体近视率保持逐年下降。以青少年等为重点，开展性健康、性心理、性道德和性安全的宣传教育和干预，加强对性传播高危行为人群的综合干预，减少意外妊娠和性相关疾病传播。</w:t>
      </w:r>
    </w:p>
    <w:p w14:paraId="2C8A8C9F">
      <w:pPr>
        <w:topLinePunct/>
        <w:spacing w:line="560" w:lineRule="exact"/>
        <w:ind w:firstLine="630" w:firstLineChars="196"/>
        <w:rPr>
          <w:rFonts w:eastAsia="方正仿宋_GBK"/>
          <w:sz w:val="32"/>
          <w:szCs w:val="32"/>
        </w:rPr>
      </w:pPr>
      <w:r>
        <w:rPr>
          <w:rFonts w:hint="eastAsia" w:eastAsia="方正仿宋_GBK" w:cs="方正仿宋_GBK"/>
          <w:b/>
          <w:bCs/>
          <w:sz w:val="32"/>
          <w:szCs w:val="32"/>
        </w:rPr>
        <w:t>强化老年健康服务。</w:t>
      </w:r>
      <w:r>
        <w:rPr>
          <w:rFonts w:hint="eastAsia" w:eastAsia="方正仿宋_GBK" w:cs="方正仿宋_GBK"/>
          <w:sz w:val="32"/>
          <w:szCs w:val="32"/>
        </w:rPr>
        <w:t>做好老年健康教育工作，加强老年健康教育科普工作，开展老年人健康素养促进项目。加强老年期重点疾病的早期筛查。实施老年人失能预防与干预项目、老年人心理关爱项目，开展老年口腔健康行动、老年营养改善行动和老年痴呆防治行动，延缓功能衰退，促进身心健康。到十四五末，</w:t>
      </w:r>
      <w:r>
        <w:rPr>
          <w:rFonts w:eastAsia="方正仿宋_GBK"/>
          <w:sz w:val="32"/>
          <w:szCs w:val="32"/>
        </w:rPr>
        <w:t xml:space="preserve">60 </w:t>
      </w:r>
      <w:r>
        <w:rPr>
          <w:rFonts w:hint="eastAsia" w:eastAsia="方正仿宋_GBK" w:cs="方正仿宋_GBK"/>
          <w:sz w:val="32"/>
          <w:szCs w:val="32"/>
        </w:rPr>
        <w:t>岁及以上老年人城乡社区规范化健康管理服务率达到</w:t>
      </w:r>
      <w:r>
        <w:rPr>
          <w:rFonts w:eastAsia="方正仿宋_GBK"/>
          <w:sz w:val="32"/>
          <w:szCs w:val="32"/>
        </w:rPr>
        <w:t xml:space="preserve"> 65%</w:t>
      </w:r>
      <w:r>
        <w:rPr>
          <w:rFonts w:hint="eastAsia" w:eastAsia="方正仿宋_GBK" w:cs="方正仿宋_GBK"/>
          <w:sz w:val="32"/>
          <w:szCs w:val="32"/>
        </w:rPr>
        <w:t>以上。强化疾病预防控制机构和基层医疗卫生机构作用，指导开展老年期重点疾病预防控制工作，促进老年健康服务向社区和家庭延伸。推动老年医疗服务从以疾病为中心的单病种模式向以患者为中心的多病共治模式转变，提高综合性医院老年医学科和老年医院多病共治能力。加强二级及以上综合性医院老年医学科建设，加快老年友善医疗机构建设。提升长期照护和安宁疗护服务水平。建立健康教育、预防保健、疾病诊治、康复护理、长期照护、安宁疗护</w:t>
      </w:r>
      <w:r>
        <w:rPr>
          <w:rFonts w:eastAsia="方正仿宋_GBK"/>
          <w:sz w:val="32"/>
          <w:szCs w:val="32"/>
        </w:rPr>
        <w:t>“</w:t>
      </w:r>
      <w:r>
        <w:rPr>
          <w:rFonts w:hint="eastAsia" w:eastAsia="方正仿宋_GBK" w:cs="方正仿宋_GBK"/>
          <w:sz w:val="32"/>
          <w:szCs w:val="32"/>
        </w:rPr>
        <w:t>六位一体</w:t>
      </w:r>
      <w:r>
        <w:rPr>
          <w:rFonts w:eastAsia="方正仿宋_GBK"/>
          <w:sz w:val="32"/>
          <w:szCs w:val="32"/>
        </w:rPr>
        <w:t>”</w:t>
      </w:r>
      <w:r>
        <w:rPr>
          <w:rFonts w:hint="eastAsia" w:eastAsia="方正仿宋_GBK" w:cs="方正仿宋_GBK"/>
          <w:sz w:val="32"/>
          <w:szCs w:val="32"/>
        </w:rPr>
        <w:t>综合连续的老年健康服务体系。健全治疗、康</w:t>
      </w:r>
      <w:bookmarkStart w:id="21" w:name="page30"/>
      <w:bookmarkEnd w:id="21"/>
      <w:r>
        <w:rPr>
          <w:rFonts w:hint="eastAsia" w:eastAsia="方正仿宋_GBK" w:cs="方正仿宋_GBK"/>
          <w:sz w:val="32"/>
          <w:szCs w:val="32"/>
        </w:rPr>
        <w:t>复、护理、长期照护、安宁疗护服务链。建立居家社区机构衔接融合的失能老年人长期照护服务体系。加强康复医院、护理院、安宁疗护机构及老年医学中心建设。实施城医、城企联动，支持有一定规模、床位利用率不高的医疗机构转型改扩建为康复医疗机构、护理院、护理中心、老年医学中心。支持社会力量参与新建、建设一批普惠性康复床位。支持综合医院、中医医院、医养结合机构、社区卫生服务中心（站）、乡镇卫生院等机构开设安宁疗护病区或床位。提升二级以上综合性医院开设老年医学科比例。强化老年健康和医养结合人才队伍建设，提升医养结合服务质量和水平。</w:t>
      </w:r>
    </w:p>
    <w:p w14:paraId="1FBB9CDF">
      <w:pPr>
        <w:topLinePunct/>
        <w:spacing w:line="560" w:lineRule="exact"/>
        <w:ind w:firstLine="630" w:firstLineChars="196"/>
        <w:rPr>
          <w:rFonts w:eastAsia="方正仿宋_GBK"/>
          <w:sz w:val="32"/>
          <w:szCs w:val="32"/>
        </w:rPr>
      </w:pPr>
      <w:r>
        <w:rPr>
          <w:rFonts w:hint="eastAsia" w:eastAsia="方正仿宋_GBK" w:cs="方正仿宋_GBK"/>
          <w:b/>
          <w:bCs/>
          <w:sz w:val="32"/>
          <w:szCs w:val="32"/>
        </w:rPr>
        <w:t>加强职业健康服务。</w:t>
      </w:r>
      <w:r>
        <w:rPr>
          <w:rFonts w:hint="eastAsia" w:eastAsia="方正仿宋_GBK" w:cs="方正仿宋_GBK"/>
          <w:sz w:val="32"/>
          <w:szCs w:val="32"/>
        </w:rPr>
        <w:t>以疾病预防控制机构为主干，健全职业病监测评估技术支撑网络，加强重点职业病和职业病危害因素监测、专项调查、职业健康风险评估、职业健康检查、职业病报告、应急处置、职业健康宣传教育与健康促进管理，强化职业病危害源头治理能力。提高职业病诊断救治技术支撑能力。推动职业病标准化康复站建设，提升县级医疗机构职业病救治康复水平。强化职业健康危害源头防控和风险管控，深化重点行业职业病危害专项治理。建立分级分类监管机制，对职业病危害高风险企业实施重点监管。建立健全职业病和职业病危害因素监测评估制度，扩大主动监测范围，工作场所职业病危害因素监测合格率达到</w:t>
      </w:r>
      <w:r>
        <w:rPr>
          <w:rFonts w:eastAsia="方正仿宋_GBK"/>
          <w:sz w:val="32"/>
          <w:szCs w:val="32"/>
        </w:rPr>
        <w:t>85%</w:t>
      </w:r>
      <w:r>
        <w:rPr>
          <w:rFonts w:hint="eastAsia" w:eastAsia="方正仿宋_GBK" w:cs="方正仿宋_GBK"/>
          <w:sz w:val="32"/>
          <w:szCs w:val="32"/>
        </w:rPr>
        <w:t>以上。健全职业病</w:t>
      </w:r>
      <w:bookmarkStart w:id="22" w:name="page31"/>
      <w:bookmarkEnd w:id="22"/>
      <w:r>
        <w:rPr>
          <w:rFonts w:hint="eastAsia" w:eastAsia="方正仿宋_GBK" w:cs="方正仿宋_GBK"/>
          <w:sz w:val="32"/>
          <w:szCs w:val="32"/>
        </w:rPr>
        <w:t>诊断与鉴定制度，进一步优化诊断鉴定程序。强化尘肺病等职业病救治保障，实施分类救治救助，对未参加工伤保险且用人单位不存在或无法确定劳动关系的尘肺病患者按规定落实基本医疗保障和基本生活救助措施。加强职业健康促进。全面提高劳动者职业健康素养，倡导健康工作方式，显著提升工作相关的肌肉骨骼疾病、精神和心理疾病等防治知识普及率，深入开展争做</w:t>
      </w:r>
      <w:r>
        <w:rPr>
          <w:rFonts w:eastAsia="方正仿宋_GBK"/>
          <w:sz w:val="32"/>
          <w:szCs w:val="32"/>
        </w:rPr>
        <w:t>“</w:t>
      </w:r>
      <w:r>
        <w:rPr>
          <w:rFonts w:hint="eastAsia" w:eastAsia="方正仿宋_GBK" w:cs="方正仿宋_GBK"/>
          <w:sz w:val="32"/>
          <w:szCs w:val="32"/>
        </w:rPr>
        <w:t>职业健康达人</w:t>
      </w:r>
      <w:r>
        <w:rPr>
          <w:rFonts w:eastAsia="方正仿宋_GBK"/>
          <w:sz w:val="32"/>
          <w:szCs w:val="32"/>
        </w:rPr>
        <w:t>”</w:t>
      </w:r>
      <w:r>
        <w:rPr>
          <w:rFonts w:hint="eastAsia" w:eastAsia="方正仿宋_GBK" w:cs="方正仿宋_GBK"/>
          <w:sz w:val="32"/>
          <w:szCs w:val="32"/>
        </w:rPr>
        <w:t>活动。推进用人单位依法履行职业病防治等相关法定责任和义务，鼓励用人单位开展职工健康管理和提升企业职业健康管理能力，落实职业病防治主体责任。</w:t>
      </w:r>
    </w:p>
    <w:p w14:paraId="37C888D9">
      <w:pPr>
        <w:pStyle w:val="8"/>
        <w:widowControl w:val="0"/>
        <w:spacing w:line="560" w:lineRule="exact"/>
        <w:ind w:firstLine="630" w:firstLineChars="196"/>
        <w:jc w:val="both"/>
        <w:rPr>
          <w:rFonts w:ascii="Times New Roman" w:hAnsi="Times New Roman" w:eastAsia="方正仿宋_GBK" w:cs="Times New Roman"/>
          <w:color w:val="FF0000"/>
        </w:rPr>
      </w:pPr>
      <w:r>
        <w:rPr>
          <w:rFonts w:hint="eastAsia" w:ascii="Times New Roman" w:hAnsi="Times New Roman" w:eastAsia="方正仿宋_GBK" w:cs="方正仿宋_GBK"/>
          <w:b/>
          <w:bCs/>
          <w:sz w:val="32"/>
          <w:szCs w:val="32"/>
        </w:rPr>
        <w:t>加强残疾康复服务。</w:t>
      </w:r>
      <w:r>
        <w:rPr>
          <w:rFonts w:hint="eastAsia" w:ascii="Times New Roman" w:hAnsi="Times New Roman" w:eastAsia="方正仿宋_GBK" w:cs="方正仿宋_GBK"/>
          <w:sz w:val="32"/>
          <w:szCs w:val="32"/>
        </w:rPr>
        <w:t>加强残疾人健康管理，推进残疾人家庭医生签约服务。实施残疾预防行动计划，强化残疾预防宣传工作，开展全人群、全生命周期的残疾预防。推进</w:t>
      </w:r>
      <w:r>
        <w:rPr>
          <w:rFonts w:ascii="Times New Roman" w:hAnsi="Times New Roman" w:eastAsia="方正仿宋_GBK" w:cs="Times New Roman"/>
          <w:sz w:val="32"/>
          <w:szCs w:val="32"/>
        </w:rPr>
        <w:t>0-6</w:t>
      </w:r>
      <w:r>
        <w:rPr>
          <w:rFonts w:hint="eastAsia" w:ascii="Times New Roman" w:hAnsi="Times New Roman" w:eastAsia="方正仿宋_GBK" w:cs="方正仿宋_GBK"/>
          <w:sz w:val="32"/>
          <w:szCs w:val="32"/>
        </w:rPr>
        <w:t>岁儿童残疾筛查、康复救助，建立完善筛查、诊断、康复、救助衔接的工作机制，对筛查出的残疾儿童给予早期干预。加强残疾人心理健康工作，开展残疾人健康状况评估。开展防盲治盲工作，加强眼健康管理。加强防聋治聋工作，提升耳与听力健康水平。提升和改善残疾人医疗康复服务，完善医疗机构无障碍设施，强化残疾人服务设施和综合服务能力建设，为残疾人提供就医便利，提升康复医疗、康复训练、辅助器具适配等服务质量。提升县级综合医院康复服务能力。推动康复与教育、残疾与健康、医疗与康复等融合发展，提升残疾人健康服务水平。</w:t>
      </w:r>
    </w:p>
    <w:p w14:paraId="265A2DBB">
      <w:pPr>
        <w:spacing w:line="560" w:lineRule="exact"/>
        <w:ind w:firstLine="630" w:firstLineChars="196"/>
        <w:rPr>
          <w:rFonts w:hint="eastAsia" w:eastAsia="方正仿宋_GBK" w:cs="方正仿宋_GBK"/>
          <w:sz w:val="32"/>
          <w:szCs w:val="32"/>
        </w:rPr>
      </w:pPr>
      <w:r>
        <w:rPr>
          <w:rFonts w:hint="eastAsia" w:eastAsia="方正仿宋_GBK" w:cs="方正仿宋_GBK"/>
          <w:b/>
          <w:bCs/>
          <w:sz w:val="32"/>
          <w:szCs w:val="32"/>
        </w:rPr>
        <w:t>巩固健康扶贫成果。</w:t>
      </w:r>
      <w:r>
        <w:rPr>
          <w:rFonts w:hint="eastAsia" w:eastAsia="方正仿宋_GBK" w:cs="方正仿宋_GBK"/>
          <w:sz w:val="32"/>
          <w:szCs w:val="32"/>
        </w:rPr>
        <w:t>落实</w:t>
      </w:r>
      <w:r>
        <w:rPr>
          <w:rFonts w:eastAsia="方正仿宋_GBK"/>
          <w:sz w:val="32"/>
          <w:szCs w:val="32"/>
        </w:rPr>
        <w:t>“</w:t>
      </w:r>
      <w:r>
        <w:rPr>
          <w:rFonts w:hint="eastAsia" w:eastAsia="方正仿宋_GBK" w:cs="方正仿宋_GBK"/>
          <w:sz w:val="32"/>
          <w:szCs w:val="32"/>
        </w:rPr>
        <w:t>四个不摘</w:t>
      </w:r>
      <w:r>
        <w:rPr>
          <w:rFonts w:eastAsia="方正仿宋_GBK"/>
          <w:sz w:val="32"/>
          <w:szCs w:val="32"/>
        </w:rPr>
        <w:t>”</w:t>
      </w:r>
      <w:r>
        <w:rPr>
          <w:rFonts w:hint="eastAsia" w:eastAsia="方正仿宋_GBK" w:cs="方正仿宋_GBK"/>
          <w:sz w:val="32"/>
          <w:szCs w:val="32"/>
        </w:rPr>
        <w:t>，保持政策总体稳定，确保基本医疗有保障。把巩固拓展健康扶贫成果与乡村振兴有效衔接，与深化医药卫生体制改革、做好重大疾病防控和公共卫生工作、促进人口均衡发展与健康老龄化、推动中医药振兴发展、加强人才队伍建设、基层卫生服务能力提升等重点工作融合推进，提升已脱贫地区卫生健康服务能力和群众健康水平。健全防止因病返贫动态监测和帮扶机制，将相关信息及时反馈、预警核实。对脱贫不稳定户、边缘易致贫人口、突发严重困难人口大病、重病救治情况实施动态监测。落实各项医疗保障政策和社会救助、慈善帮扶等措施。持续推进脱贫地区乡村医疗卫生服务体系达标提质建设，支持采用巡诊派驻方式保障农村医疗卫生服务覆盖，确保乡村医疗卫生机构和人员</w:t>
      </w:r>
      <w:r>
        <w:rPr>
          <w:rFonts w:eastAsia="方正仿宋_GBK"/>
          <w:sz w:val="32"/>
          <w:szCs w:val="32"/>
        </w:rPr>
        <w:t>“</w:t>
      </w:r>
      <w:r>
        <w:rPr>
          <w:rFonts w:hint="eastAsia" w:eastAsia="方正仿宋_GBK" w:cs="方正仿宋_GBK"/>
          <w:sz w:val="32"/>
          <w:szCs w:val="32"/>
        </w:rPr>
        <w:t>空白点</w:t>
      </w:r>
      <w:r>
        <w:rPr>
          <w:rFonts w:eastAsia="方正仿宋_GBK"/>
          <w:sz w:val="32"/>
          <w:szCs w:val="32"/>
        </w:rPr>
        <w:t>”</w:t>
      </w:r>
      <w:r>
        <w:rPr>
          <w:rFonts w:hint="eastAsia" w:eastAsia="方正仿宋_GBK" w:cs="方正仿宋_GBK"/>
          <w:sz w:val="32"/>
          <w:szCs w:val="32"/>
        </w:rPr>
        <w:t>持续动态清零，巩固拓展健康扶贫成果。</w:t>
      </w:r>
    </w:p>
    <w:p w14:paraId="0287EDAE">
      <w:pPr>
        <w:pStyle w:val="2"/>
      </w:pPr>
    </w:p>
    <w:p w14:paraId="291364B7">
      <w:pPr>
        <w:spacing w:line="560" w:lineRule="exact"/>
        <w:ind w:left="780"/>
        <w:rPr>
          <w:rFonts w:ascii="楷体" w:hAnsi="楷体" w:eastAsia="楷体"/>
          <w:b/>
          <w:bCs/>
          <w:sz w:val="32"/>
          <w:szCs w:val="32"/>
        </w:rPr>
      </w:pPr>
      <w:r>
        <w:pict>
          <v:shape id="_x0000_s1029" o:spid="_x0000_s1029" o:spt="202" type="#_x0000_t202" style="position:absolute;left:0pt;margin-left:0pt;margin-top:9pt;height:178.2pt;width:441pt;z-index:-251652096;mso-width-relative:page;mso-height-relative:page;" coordsize="21600,21600">
            <v:path/>
            <v:fill focussize="0,0"/>
            <v:stroke weight="0.5pt" joinstyle="round"/>
            <v:imagedata o:title=""/>
            <o:lock v:ext="edit"/>
            <v:textbox inset="5mm,3mm,5mm,3mm">
              <w:txbxContent>
                <w:p w14:paraId="0DE4A304">
                  <w:pPr>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 xml:space="preserve"> 3</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保障生命全周期重大项目</w:t>
                  </w:r>
                </w:p>
                <w:p w14:paraId="719BFEA2">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妇幼健康保障和能力提升工程：</w:t>
                  </w:r>
                  <w:r>
                    <w:rPr>
                      <w:rFonts w:hint="eastAsia" w:ascii="仿宋_GB2312" w:hAnsi="仿宋_GB2312" w:eastAsia="仿宋_GB2312" w:cs="仿宋_GB2312"/>
                      <w:sz w:val="24"/>
                      <w:szCs w:val="24"/>
                    </w:rPr>
                    <w:t>支持县妇幼保健计划生育服务中心妇儿产科建设，实施妇幼保健机构能力提升工程项目。</w:t>
                  </w:r>
                </w:p>
                <w:p w14:paraId="07C6E1D8">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老龄健康服务保障项目：</w:t>
                  </w:r>
                  <w:r>
                    <w:rPr>
                      <w:rFonts w:hint="eastAsia" w:ascii="仿宋_GB2312" w:hAnsi="仿宋_GB2312" w:eastAsia="仿宋_GB2312" w:cs="仿宋_GB2312"/>
                      <w:sz w:val="24"/>
                      <w:szCs w:val="24"/>
                    </w:rPr>
                    <w:t>实施医养结合能力提升工程，推进康复服务与普惠性养老城企、城医联动，建设一批康复、护理机构和社区医养结合中心。加强二级及以上医疗机构康复、护理、安宁老疗护中心老年医学科建设。</w:t>
                  </w:r>
                </w:p>
                <w:p w14:paraId="07DC04CB">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托育服务机构建设项目：</w:t>
                  </w:r>
                  <w:r>
                    <w:rPr>
                      <w:rFonts w:hint="eastAsia" w:ascii="仿宋_GB2312" w:hAnsi="仿宋_GB2312" w:eastAsia="仿宋_GB2312" w:cs="仿宋_GB2312"/>
                      <w:sz w:val="24"/>
                      <w:szCs w:val="24"/>
                    </w:rPr>
                    <w:t>实施县级托育中心和托育机构建设项目及依托民营机构的托育服务机构改扩建项目。通过政府支持、部门协作、社会参与自建、共建托幼服务机构，建设</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家示范性托育服务机构。</w:t>
                  </w:r>
                </w:p>
              </w:txbxContent>
            </v:textbox>
          </v:shape>
        </w:pict>
      </w:r>
    </w:p>
    <w:p w14:paraId="5B2065A3">
      <w:pPr>
        <w:spacing w:line="560" w:lineRule="exact"/>
        <w:ind w:left="780"/>
        <w:rPr>
          <w:rFonts w:ascii="楷体" w:hAnsi="楷体" w:eastAsia="楷体"/>
          <w:b/>
          <w:bCs/>
          <w:sz w:val="32"/>
          <w:szCs w:val="32"/>
        </w:rPr>
      </w:pPr>
    </w:p>
    <w:p w14:paraId="6B8BF0CF">
      <w:pPr>
        <w:spacing w:line="560" w:lineRule="exact"/>
        <w:rPr>
          <w:rFonts w:ascii="楷体" w:hAnsi="楷体" w:eastAsia="楷体"/>
          <w:b/>
          <w:bCs/>
          <w:sz w:val="32"/>
          <w:szCs w:val="32"/>
        </w:rPr>
      </w:pPr>
    </w:p>
    <w:p w14:paraId="6115B974">
      <w:pPr>
        <w:spacing w:line="560" w:lineRule="exact"/>
        <w:ind w:firstLine="643" w:firstLineChars="200"/>
        <w:rPr>
          <w:rFonts w:ascii="楷体" w:hAnsi="楷体" w:eastAsia="楷体"/>
          <w:b/>
          <w:bCs/>
          <w:sz w:val="32"/>
          <w:szCs w:val="32"/>
        </w:rPr>
      </w:pPr>
    </w:p>
    <w:p w14:paraId="74591E0C">
      <w:pPr>
        <w:spacing w:line="560" w:lineRule="exact"/>
        <w:rPr>
          <w:rFonts w:ascii="楷体" w:hAnsi="楷体" w:eastAsia="楷体"/>
          <w:b/>
          <w:bCs/>
          <w:sz w:val="32"/>
          <w:szCs w:val="32"/>
        </w:rPr>
      </w:pPr>
    </w:p>
    <w:p w14:paraId="752C7AFE">
      <w:pPr>
        <w:spacing w:line="560" w:lineRule="exact"/>
        <w:rPr>
          <w:rFonts w:ascii="楷体" w:hAnsi="楷体" w:eastAsia="楷体"/>
          <w:b/>
          <w:bCs/>
          <w:sz w:val="32"/>
          <w:szCs w:val="32"/>
        </w:rPr>
      </w:pPr>
    </w:p>
    <w:p w14:paraId="2DDB9F48">
      <w:pPr>
        <w:spacing w:line="540" w:lineRule="exact"/>
        <w:ind w:firstLine="628" w:firstLineChars="196"/>
        <w:rPr>
          <w:rFonts w:ascii="??_GB2312" w:hAnsi="楷体" w:eastAsia="Times New Roman"/>
          <w:b/>
          <w:bCs/>
          <w:sz w:val="32"/>
          <w:szCs w:val="32"/>
        </w:rPr>
      </w:pPr>
    </w:p>
    <w:p w14:paraId="4DC6F1B9">
      <w:pPr>
        <w:spacing w:line="560" w:lineRule="exact"/>
        <w:ind w:firstLine="630" w:firstLineChars="196"/>
        <w:rPr>
          <w:rFonts w:eastAsia="方正仿宋_GBK"/>
          <w:b/>
          <w:bCs/>
          <w:sz w:val="32"/>
          <w:szCs w:val="32"/>
        </w:rPr>
      </w:pPr>
      <w:r>
        <w:rPr>
          <w:rFonts w:hint="eastAsia" w:eastAsia="方正仿宋_GBK" w:cs="方正仿宋_GBK"/>
          <w:b/>
          <w:bCs/>
          <w:sz w:val="32"/>
          <w:szCs w:val="32"/>
        </w:rPr>
        <w:t>（四）提高医疗卫生服务质量</w:t>
      </w:r>
    </w:p>
    <w:p w14:paraId="4B1862DE">
      <w:pPr>
        <w:spacing w:line="560" w:lineRule="exact"/>
        <w:ind w:firstLine="627" w:firstLineChars="200"/>
        <w:rPr>
          <w:rFonts w:eastAsia="方正仿宋_GBK"/>
          <w:spacing w:val="-4"/>
          <w:sz w:val="32"/>
          <w:szCs w:val="32"/>
        </w:rPr>
      </w:pPr>
      <w:r>
        <w:rPr>
          <w:rFonts w:hint="eastAsia" w:eastAsia="方正仿宋_GBK" w:cs="方正仿宋_GBK"/>
          <w:b/>
          <w:bCs/>
          <w:spacing w:val="-4"/>
          <w:sz w:val="32"/>
          <w:szCs w:val="32"/>
        </w:rPr>
        <w:t>构建优质高效医疗服务体系。</w:t>
      </w:r>
      <w:r>
        <w:rPr>
          <w:rFonts w:hint="eastAsia" w:eastAsia="方正仿宋_GBK" w:cs="方正仿宋_GBK"/>
          <w:spacing w:val="-4"/>
          <w:sz w:val="32"/>
          <w:szCs w:val="32"/>
        </w:rPr>
        <w:t>改善县级医疗机构业务用房条件，更新换代医疗装备，完善保障设施，提升县级医院救治能力。发展康复医疗服务体系。加快完善城市社区卫生服务体系，提升乡镇卫生院综合服务能力，夯实基层医疗卫生服务网底。</w:t>
      </w:r>
    </w:p>
    <w:p w14:paraId="70AF8DB9">
      <w:pPr>
        <w:spacing w:line="560" w:lineRule="exact"/>
        <w:ind w:firstLine="643" w:firstLineChars="200"/>
        <w:rPr>
          <w:rFonts w:eastAsia="方正仿宋_GBK"/>
          <w:sz w:val="32"/>
          <w:szCs w:val="32"/>
        </w:rPr>
      </w:pPr>
      <w:r>
        <w:rPr>
          <w:rFonts w:hint="eastAsia" w:eastAsia="方正仿宋_GBK" w:cs="方正仿宋_GBK"/>
          <w:b/>
          <w:bCs/>
          <w:sz w:val="32"/>
          <w:szCs w:val="32"/>
        </w:rPr>
        <w:t>推进医疗服务提档升级。</w:t>
      </w:r>
      <w:r>
        <w:rPr>
          <w:rFonts w:hint="eastAsia" w:eastAsia="方正仿宋_GBK" w:cs="方正仿宋_GBK"/>
          <w:sz w:val="32"/>
          <w:szCs w:val="32"/>
        </w:rPr>
        <w:t>加快推进综合性医院等级评审。提升县级综合医院服务水平，以等级创建促进医疗服务能力提</w:t>
      </w:r>
    </w:p>
    <w:p w14:paraId="7D87EF45">
      <w:pPr>
        <w:spacing w:line="560" w:lineRule="exact"/>
        <w:rPr>
          <w:rFonts w:eastAsia="方正仿宋_GBK"/>
          <w:sz w:val="32"/>
          <w:szCs w:val="32"/>
        </w:rPr>
      </w:pPr>
      <w:r>
        <w:rPr>
          <w:rFonts w:hint="eastAsia" w:eastAsia="方正仿宋_GBK" w:cs="方正仿宋_GBK"/>
          <w:sz w:val="32"/>
          <w:szCs w:val="32"/>
        </w:rPr>
        <w:t>升。构建符合医院业务发展的学科体系，创新学科组织模式和医师资源、床位资源配置模式。着力加强医疗机构专科服务能力建设，</w:t>
      </w:r>
      <w:bookmarkStart w:id="23" w:name="page34"/>
      <w:bookmarkEnd w:id="23"/>
      <w:r>
        <w:rPr>
          <w:rFonts w:hint="eastAsia" w:eastAsia="方正仿宋_GBK" w:cs="方正仿宋_GBK"/>
          <w:sz w:val="32"/>
          <w:szCs w:val="32"/>
        </w:rPr>
        <w:t>重点支持培育一批有特色的学科，成为全区有一定影响的优势学科，带动全县医疗服务水平提升。实施县级医院服务能力提升工程，加强县级医院人才、技术、重点专科等核心竞争力建设，提升县级医院综合服务能力。</w:t>
      </w:r>
    </w:p>
    <w:p w14:paraId="43BA2643">
      <w:pPr>
        <w:spacing w:line="560" w:lineRule="exact"/>
        <w:ind w:firstLine="630" w:firstLineChars="196"/>
        <w:rPr>
          <w:rFonts w:eastAsia="方正仿宋_GBK"/>
          <w:sz w:val="32"/>
          <w:szCs w:val="32"/>
        </w:rPr>
      </w:pPr>
      <w:r>
        <w:rPr>
          <w:rFonts w:hint="eastAsia" w:eastAsia="方正仿宋_GBK" w:cs="方正仿宋_GBK"/>
          <w:b/>
          <w:bCs/>
          <w:sz w:val="32"/>
          <w:szCs w:val="32"/>
        </w:rPr>
        <w:t>夯实基层医疗卫生服务。</w:t>
      </w:r>
      <w:r>
        <w:rPr>
          <w:rFonts w:hint="eastAsia" w:eastAsia="方正仿宋_GBK" w:cs="方正仿宋_GBK"/>
          <w:sz w:val="32"/>
          <w:szCs w:val="32"/>
        </w:rPr>
        <w:t>把基层医疗卫生服务体系纳入乡村振兴战略统筹推进，加大投入，改善基层基础设施条件。优化基层医疗卫生机构功能定位，不断拓展乡镇卫生院和社区卫生服务中心功能，提高常见病、多发病、慢性病门诊、住院服务和传染病防控能力，提高公共卫生服务、健康管理服务水平，逐步达到服务能力基本标准，具备辖区内居民首诊、双向转诊能力，有能力开展的技术和项目不断增加，基层门急诊服务量占比得到提升。健全发展乡村医疗卫生体系，推动乡镇卫生院发展全科医学、中医和口腔等特色专科，推动一批中心乡镇卫生院逐步达到二级医院服务能力，实现基层</w:t>
      </w:r>
      <w:r>
        <w:rPr>
          <w:rFonts w:eastAsia="方正仿宋_GBK"/>
          <w:sz w:val="32"/>
          <w:szCs w:val="32"/>
        </w:rPr>
        <w:t xml:space="preserve"> 100%</w:t>
      </w:r>
      <w:r>
        <w:rPr>
          <w:rFonts w:hint="eastAsia" w:eastAsia="方正仿宋_GBK" w:cs="方正仿宋_GBK"/>
          <w:sz w:val="32"/>
          <w:szCs w:val="32"/>
        </w:rPr>
        <w:t>乡村医疗卫生机构标准化建设，持续提高群众就医可及性。</w:t>
      </w:r>
    </w:p>
    <w:p w14:paraId="56ECAFC9">
      <w:pPr>
        <w:spacing w:line="560" w:lineRule="exact"/>
        <w:ind w:firstLine="627" w:firstLineChars="200"/>
        <w:rPr>
          <w:rFonts w:eastAsia="方正仿宋_GBK"/>
          <w:spacing w:val="-4"/>
          <w:sz w:val="32"/>
          <w:szCs w:val="32"/>
        </w:rPr>
      </w:pPr>
      <w:r>
        <w:rPr>
          <w:rFonts w:hint="eastAsia" w:eastAsia="方正仿宋_GBK" w:cs="方正仿宋_GBK"/>
          <w:b/>
          <w:bCs/>
          <w:spacing w:val="-4"/>
          <w:sz w:val="32"/>
          <w:szCs w:val="32"/>
        </w:rPr>
        <w:t>强化人才队伍建设。</w:t>
      </w:r>
      <w:r>
        <w:rPr>
          <w:rFonts w:hint="eastAsia" w:eastAsia="方正仿宋_GBK" w:cs="方正仿宋_GBK"/>
          <w:spacing w:val="-4"/>
          <w:sz w:val="32"/>
          <w:szCs w:val="32"/>
        </w:rPr>
        <w:t>强化人才引进、培养、激励措施，完善各级各类医疗卫生机构人才队伍建设机制，落实全科医生培养制度，加大全科医生在岗、转岗和规范化培训力度，深入实施同心全科医生特岗计划，多渠道探索乡镇卫生院全科医生培养途径。到</w:t>
      </w:r>
      <w:r>
        <w:rPr>
          <w:rFonts w:eastAsia="方正仿宋_GBK"/>
          <w:spacing w:val="-4"/>
          <w:sz w:val="32"/>
          <w:szCs w:val="32"/>
        </w:rPr>
        <w:t>2025</w:t>
      </w:r>
      <w:r>
        <w:rPr>
          <w:rFonts w:hint="eastAsia" w:eastAsia="方正仿宋_GBK" w:cs="方正仿宋_GBK"/>
          <w:spacing w:val="-4"/>
          <w:sz w:val="32"/>
          <w:szCs w:val="32"/>
        </w:rPr>
        <w:t>年，实现每万常住人口全科医生数</w:t>
      </w:r>
      <w:r>
        <w:rPr>
          <w:rFonts w:eastAsia="方正仿宋_GBK"/>
          <w:color w:val="000000"/>
          <w:spacing w:val="-4"/>
          <w:sz w:val="32"/>
          <w:szCs w:val="32"/>
        </w:rPr>
        <w:t>3</w:t>
      </w:r>
      <w:r>
        <w:rPr>
          <w:rFonts w:hint="eastAsia" w:eastAsia="方正仿宋_GBK" w:cs="方正仿宋_GBK"/>
          <w:color w:val="000000"/>
          <w:spacing w:val="-4"/>
          <w:sz w:val="32"/>
          <w:szCs w:val="32"/>
        </w:rPr>
        <w:t>名</w:t>
      </w:r>
      <w:r>
        <w:rPr>
          <w:rFonts w:hint="eastAsia" w:eastAsia="方正仿宋_GBK" w:cs="方正仿宋_GBK"/>
          <w:spacing w:val="-4"/>
          <w:sz w:val="32"/>
          <w:szCs w:val="32"/>
        </w:rPr>
        <w:t>。提升医护人员培养质量与规模，到</w:t>
      </w:r>
      <w:r>
        <w:rPr>
          <w:rFonts w:eastAsia="方正仿宋_GBK"/>
          <w:spacing w:val="-4"/>
          <w:sz w:val="32"/>
          <w:szCs w:val="32"/>
        </w:rPr>
        <w:t>2025</w:t>
      </w:r>
      <w:r>
        <w:rPr>
          <w:rFonts w:hint="eastAsia" w:eastAsia="方正仿宋_GBK" w:cs="方正仿宋_GBK"/>
          <w:spacing w:val="-4"/>
          <w:sz w:val="32"/>
          <w:szCs w:val="32"/>
        </w:rPr>
        <w:t>年，每千人拥有注册护士数提高到</w:t>
      </w:r>
      <w:r>
        <w:rPr>
          <w:rFonts w:eastAsia="方正仿宋_GBK"/>
          <w:spacing w:val="-4"/>
          <w:sz w:val="32"/>
          <w:szCs w:val="32"/>
        </w:rPr>
        <w:t>3</w:t>
      </w:r>
      <w:r>
        <w:rPr>
          <w:rFonts w:eastAsia="方正仿宋_GBK"/>
          <w:color w:val="000000"/>
          <w:spacing w:val="-4"/>
          <w:sz w:val="32"/>
          <w:szCs w:val="32"/>
        </w:rPr>
        <w:t>.04</w:t>
      </w:r>
      <w:r>
        <w:rPr>
          <w:rFonts w:hint="eastAsia" w:eastAsia="方正仿宋_GBK" w:cs="方正仿宋_GBK"/>
          <w:color w:val="000000"/>
          <w:spacing w:val="-4"/>
          <w:sz w:val="32"/>
          <w:szCs w:val="32"/>
        </w:rPr>
        <w:t>人</w:t>
      </w:r>
      <w:r>
        <w:rPr>
          <w:rFonts w:hint="eastAsia" w:eastAsia="方正仿宋_GBK" w:cs="方正仿宋_GBK"/>
          <w:spacing w:val="-4"/>
          <w:sz w:val="32"/>
          <w:szCs w:val="32"/>
        </w:rPr>
        <w:t>。实施医师区域注册，推动医师多机构执业。加快建立职业化乡村医生队伍，完善劳动报酬和社会保障政策，完善退出机制，健全乡村医生管理制度。培树卫生</w:t>
      </w:r>
      <w:r>
        <w:rPr>
          <w:rFonts w:eastAsia="方正仿宋_GBK"/>
          <w:spacing w:val="-4"/>
          <w:sz w:val="32"/>
          <w:szCs w:val="32"/>
        </w:rPr>
        <w:t>“</w:t>
      </w:r>
      <w:r>
        <w:rPr>
          <w:rFonts w:hint="eastAsia" w:eastAsia="方正仿宋_GBK" w:cs="方正仿宋_GBK"/>
          <w:spacing w:val="-4"/>
          <w:sz w:val="32"/>
          <w:szCs w:val="32"/>
        </w:rPr>
        <w:t>三名</w:t>
      </w:r>
      <w:r>
        <w:rPr>
          <w:rFonts w:eastAsia="方正仿宋_GBK"/>
          <w:spacing w:val="-4"/>
          <w:sz w:val="32"/>
          <w:szCs w:val="32"/>
        </w:rPr>
        <w:t>”</w:t>
      </w:r>
      <w:r>
        <w:rPr>
          <w:rFonts w:hint="eastAsia" w:eastAsia="方正仿宋_GBK" w:cs="方正仿宋_GBK"/>
          <w:spacing w:val="-4"/>
          <w:sz w:val="32"/>
          <w:szCs w:val="32"/>
        </w:rPr>
        <w:t>工程品牌，选树区级、市级、县级</w:t>
      </w:r>
      <w:r>
        <w:rPr>
          <w:rFonts w:eastAsia="方正仿宋_GBK"/>
          <w:spacing w:val="-4"/>
          <w:sz w:val="32"/>
          <w:szCs w:val="32"/>
        </w:rPr>
        <w:t>“</w:t>
      </w:r>
      <w:r>
        <w:rPr>
          <w:rFonts w:hint="eastAsia" w:eastAsia="方正仿宋_GBK" w:cs="方正仿宋_GBK"/>
          <w:spacing w:val="-4"/>
          <w:sz w:val="32"/>
          <w:szCs w:val="32"/>
        </w:rPr>
        <w:t>塞上名医</w:t>
      </w:r>
      <w:r>
        <w:rPr>
          <w:rFonts w:eastAsia="方正仿宋_GBK"/>
          <w:spacing w:val="-4"/>
          <w:sz w:val="32"/>
          <w:szCs w:val="32"/>
        </w:rPr>
        <w:t>”</w:t>
      </w:r>
      <w:r>
        <w:rPr>
          <w:rFonts w:hint="eastAsia" w:eastAsia="方正仿宋_GBK" w:cs="方正仿宋_GBK"/>
          <w:spacing w:val="-4"/>
          <w:sz w:val="32"/>
          <w:szCs w:val="32"/>
        </w:rPr>
        <w:t>典型示范，努力培养具有宁夏领先水平的科技创新团队。围绕重点优势学科，加强全科、儿科、精神科、麻醉、康复等各类急需紧缺专业技术人才队伍建设，加大急需紧缺人才引进力度，依托</w:t>
      </w:r>
      <w:r>
        <w:rPr>
          <w:rFonts w:eastAsia="方正仿宋_GBK"/>
          <w:spacing w:val="-4"/>
          <w:sz w:val="32"/>
          <w:szCs w:val="32"/>
        </w:rPr>
        <w:t>“</w:t>
      </w:r>
      <w:r>
        <w:rPr>
          <w:rFonts w:hint="eastAsia" w:eastAsia="方正仿宋_GBK" w:cs="方正仿宋_GBK"/>
          <w:spacing w:val="-4"/>
          <w:sz w:val="32"/>
          <w:szCs w:val="32"/>
        </w:rPr>
        <w:t>同心助医工程</w:t>
      </w:r>
      <w:r>
        <w:rPr>
          <w:rFonts w:eastAsia="方正仿宋_GBK"/>
          <w:spacing w:val="-4"/>
          <w:sz w:val="32"/>
          <w:szCs w:val="32"/>
        </w:rPr>
        <w:t>”</w:t>
      </w:r>
      <w:r>
        <w:rPr>
          <w:rFonts w:hint="eastAsia" w:eastAsia="方正仿宋_GBK" w:cs="方正仿宋_GBK"/>
          <w:spacing w:val="-4"/>
          <w:sz w:val="32"/>
          <w:szCs w:val="32"/>
        </w:rPr>
        <w:t>扩大柔性引进专家团队作用，全面落实急需紧缺高层次人才就医绿色服务绿色通道措施。强化面向全员的继续医学教育制度，建立健全中青年卫生健康人才培养和支持体系，加强医师定期考核，着力培养一批优秀中青年骨干。加强公共卫生队伍建设，推进公共卫生队伍职业化、规范化建设。提高健康教育工作人员专业素养。</w:t>
      </w:r>
      <w:bookmarkStart w:id="24" w:name="page36"/>
      <w:bookmarkEnd w:id="24"/>
    </w:p>
    <w:p w14:paraId="7EE690EB">
      <w:pPr>
        <w:spacing w:line="560" w:lineRule="exact"/>
        <w:ind w:firstLine="627" w:firstLineChars="200"/>
        <w:rPr>
          <w:rFonts w:eastAsia="方正仿宋_GBK"/>
          <w:spacing w:val="-4"/>
          <w:sz w:val="32"/>
          <w:szCs w:val="32"/>
        </w:rPr>
      </w:pPr>
      <w:r>
        <w:rPr>
          <w:rFonts w:hint="eastAsia" w:eastAsia="方正仿宋_GBK" w:cs="方正仿宋_GBK"/>
          <w:b/>
          <w:bCs/>
          <w:spacing w:val="-4"/>
          <w:sz w:val="32"/>
          <w:szCs w:val="32"/>
        </w:rPr>
        <w:t>加快推进科技创新。</w:t>
      </w:r>
      <w:r>
        <w:rPr>
          <w:rFonts w:hint="eastAsia" w:eastAsia="方正仿宋_GBK" w:cs="方正仿宋_GBK"/>
          <w:spacing w:val="-4"/>
          <w:sz w:val="32"/>
          <w:szCs w:val="32"/>
        </w:rPr>
        <w:t>加大卫生科技人才培养力度。提高医疗卫生机构卫生技术的引进、消化、吸收和再创新能力。聚焦保障人民健康重大需求，保障重大疾病防控，营养与健康、人口老龄化、中医药传承与创新等重大民生与科技问题，加强</w:t>
      </w:r>
      <w:r>
        <w:rPr>
          <w:rFonts w:eastAsia="方正仿宋_GBK"/>
          <w:spacing w:val="-4"/>
          <w:sz w:val="32"/>
          <w:szCs w:val="32"/>
        </w:rPr>
        <w:t>“</w:t>
      </w:r>
      <w:r>
        <w:rPr>
          <w:rFonts w:hint="eastAsia" w:eastAsia="方正仿宋_GBK" w:cs="方正仿宋_GBK"/>
          <w:spacing w:val="-4"/>
          <w:sz w:val="32"/>
          <w:szCs w:val="32"/>
        </w:rPr>
        <w:t>互联网</w:t>
      </w:r>
      <w:r>
        <w:rPr>
          <w:rFonts w:eastAsia="方正仿宋_GBK"/>
          <w:spacing w:val="-4"/>
          <w:sz w:val="32"/>
          <w:szCs w:val="32"/>
        </w:rPr>
        <w:t>+</w:t>
      </w:r>
      <w:r>
        <w:rPr>
          <w:rFonts w:hint="eastAsia" w:eastAsia="方正仿宋_GBK" w:cs="方正仿宋_GBK"/>
          <w:spacing w:val="-4"/>
          <w:sz w:val="32"/>
          <w:szCs w:val="32"/>
        </w:rPr>
        <w:t>健康</w:t>
      </w:r>
      <w:r>
        <w:rPr>
          <w:rFonts w:eastAsia="方正仿宋_GBK"/>
          <w:spacing w:val="-4"/>
          <w:sz w:val="32"/>
          <w:szCs w:val="32"/>
        </w:rPr>
        <w:t>”</w:t>
      </w:r>
      <w:r>
        <w:rPr>
          <w:rFonts w:hint="eastAsia" w:eastAsia="方正仿宋_GBK" w:cs="方正仿宋_GBK"/>
          <w:spacing w:val="-4"/>
          <w:sz w:val="32"/>
          <w:szCs w:val="32"/>
        </w:rPr>
        <w:t>科技交流与对外合作，加大卫生健康领域重大专项和科技成果转化，提升卫生科技和医疗服务整体水平。加强卫生健康知识科普工作，建立面向公众的健康知识筛选评价体系，筛选一批适合媒体传播的科普资源，重点加强慢性疾病预防、传染性疾病防控、医疗急救、食品药品安全、中医药养生保健，提升面向老年人、孕产妇、青少年等重点人群的健康科普水平。</w:t>
      </w:r>
    </w:p>
    <w:p w14:paraId="1282B038">
      <w:pPr>
        <w:pStyle w:val="2"/>
        <w:spacing w:before="312"/>
        <w:rPr>
          <w:rFonts w:cs="Times New Roman"/>
        </w:rPr>
      </w:pPr>
      <w:r>
        <w:pict>
          <v:shape id="_x0000_s1030" o:spid="_x0000_s1030" o:spt="202" type="#_x0000_t202" style="position:absolute;left:0pt;margin-left:0pt;margin-top:10.4pt;height:270.65pt;width:450pt;z-index:-251654144;v-text-anchor:middle;mso-width-relative:page;mso-height-relative:page;" coordsize="21600,21600">
            <v:path/>
            <v:fill focussize="0,0"/>
            <v:stroke weight="0.5pt" joinstyle="round"/>
            <v:imagedata o:title=""/>
            <o:lock v:ext="edit"/>
            <v:textbox inset="5mm,3mm,5mm,3mm">
              <w:txbxContent>
                <w:p w14:paraId="1EF4813F">
                  <w:pPr>
                    <w:tabs>
                      <w:tab w:val="left" w:pos="200"/>
                    </w:tabs>
                    <w:ind w:right="-119"/>
                    <w:jc w:val="center"/>
                    <w:rPr>
                      <w:rFonts w:ascii="仿宋_GB2312" w:hAnsi="仿宋_GB2312" w:eastAsia="仿宋_GB2312"/>
                      <w:color w:val="000000"/>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color w:val="000000"/>
                      <w:sz w:val="28"/>
                      <w:szCs w:val="28"/>
                    </w:rPr>
                    <w:t xml:space="preserve"> 4</w:t>
                  </w:r>
                  <w:r>
                    <w:rPr>
                      <w:rFonts w:ascii="仿宋_GB2312" w:hAnsi="仿宋_GB2312" w:eastAsia="仿宋_GB2312" w:cs="仿宋_GB2312"/>
                      <w:b/>
                      <w:bCs/>
                      <w:color w:val="000000"/>
                      <w:sz w:val="28"/>
                      <w:szCs w:val="28"/>
                    </w:rPr>
                    <w:tab/>
                  </w:r>
                  <w:r>
                    <w:rPr>
                      <w:rFonts w:hint="eastAsia" w:ascii="仿宋_GB2312" w:hAnsi="仿宋_GB2312" w:eastAsia="仿宋_GB2312" w:cs="仿宋_GB2312"/>
                      <w:b/>
                      <w:bCs/>
                      <w:color w:val="000000"/>
                      <w:sz w:val="28"/>
                      <w:szCs w:val="28"/>
                    </w:rPr>
                    <w:t>提高医疗卫生服务质量重大项目</w:t>
                  </w:r>
                </w:p>
                <w:p w14:paraId="57365D2D">
                  <w:pPr>
                    <w:tabs>
                      <w:tab w:val="left" w:pos="200"/>
                    </w:tabs>
                    <w:spacing w:line="320" w:lineRule="exact"/>
                    <w:ind w:firstLine="482" w:firstLineChars="200"/>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县域医疗中心建设项目：</w:t>
                  </w:r>
                  <w:r>
                    <w:rPr>
                      <w:rFonts w:hint="eastAsia" w:ascii="仿宋_GB2312" w:hAnsi="仿宋_GB2312" w:eastAsia="仿宋_GB2312" w:cs="仿宋_GB2312"/>
                      <w:color w:val="000000"/>
                      <w:sz w:val="24"/>
                      <w:szCs w:val="24"/>
                    </w:rPr>
                    <w:t>加快推进县域癌症、心血管、儿科、妇产、呼吸和创伤等专科类县域医疗中心建设。</w:t>
                  </w:r>
                </w:p>
                <w:p w14:paraId="46692C12">
                  <w:pPr>
                    <w:tabs>
                      <w:tab w:val="left" w:pos="200"/>
                    </w:tabs>
                    <w:spacing w:line="320" w:lineRule="exact"/>
                    <w:ind w:firstLine="482" w:firstLineChars="200"/>
                    <w:rPr>
                      <w:rFonts w:ascii="仿宋_GB2312" w:hAnsi="仿宋_GB2312" w:eastAsia="仿宋_GB2312"/>
                      <w:b/>
                      <w:bCs/>
                      <w:color w:val="000000"/>
                      <w:sz w:val="24"/>
                      <w:szCs w:val="24"/>
                    </w:rPr>
                  </w:pPr>
                  <w:r>
                    <w:rPr>
                      <w:rFonts w:hint="eastAsia" w:ascii="仿宋_GB2312" w:hAnsi="仿宋_GB2312" w:eastAsia="仿宋_GB2312" w:cs="仿宋_GB2312"/>
                      <w:b/>
                      <w:bCs/>
                      <w:color w:val="000000"/>
                      <w:sz w:val="24"/>
                      <w:szCs w:val="24"/>
                    </w:rPr>
                    <w:t>县级医院服务能力提升工程项目：</w:t>
                  </w:r>
                  <w:r>
                    <w:rPr>
                      <w:rFonts w:hint="eastAsia" w:ascii="仿宋_GB2312" w:hAnsi="仿宋_GB2312" w:eastAsia="仿宋_GB2312" w:cs="仿宋_GB2312"/>
                      <w:color w:val="000000"/>
                      <w:sz w:val="24"/>
                      <w:szCs w:val="24"/>
                    </w:rPr>
                    <w:t>平罗县人民医院整体迁建项目，平罗县人民医院传染病防控大楼建设项目，</w:t>
                  </w:r>
                  <w:r>
                    <w:rPr>
                      <w:rFonts w:hint="eastAsia" w:ascii="仿宋_GB2312" w:hAnsi="仿宋_GB2312" w:eastAsia="仿宋_GB2312" w:cs="仿宋_GB2312"/>
                      <w:sz w:val="24"/>
                      <w:szCs w:val="24"/>
                    </w:rPr>
                    <w:t>加强传染性疾病科等专科能力，提高应急服务能力。</w:t>
                  </w:r>
                  <w:r>
                    <w:rPr>
                      <w:rFonts w:hint="eastAsia" w:ascii="仿宋_GB2312" w:hAnsi="仿宋_GB2312" w:eastAsia="仿宋_GB2312" w:cs="仿宋_GB2312"/>
                      <w:color w:val="000000"/>
                      <w:sz w:val="24"/>
                      <w:szCs w:val="24"/>
                    </w:rPr>
                    <w:t>启动县级医院等级创建。选择</w:t>
                  </w:r>
                  <w:r>
                    <w:rPr>
                      <w:rFonts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个县域内临床需求大、外转率高的专科，作为县级重点专科持续推进建设；每年各推进</w:t>
                  </w:r>
                  <w:r>
                    <w:rPr>
                      <w:rFonts w:ascii="仿宋_GB2312" w:hAnsi="仿宋_GB2312" w:eastAsia="仿宋_GB2312" w:cs="仿宋_GB2312"/>
                      <w:color w:val="000000"/>
                      <w:sz w:val="24"/>
                      <w:szCs w:val="24"/>
                    </w:rPr>
                    <w:t xml:space="preserve">1 </w:t>
                  </w:r>
                  <w:r>
                    <w:rPr>
                      <w:rFonts w:hint="eastAsia" w:ascii="仿宋_GB2312" w:hAnsi="仿宋_GB2312" w:eastAsia="仿宋_GB2312" w:cs="仿宋_GB2312"/>
                      <w:color w:val="000000"/>
                      <w:sz w:val="24"/>
                      <w:szCs w:val="24"/>
                    </w:rPr>
                    <w:t>个自治区、</w:t>
                  </w:r>
                  <w:r>
                    <w:rPr>
                      <w:rFonts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个市级重点专科建设。加强薄弱专科建设，建设</w:t>
                  </w:r>
                  <w:r>
                    <w:rPr>
                      <w:rFonts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rPr>
                    <w:t>个县级薄弱专科，着力提升服务能力。</w:t>
                  </w:r>
                </w:p>
                <w:p w14:paraId="60F3C94D">
                  <w:pPr>
                    <w:tabs>
                      <w:tab w:val="left" w:pos="200"/>
                    </w:tabs>
                    <w:spacing w:line="320" w:lineRule="exact"/>
                    <w:ind w:firstLine="482" w:firstLineChars="200"/>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基层医疗机构能力提升工程项目：</w:t>
                  </w:r>
                  <w:r>
                    <w:rPr>
                      <w:rFonts w:hint="eastAsia" w:ascii="仿宋_GB2312" w:hAnsi="仿宋_GB2312" w:eastAsia="仿宋_GB2312" w:cs="仿宋_GB2312"/>
                      <w:color w:val="000000"/>
                      <w:sz w:val="24"/>
                      <w:szCs w:val="24"/>
                    </w:rPr>
                    <w:t>改扩建或新建平罗县城关社区卫生服务中心和新区社区卫生服务中心。至少有</w:t>
                  </w:r>
                  <w:r>
                    <w:rPr>
                      <w:rFonts w:ascii="仿宋_GB2312" w:hAnsi="仿宋_GB2312" w:eastAsia="仿宋_GB2312" w:cs="仿宋_GB2312"/>
                      <w:color w:val="000000"/>
                      <w:sz w:val="24"/>
                      <w:szCs w:val="24"/>
                    </w:rPr>
                    <w:t xml:space="preserve"> 1 </w:t>
                  </w:r>
                  <w:r>
                    <w:rPr>
                      <w:rFonts w:hint="eastAsia" w:ascii="仿宋_GB2312" w:hAnsi="仿宋_GB2312" w:eastAsia="仿宋_GB2312" w:cs="仿宋_GB2312"/>
                      <w:color w:val="000000"/>
                      <w:sz w:val="24"/>
                      <w:szCs w:val="24"/>
                    </w:rPr>
                    <w:t>家乡镇卫生院达到国家推荐标准，至少有</w:t>
                  </w:r>
                  <w:r>
                    <w:rPr>
                      <w:rFonts w:ascii="仿宋_GB2312" w:hAnsi="仿宋_GB2312" w:eastAsia="仿宋_GB2312" w:cs="仿宋_GB2312"/>
                      <w:color w:val="000000"/>
                      <w:sz w:val="24"/>
                      <w:szCs w:val="24"/>
                    </w:rPr>
                    <w:t xml:space="preserve"> 1 </w:t>
                  </w:r>
                  <w:r>
                    <w:rPr>
                      <w:rFonts w:hint="eastAsia" w:ascii="仿宋_GB2312" w:hAnsi="仿宋_GB2312" w:eastAsia="仿宋_GB2312" w:cs="仿宋_GB2312"/>
                      <w:color w:val="000000"/>
                      <w:sz w:val="24"/>
                      <w:szCs w:val="24"/>
                    </w:rPr>
                    <w:t>所乡镇中心卫生院能规范设置发热门诊和隔离医学观察病区。</w:t>
                  </w:r>
                </w:p>
                <w:p w14:paraId="738CA774">
                  <w:pPr>
                    <w:tabs>
                      <w:tab w:val="left" w:pos="200"/>
                    </w:tabs>
                    <w:spacing w:line="320" w:lineRule="exact"/>
                    <w:ind w:firstLine="482" w:firstLineChars="200"/>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平罗县乡镇卫生院迁建和改扩建项目：</w:t>
                  </w:r>
                  <w:r>
                    <w:rPr>
                      <w:rFonts w:hint="eastAsia" w:ascii="仿宋_GB2312" w:hAnsi="仿宋_GB2312" w:eastAsia="仿宋_GB2312" w:cs="仿宋_GB2312"/>
                      <w:color w:val="000000"/>
                      <w:sz w:val="24"/>
                      <w:szCs w:val="24"/>
                    </w:rPr>
                    <w:t>积极争取姚伏镇中心卫生院、黄渠桥镇中心卫生院整体迁建项目。</w:t>
                  </w:r>
                </w:p>
                <w:p w14:paraId="3D907EA0">
                  <w:pPr>
                    <w:tabs>
                      <w:tab w:val="left" w:pos="200"/>
                    </w:tabs>
                    <w:spacing w:line="320" w:lineRule="exact"/>
                    <w:ind w:firstLine="482" w:firstLineChars="200"/>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行政村村卫生室标准化建设项目</w:t>
                  </w:r>
                  <w:r>
                    <w:rPr>
                      <w:rFonts w:hint="eastAsia" w:ascii="仿宋_GB2312" w:hAnsi="仿宋_GB2312" w:eastAsia="仿宋_GB2312" w:cs="仿宋_GB2312"/>
                      <w:color w:val="000000"/>
                      <w:sz w:val="24"/>
                      <w:szCs w:val="24"/>
                    </w:rPr>
                    <w:t>：新建</w:t>
                  </w:r>
                  <w:r>
                    <w:rPr>
                      <w:rFonts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所面积不低于</w:t>
                  </w:r>
                  <w:r>
                    <w:rPr>
                      <w:rFonts w:ascii="仿宋_GB2312" w:hAnsi="仿宋_GB2312" w:eastAsia="仿宋_GB2312" w:cs="仿宋_GB2312"/>
                      <w:color w:val="000000"/>
                      <w:sz w:val="24"/>
                      <w:szCs w:val="24"/>
                    </w:rPr>
                    <w:t>100</w:t>
                  </w:r>
                  <w:r>
                    <w:rPr>
                      <w:rFonts w:hint="eastAsia" w:ascii="仿宋_GB2312" w:hAnsi="仿宋_GB2312" w:eastAsia="仿宋_GB2312" w:cs="仿宋_GB2312"/>
                      <w:color w:val="000000"/>
                      <w:sz w:val="24"/>
                      <w:szCs w:val="24"/>
                    </w:rPr>
                    <w:t>平方米的标准化村卫生室（黄渠桥镇西润村、灵沙乡西灵村、红崖子乡水泉子村和王家沟村）</w:t>
                  </w:r>
                </w:p>
              </w:txbxContent>
            </v:textbox>
          </v:shape>
        </w:pict>
      </w:r>
    </w:p>
    <w:p w14:paraId="50B9CD1F">
      <w:pPr>
        <w:spacing w:line="560" w:lineRule="exact"/>
        <w:rPr>
          <w:rFonts w:ascii="??_GB2312" w:hAnsi="??_GB2312" w:cs="??_GB2312"/>
          <w:b/>
          <w:bCs/>
          <w:sz w:val="32"/>
          <w:szCs w:val="32"/>
        </w:rPr>
      </w:pPr>
      <w:r>
        <w:pict>
          <v:line id="_x0000_s1031" o:spid="_x0000_s1031" o:spt="20" style="position:absolute;left:0pt;margin-left:74.8pt;margin-top:-8.55pt;height:184.2pt;width:0pt;mso-position-horizontal-relative:page;z-index:-251656192;mso-width-relative:page;mso-height-relative:page;" filled="t" stroked="f" coordsize="21600,21600" o:allowincell="f">
            <v:path arrowok="t"/>
            <v:fill on="t" focussize="0,0"/>
            <v:stroke on="f" weight="0.479842519685039pt" joinstyle="miter"/>
            <v:imagedata o:title=""/>
            <o:lock v:ext="edit"/>
          </v:line>
        </w:pict>
      </w:r>
      <w:r>
        <w:pict>
          <v:line id="_x0000_s1032" o:spid="_x0000_s1032" o:spt="20" style="position:absolute;left:0pt;margin-left:75.95pt;margin-top:7.7pt;height:0pt;width:442.45pt;mso-position-horizontal-relative:page;mso-wrap-distance-left:9pt;mso-wrap-distance-right:9pt;z-index:-251651072;mso-width-relative:page;mso-height-relative:page;" filled="t" stroked="f" coordsize="21600,21600" wrapcoords="1 1 591 1 591 1 1 1 1 1" o:allowincell="f">
            <v:path arrowok="t"/>
            <v:fill on="t" focussize="0,0"/>
            <v:stroke on="f" weight="0.479842519685039pt" joinstyle="miter"/>
            <v:imagedata o:title=""/>
            <o:lock v:ext="edit"/>
            <w10:wrap type="tight"/>
          </v:line>
        </w:pict>
      </w:r>
      <w:r>
        <w:pict>
          <v:line id="_x0000_s1033" o:spid="_x0000_s1033" o:spt="20" style="position:absolute;left:0pt;margin-left:75.8pt;margin-top:1.75pt;height:0pt;width:442.45pt;mso-position-horizontal-relative:page;mso-wrap-distance-bottom:0pt;mso-wrap-distance-left:9pt;mso-wrap-distance-right:9pt;mso-wrap-distance-top:0pt;z-index:251666432;mso-width-relative:page;mso-height-relative:page;" filled="t" stroked="f" coordsize="21600,21600" o:allowincell="f">
            <v:path arrowok="t"/>
            <v:fill on="t" focussize="0,0"/>
            <v:stroke on="f" weight="0.479842519685039pt" joinstyle="miter"/>
            <v:imagedata o:title=""/>
            <o:lock v:ext="edit"/>
            <w10:wrap type="square"/>
          </v:line>
        </w:pict>
      </w:r>
    </w:p>
    <w:p w14:paraId="77F48190">
      <w:pPr>
        <w:spacing w:line="560" w:lineRule="exact"/>
        <w:ind w:firstLine="643" w:firstLineChars="200"/>
        <w:rPr>
          <w:rFonts w:ascii="??_GB2312" w:hAnsi="??_GB2312" w:cs="??_GB2312"/>
          <w:b/>
          <w:bCs/>
          <w:sz w:val="32"/>
          <w:szCs w:val="32"/>
        </w:rPr>
      </w:pPr>
    </w:p>
    <w:p w14:paraId="4C520E8A">
      <w:pPr>
        <w:spacing w:line="560" w:lineRule="exact"/>
        <w:ind w:firstLine="643" w:firstLineChars="200"/>
        <w:rPr>
          <w:rFonts w:ascii="??_GB2312" w:hAnsi="??_GB2312" w:cs="??_GB2312"/>
          <w:b/>
          <w:bCs/>
          <w:sz w:val="32"/>
          <w:szCs w:val="32"/>
        </w:rPr>
      </w:pPr>
    </w:p>
    <w:p w14:paraId="3872BD76">
      <w:pPr>
        <w:spacing w:line="560" w:lineRule="exact"/>
        <w:ind w:firstLine="643" w:firstLineChars="200"/>
        <w:rPr>
          <w:rFonts w:ascii="??_GB2312" w:hAnsi="??_GB2312" w:cs="??_GB2312"/>
          <w:b/>
          <w:bCs/>
          <w:sz w:val="32"/>
          <w:szCs w:val="32"/>
        </w:rPr>
      </w:pPr>
    </w:p>
    <w:p w14:paraId="4A2927AA">
      <w:pPr>
        <w:spacing w:line="560" w:lineRule="exact"/>
        <w:ind w:firstLine="643" w:firstLineChars="200"/>
        <w:rPr>
          <w:rFonts w:ascii="??_GB2312" w:hAnsi="??_GB2312" w:cs="??_GB2312"/>
          <w:b/>
          <w:bCs/>
          <w:sz w:val="32"/>
          <w:szCs w:val="32"/>
        </w:rPr>
      </w:pPr>
    </w:p>
    <w:p w14:paraId="28BEE068">
      <w:pPr>
        <w:spacing w:line="560" w:lineRule="exact"/>
        <w:rPr>
          <w:rFonts w:ascii="??_GB2312" w:hAnsi="??_GB2312" w:cs="??_GB2312"/>
          <w:b/>
          <w:bCs/>
          <w:sz w:val="32"/>
          <w:szCs w:val="32"/>
        </w:rPr>
      </w:pPr>
    </w:p>
    <w:p w14:paraId="3EDD17B5">
      <w:pPr>
        <w:spacing w:line="560" w:lineRule="exact"/>
        <w:ind w:left="420" w:leftChars="200"/>
        <w:rPr>
          <w:rFonts w:ascii="??_GB2312" w:hAnsi="??_GB2312" w:cs="??_GB2312"/>
          <w:b/>
          <w:bCs/>
          <w:sz w:val="32"/>
          <w:szCs w:val="32"/>
        </w:rPr>
      </w:pPr>
    </w:p>
    <w:p w14:paraId="43718CB8">
      <w:pPr>
        <w:spacing w:line="560" w:lineRule="exact"/>
        <w:rPr>
          <w:rFonts w:ascii="??_GB2312" w:hAnsi="??_GB2312" w:cs="??_GB2312"/>
          <w:b/>
          <w:bCs/>
          <w:sz w:val="32"/>
          <w:szCs w:val="32"/>
        </w:rPr>
      </w:pPr>
    </w:p>
    <w:p w14:paraId="27700E4A">
      <w:pPr>
        <w:spacing w:line="540" w:lineRule="exact"/>
        <w:ind w:firstLine="630" w:firstLineChars="196"/>
        <w:rPr>
          <w:rFonts w:ascii="方正楷体_GBK" w:eastAsia="方正楷体_GBK"/>
          <w:b/>
          <w:bCs/>
          <w:sz w:val="32"/>
          <w:szCs w:val="32"/>
        </w:rPr>
      </w:pPr>
      <w:r>
        <w:rPr>
          <w:rFonts w:hint="eastAsia" w:ascii="方正楷体_GBK" w:eastAsia="方正楷体_GBK" w:cs="方正楷体_GBK"/>
          <w:b/>
          <w:bCs/>
          <w:sz w:val="32"/>
          <w:szCs w:val="32"/>
        </w:rPr>
        <w:t>（五）促进中医药事业发展</w:t>
      </w:r>
    </w:p>
    <w:p w14:paraId="7D96044F">
      <w:pPr>
        <w:spacing w:line="540" w:lineRule="exact"/>
        <w:ind w:firstLine="643" w:firstLineChars="200"/>
        <w:rPr>
          <w:rFonts w:eastAsia="方正仿宋_GBK"/>
          <w:sz w:val="32"/>
          <w:szCs w:val="32"/>
        </w:rPr>
      </w:pPr>
      <w:r>
        <w:rPr>
          <w:rFonts w:hint="eastAsia" w:eastAsia="方正仿宋_GBK" w:cs="方正仿宋_GBK"/>
          <w:b/>
          <w:bCs/>
          <w:sz w:val="32"/>
          <w:szCs w:val="32"/>
        </w:rPr>
        <w:t>建立符合中医药传承创新特点的服务体系。</w:t>
      </w:r>
      <w:r>
        <w:rPr>
          <w:rFonts w:hint="eastAsia" w:eastAsia="方正仿宋_GBK" w:cs="方正仿宋_GBK"/>
          <w:sz w:val="32"/>
          <w:szCs w:val="32"/>
        </w:rPr>
        <w:t>建成以县中医医院为龙头，各级各类中医医疗机构和其他医疗机构中医科室为骨干，基层医疗卫生机构为基础，融预防保健、疾病治疗和康复于一体的中医药服务体系。规范中医医院特色发展，强化以中医药服务为主的办院模式和服务功能，健全评价和绩效考核制度，建立健全体现中医药特点的现代医院管理制度。围绕优势病种，加强中医优势专科建设。</w:t>
      </w:r>
    </w:p>
    <w:p w14:paraId="1A81FEEF">
      <w:pPr>
        <w:spacing w:line="540" w:lineRule="exact"/>
        <w:ind w:firstLine="643" w:firstLineChars="200"/>
        <w:rPr>
          <w:rFonts w:eastAsia="方正仿宋_GBK"/>
          <w:sz w:val="32"/>
          <w:szCs w:val="32"/>
        </w:rPr>
      </w:pPr>
      <w:r>
        <w:rPr>
          <w:rFonts w:hint="eastAsia" w:eastAsia="方正仿宋_GBK" w:cs="方正仿宋_GBK"/>
          <w:b/>
          <w:bCs/>
          <w:sz w:val="32"/>
          <w:szCs w:val="32"/>
        </w:rPr>
        <w:t>筑牢基层中医药服务阵地。</w:t>
      </w:r>
      <w:r>
        <w:rPr>
          <w:rFonts w:hint="eastAsia" w:eastAsia="方正仿宋_GBK" w:cs="方正仿宋_GBK"/>
          <w:sz w:val="32"/>
          <w:szCs w:val="32"/>
        </w:rPr>
        <w:t>加快补齐县级中医医院服务能力短板。推广基层中医药综合服务模式，强化基层医疗卫生单位</w:t>
      </w:r>
      <w:r>
        <w:rPr>
          <w:rFonts w:eastAsia="方正仿宋_GBK"/>
          <w:sz w:val="32"/>
          <w:szCs w:val="32"/>
        </w:rPr>
        <w:t>“</w:t>
      </w:r>
      <w:r>
        <w:rPr>
          <w:rFonts w:hint="eastAsia" w:eastAsia="方正仿宋_GBK" w:cs="方正仿宋_GBK"/>
          <w:sz w:val="32"/>
          <w:szCs w:val="32"/>
        </w:rPr>
        <w:t>中医馆</w:t>
      </w:r>
      <w:r>
        <w:rPr>
          <w:rFonts w:eastAsia="方正仿宋_GBK"/>
          <w:sz w:val="32"/>
          <w:szCs w:val="32"/>
        </w:rPr>
        <w:t>”</w:t>
      </w:r>
      <w:r>
        <w:rPr>
          <w:rFonts w:hint="eastAsia" w:eastAsia="方正仿宋_GBK" w:cs="方正仿宋_GBK"/>
          <w:sz w:val="32"/>
          <w:szCs w:val="32"/>
        </w:rPr>
        <w:t>建设，加强对基层中医药服务的指导，大力推广中医药适宜技术，强化基层医疗卫生机构中医药服务阵地和服务能力，开展乡村医生中医药知识与技能培训。</w:t>
      </w:r>
    </w:p>
    <w:p w14:paraId="10E6E780">
      <w:pPr>
        <w:spacing w:line="540" w:lineRule="exact"/>
        <w:ind w:firstLine="643" w:firstLineChars="200"/>
        <w:rPr>
          <w:rFonts w:eastAsia="方正仿宋_GBK"/>
          <w:sz w:val="32"/>
          <w:szCs w:val="32"/>
        </w:rPr>
      </w:pPr>
      <w:r>
        <w:rPr>
          <w:rFonts w:hint="eastAsia" w:eastAsia="方正仿宋_GBK" w:cs="方正仿宋_GBK"/>
          <w:b/>
          <w:bCs/>
          <w:sz w:val="32"/>
          <w:szCs w:val="32"/>
        </w:rPr>
        <w:t>完善中西医结合制度。</w:t>
      </w:r>
      <w:r>
        <w:rPr>
          <w:rFonts w:hint="eastAsia" w:eastAsia="方正仿宋_GBK" w:cs="方正仿宋_GBK"/>
          <w:sz w:val="32"/>
          <w:szCs w:val="32"/>
        </w:rPr>
        <w:t>在综合医院、专科医院等逐步推广</w:t>
      </w:r>
      <w:r>
        <w:rPr>
          <w:rFonts w:eastAsia="方正仿宋_GBK"/>
          <w:sz w:val="32"/>
          <w:szCs w:val="32"/>
        </w:rPr>
        <w:t>“</w:t>
      </w:r>
      <w:r>
        <w:rPr>
          <w:rFonts w:hint="eastAsia" w:eastAsia="方正仿宋_GBK" w:cs="方正仿宋_GBK"/>
          <w:sz w:val="32"/>
          <w:szCs w:val="32"/>
        </w:rPr>
        <w:t>有机制、有团队、有措施、有成效</w:t>
      </w:r>
      <w:r>
        <w:rPr>
          <w:rFonts w:eastAsia="方正仿宋_GBK"/>
          <w:sz w:val="32"/>
          <w:szCs w:val="32"/>
        </w:rPr>
        <w:t>”</w:t>
      </w:r>
      <w:r>
        <w:rPr>
          <w:rFonts w:hint="eastAsia" w:eastAsia="方正仿宋_GBK" w:cs="方正仿宋_GBK"/>
          <w:sz w:val="32"/>
          <w:szCs w:val="32"/>
        </w:rPr>
        <w:t>的中西医结合医疗模式。开展中西医联合诊疗，建立综合医院、专科医院中西医会诊制度，将中医纳入多学科会诊体系。开展中西医结合学科（专科）建设。完善西医学习中医制度，对医院临床医师开展中医药专业知识培训，培养高层次中西医结合人才和能够提供中西医结合服务的全科医生。开展重大疑难疾病、传染病、慢性病等中西医联合科研攻关。</w:t>
      </w:r>
    </w:p>
    <w:p w14:paraId="1BCDEB7D">
      <w:pPr>
        <w:spacing w:line="540" w:lineRule="exact"/>
        <w:ind w:firstLine="643" w:firstLineChars="200"/>
        <w:rPr>
          <w:rFonts w:eastAsia="方正仿宋_GBK"/>
          <w:sz w:val="32"/>
          <w:szCs w:val="32"/>
        </w:rPr>
      </w:pPr>
      <w:r>
        <w:rPr>
          <w:rFonts w:hint="eastAsia" w:eastAsia="方正仿宋_GBK" w:cs="方正仿宋_GBK"/>
          <w:b/>
          <w:bCs/>
          <w:sz w:val="32"/>
          <w:szCs w:val="32"/>
        </w:rPr>
        <w:t>发挥中医药在疾病预防和康复中的特色优势。</w:t>
      </w:r>
      <w:r>
        <w:rPr>
          <w:rFonts w:hint="eastAsia" w:eastAsia="方正仿宋_GBK" w:cs="方正仿宋_GBK"/>
          <w:sz w:val="32"/>
          <w:szCs w:val="32"/>
        </w:rPr>
        <w:t>强化中医药在疾病预防中的作用，推动中医治未病健康工程升级，加强中医类机构治未病中心建设；推动有条件的综合医院和妇幼保健院设立治未病科。强化中医药特色康复能力，实施中医药康复服务能力提升工程，推进中医康复中心和中医特色康复医院建设，完善医疗机构康复（医学）科建设，提升基层医疗机构康复服务供给，加强中医药康复专业人才队伍建设。</w:t>
      </w:r>
    </w:p>
    <w:p w14:paraId="0A23D9B7">
      <w:pPr>
        <w:pStyle w:val="2"/>
        <w:spacing w:beforeLines="0" w:line="540" w:lineRule="exact"/>
        <w:ind w:left="0" w:right="24" w:firstLine="630" w:firstLineChars="196"/>
        <w:rPr>
          <w:rFonts w:ascii="方正仿宋_GBK" w:eastAsia="方正仿宋_GBK" w:cs="Times New Roman"/>
          <w:sz w:val="32"/>
          <w:szCs w:val="32"/>
        </w:rPr>
      </w:pPr>
      <w:r>
        <w:rPr>
          <w:rFonts w:hint="eastAsia" w:ascii="方正仿宋_GBK" w:eastAsia="方正仿宋_GBK" w:cs="方正仿宋_GBK"/>
          <w:b/>
          <w:bCs/>
          <w:sz w:val="32"/>
          <w:szCs w:val="32"/>
        </w:rPr>
        <w:t>促进中医药传承创新发展。</w:t>
      </w:r>
      <w:r>
        <w:rPr>
          <w:rFonts w:hint="eastAsia" w:ascii="方正仿宋_GBK" w:eastAsia="方正仿宋_GBK" w:cs="方正仿宋_GBK"/>
          <w:sz w:val="32"/>
          <w:szCs w:val="32"/>
        </w:rPr>
        <w:t>开展中医药文化传承、古籍文献资源保护与利用，挖掘和传承中医药宝库中的精华和精髓，有计划、有步骤对中医药文物、文献、古方、单验方进行收集、整理、保护。强化中药质量监管，促进中药质量提升。支持中医类医疗机构共享资源、协同创新。实施中医药文化传播行动，推进中医药文化繁荣发展。</w:t>
      </w:r>
    </w:p>
    <w:p w14:paraId="0CAD96A6">
      <w:pPr>
        <w:pStyle w:val="8"/>
        <w:widowControl w:val="0"/>
        <w:spacing w:line="560" w:lineRule="exact"/>
        <w:ind w:firstLine="0" w:firstLineChars="0"/>
        <w:jc w:val="both"/>
        <w:rPr>
          <w:rFonts w:ascii="??_GB2312" w:hAnsi="??_GB2312" w:cs="??_GB2312"/>
          <w:b/>
          <w:bCs/>
          <w:sz w:val="32"/>
          <w:szCs w:val="32"/>
        </w:rPr>
      </w:pPr>
      <w:r>
        <w:pict>
          <v:shape id="_x0000_s1034" o:spid="_x0000_s1034" o:spt="202" type="#_x0000_t202" style="position:absolute;left:0pt;margin-left:0pt;margin-top:10pt;height:297.2pt;width:450pt;z-index:-251653120;mso-width-relative:page;mso-height-relative:page;" coordsize="21600,21600" o:allowoverlap="f">
            <v:path/>
            <v:fill focussize="0,0"/>
            <v:stroke weight="0.5pt" joinstyle="round"/>
            <v:imagedata o:title=""/>
            <o:lock v:ext="edit"/>
            <v:textbox inset="5mm,3mm,5mm,3mm">
              <w:txbxContent>
                <w:p w14:paraId="59E26C34">
                  <w:pPr>
                    <w:tabs>
                      <w:tab w:val="left" w:pos="200"/>
                    </w:tabs>
                    <w:spacing w:line="480" w:lineRule="exact"/>
                    <w:ind w:right="-119"/>
                    <w:jc w:val="center"/>
                    <w:rPr>
                      <w:b/>
                      <w:bCs/>
                      <w:sz w:val="28"/>
                      <w:szCs w:val="28"/>
                    </w:rPr>
                  </w:pPr>
                  <w:r>
                    <w:rPr>
                      <w:rFonts w:hint="eastAsia" w:cs="宋体"/>
                      <w:b/>
                      <w:bCs/>
                      <w:sz w:val="28"/>
                      <w:szCs w:val="28"/>
                    </w:rPr>
                    <w:t>栏</w:t>
                  </w:r>
                  <w:r>
                    <w:rPr>
                      <w:b/>
                      <w:bCs/>
                      <w:sz w:val="28"/>
                      <w:szCs w:val="28"/>
                    </w:rPr>
                    <w:t xml:space="preserve"> 5</w:t>
                  </w:r>
                  <w:r>
                    <w:rPr>
                      <w:b/>
                      <w:bCs/>
                      <w:sz w:val="28"/>
                      <w:szCs w:val="28"/>
                    </w:rPr>
                    <w:tab/>
                  </w:r>
                  <w:r>
                    <w:rPr>
                      <w:rFonts w:hint="eastAsia" w:cs="宋体"/>
                      <w:b/>
                      <w:bCs/>
                      <w:sz w:val="28"/>
                      <w:szCs w:val="28"/>
                    </w:rPr>
                    <w:t>中医药事业发展重大项目</w:t>
                  </w:r>
                </w:p>
                <w:p w14:paraId="2DE2B56F">
                  <w:pPr>
                    <w:tabs>
                      <w:tab w:val="left" w:pos="200"/>
                    </w:tabs>
                    <w:spacing w:line="320" w:lineRule="exact"/>
                    <w:ind w:firstLine="482" w:firstLineChars="200"/>
                    <w:rPr>
                      <w:rFonts w:ascii="仿宋_GB2312" w:hAnsi="仿宋_GB2312" w:eastAsia="仿宋_GB2312"/>
                      <w:b/>
                      <w:bCs/>
                      <w:sz w:val="24"/>
                      <w:szCs w:val="24"/>
                    </w:rPr>
                  </w:pPr>
                </w:p>
                <w:p w14:paraId="67E435AD">
                  <w:pPr>
                    <w:tabs>
                      <w:tab w:val="left" w:pos="200"/>
                    </w:tabs>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中西医结合示范项目建设：</w:t>
                  </w:r>
                  <w:r>
                    <w:rPr>
                      <w:rFonts w:hint="eastAsia" w:ascii="仿宋_GB2312" w:hAnsi="仿宋_GB2312" w:eastAsia="仿宋_GB2312" w:cs="仿宋_GB2312"/>
                      <w:sz w:val="24"/>
                      <w:szCs w:val="24"/>
                    </w:rPr>
                    <w:t>加强基础设施建设和设备配备，提高中西医结合医疗服务能力，建设预防、治疗和康复一体化的中西医结合服务模式，开展中西医结合疑难疾病和常见病多发病诊治。</w:t>
                  </w:r>
                </w:p>
                <w:p w14:paraId="0CBDDFC4">
                  <w:pPr>
                    <w:tabs>
                      <w:tab w:val="left" w:pos="200"/>
                    </w:tabs>
                    <w:spacing w:line="320" w:lineRule="exact"/>
                    <w:ind w:firstLine="472" w:firstLineChars="196"/>
                    <w:rPr>
                      <w:rFonts w:ascii="仿宋_GB2312" w:hAnsi="仿宋_GB2312" w:eastAsia="仿宋_GB2312"/>
                      <w:sz w:val="24"/>
                      <w:szCs w:val="24"/>
                    </w:rPr>
                  </w:pPr>
                  <w:r>
                    <w:rPr>
                      <w:rFonts w:hint="eastAsia" w:ascii="仿宋_GB2312" w:hAnsi="仿宋_GB2312" w:eastAsia="仿宋_GB2312" w:cs="仿宋_GB2312"/>
                      <w:b/>
                      <w:bCs/>
                      <w:sz w:val="24"/>
                      <w:szCs w:val="24"/>
                    </w:rPr>
                    <w:t>中医特色重点医院建设：</w:t>
                  </w:r>
                  <w:r>
                    <w:rPr>
                      <w:rFonts w:hint="eastAsia" w:ascii="仿宋_GB2312" w:hAnsi="仿宋_GB2312" w:eastAsia="仿宋_GB2312" w:cs="仿宋_GB2312"/>
                      <w:sz w:val="24"/>
                      <w:szCs w:val="24"/>
                    </w:rPr>
                    <w:t>支持县中医医院建设中医特色重点医院，完善业务用房、优化功能布局，强化设施设备配置，做优做强一批中医优势专科，培养一批学科带头人和骨干人才，推动一批中药制剂开发应用和中药新药创制，以名科、名医、名药带动打造中医特色突出、临床疗效显著、示范带动作用明显的中医特色重点医院。</w:t>
                  </w:r>
                </w:p>
                <w:p w14:paraId="4C3E68B2">
                  <w:pPr>
                    <w:tabs>
                      <w:tab w:val="left" w:pos="200"/>
                    </w:tabs>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基层医疗卫生机构中医药服务能力提升项目：</w:t>
                  </w:r>
                  <w:r>
                    <w:rPr>
                      <w:rFonts w:hint="eastAsia" w:ascii="仿宋_GB2312" w:hAnsi="仿宋_GB2312" w:eastAsia="仿宋_GB2312" w:cs="仿宋_GB2312"/>
                      <w:sz w:val="24"/>
                      <w:szCs w:val="24"/>
                    </w:rPr>
                    <w:t>支持已建成中医馆提标扩能，新建社区卫生服务中心中医馆，创建“旗舰”中医馆，通过改善中医诊疗环境、完善配置中医诊疗设备、加强中医药人员配备，提升基层医疗机构中医药服务能力。</w:t>
                  </w:r>
                </w:p>
                <w:p w14:paraId="75C3C372">
                  <w:pPr>
                    <w:ind w:firstLine="482" w:firstLineChars="200"/>
                    <w:rPr>
                      <w:color w:val="000000"/>
                      <w:sz w:val="24"/>
                      <w:szCs w:val="24"/>
                    </w:rPr>
                  </w:pPr>
                  <w:r>
                    <w:rPr>
                      <w:rFonts w:hint="eastAsia" w:ascii="仿宋_GB2312" w:hAnsi="仿宋_GB2312" w:eastAsia="仿宋_GB2312" w:cs="仿宋_GB2312"/>
                      <w:b/>
                      <w:bCs/>
                      <w:color w:val="000000"/>
                      <w:sz w:val="24"/>
                      <w:szCs w:val="24"/>
                    </w:rPr>
                    <w:t>中医疫病防治能力提升项目：</w:t>
                  </w:r>
                  <w:r>
                    <w:rPr>
                      <w:rFonts w:hint="eastAsia" w:ascii="仿宋_GB2312" w:hAnsi="仿宋_GB2312" w:eastAsia="仿宋_GB2312" w:cs="仿宋_GB2312"/>
                      <w:color w:val="000000"/>
                      <w:sz w:val="24"/>
                      <w:szCs w:val="24"/>
                    </w:rPr>
                    <w:t>组建中医疫病救治队，定期组织开展培训、演练，完善设施配备，提高中医药重大传染病防控救治和严重创伤与多发伤害救治能力。</w:t>
                  </w:r>
                </w:p>
              </w:txbxContent>
            </v:textbox>
          </v:shape>
        </w:pict>
      </w:r>
    </w:p>
    <w:p w14:paraId="74C0665B">
      <w:pPr>
        <w:pStyle w:val="8"/>
        <w:widowControl w:val="0"/>
        <w:spacing w:line="560" w:lineRule="exact"/>
        <w:ind w:firstLine="31680"/>
        <w:jc w:val="both"/>
        <w:rPr>
          <w:rFonts w:ascii="??_GB2312" w:hAnsi="??_GB2312" w:cs="??_GB2312"/>
          <w:b/>
          <w:bCs/>
          <w:sz w:val="32"/>
          <w:szCs w:val="32"/>
        </w:rPr>
      </w:pPr>
    </w:p>
    <w:p w14:paraId="1BCD9B06">
      <w:pPr>
        <w:pStyle w:val="8"/>
        <w:widowControl w:val="0"/>
        <w:spacing w:line="560" w:lineRule="exact"/>
        <w:ind w:firstLine="31680"/>
        <w:jc w:val="both"/>
        <w:rPr>
          <w:rFonts w:ascii="??_GB2312" w:hAnsi="??_GB2312" w:cs="??_GB2312"/>
          <w:b/>
          <w:bCs/>
          <w:sz w:val="32"/>
          <w:szCs w:val="32"/>
        </w:rPr>
      </w:pPr>
    </w:p>
    <w:p w14:paraId="46FBBB19">
      <w:pPr>
        <w:pStyle w:val="8"/>
        <w:widowControl w:val="0"/>
        <w:spacing w:line="560" w:lineRule="exact"/>
        <w:ind w:firstLine="0" w:firstLineChars="0"/>
        <w:jc w:val="both"/>
        <w:rPr>
          <w:rFonts w:ascii="??_GB2312" w:hAnsi="??_GB2312" w:cs="??_GB2312"/>
          <w:b/>
          <w:bCs/>
          <w:sz w:val="32"/>
          <w:szCs w:val="32"/>
        </w:rPr>
      </w:pPr>
    </w:p>
    <w:p w14:paraId="162679B7">
      <w:pPr>
        <w:pStyle w:val="8"/>
        <w:widowControl w:val="0"/>
        <w:spacing w:line="540" w:lineRule="exact"/>
        <w:ind w:firstLine="31680"/>
        <w:jc w:val="both"/>
        <w:rPr>
          <w:rFonts w:ascii="??_GB2312" w:hAnsi="??_GB2312" w:cs="??_GB2312"/>
          <w:b/>
          <w:bCs/>
          <w:sz w:val="32"/>
          <w:szCs w:val="32"/>
        </w:rPr>
      </w:pPr>
    </w:p>
    <w:p w14:paraId="76FA3C9A">
      <w:pPr>
        <w:pStyle w:val="8"/>
        <w:widowControl w:val="0"/>
        <w:spacing w:line="540" w:lineRule="exact"/>
        <w:ind w:firstLine="31680"/>
        <w:jc w:val="both"/>
        <w:rPr>
          <w:rFonts w:ascii="宋体" w:cs="Times New Roman"/>
          <w:b/>
          <w:bCs/>
          <w:sz w:val="32"/>
          <w:szCs w:val="32"/>
        </w:rPr>
      </w:pPr>
    </w:p>
    <w:p w14:paraId="412E00BE">
      <w:pPr>
        <w:pStyle w:val="8"/>
        <w:widowControl w:val="0"/>
        <w:spacing w:line="540" w:lineRule="exact"/>
        <w:ind w:firstLine="31680"/>
        <w:jc w:val="both"/>
        <w:rPr>
          <w:rFonts w:ascii="宋体" w:cs="Times New Roman"/>
          <w:b/>
          <w:bCs/>
          <w:sz w:val="32"/>
          <w:szCs w:val="32"/>
        </w:rPr>
      </w:pPr>
    </w:p>
    <w:p w14:paraId="4F8FE86E">
      <w:pPr>
        <w:pStyle w:val="8"/>
        <w:widowControl w:val="0"/>
        <w:spacing w:line="540" w:lineRule="exact"/>
        <w:ind w:firstLine="31680"/>
        <w:jc w:val="both"/>
        <w:rPr>
          <w:rFonts w:ascii="宋体" w:cs="Times New Roman"/>
          <w:b/>
          <w:bCs/>
          <w:sz w:val="32"/>
          <w:szCs w:val="32"/>
        </w:rPr>
      </w:pPr>
    </w:p>
    <w:p w14:paraId="327F8D59">
      <w:pPr>
        <w:pStyle w:val="8"/>
        <w:widowControl w:val="0"/>
        <w:spacing w:line="540" w:lineRule="exact"/>
        <w:ind w:firstLine="31680"/>
        <w:jc w:val="both"/>
        <w:rPr>
          <w:rFonts w:ascii="宋体" w:cs="Times New Roman"/>
          <w:b/>
          <w:bCs/>
          <w:sz w:val="32"/>
          <w:szCs w:val="32"/>
        </w:rPr>
      </w:pPr>
    </w:p>
    <w:p w14:paraId="484CC4EC">
      <w:pPr>
        <w:pStyle w:val="8"/>
        <w:widowControl w:val="0"/>
        <w:spacing w:line="560" w:lineRule="exact"/>
        <w:ind w:firstLine="31680"/>
        <w:jc w:val="both"/>
        <w:rPr>
          <w:rFonts w:ascii="方正楷体_GBK" w:hAnsi="Times New Roman" w:eastAsia="方正楷体_GBK" w:cs="Times New Roman"/>
          <w:b/>
          <w:bCs/>
          <w:sz w:val="32"/>
          <w:szCs w:val="32"/>
        </w:rPr>
      </w:pPr>
    </w:p>
    <w:p w14:paraId="3546BC11">
      <w:pPr>
        <w:pStyle w:val="8"/>
        <w:widowControl w:val="0"/>
        <w:spacing w:line="240" w:lineRule="exact"/>
        <w:ind w:firstLine="31680"/>
        <w:jc w:val="both"/>
        <w:rPr>
          <w:rFonts w:ascii="方正楷体_GBK" w:hAnsi="Times New Roman" w:eastAsia="方正楷体_GBK" w:cs="Times New Roman"/>
          <w:b/>
          <w:bCs/>
          <w:sz w:val="32"/>
          <w:szCs w:val="32"/>
        </w:rPr>
      </w:pPr>
    </w:p>
    <w:p w14:paraId="28ABA866">
      <w:pPr>
        <w:pStyle w:val="8"/>
        <w:widowControl w:val="0"/>
        <w:spacing w:line="560" w:lineRule="exact"/>
        <w:ind w:firstLine="31680"/>
        <w:jc w:val="both"/>
        <w:rPr>
          <w:rFonts w:ascii="方正楷体_GBK" w:hAnsi="Times New Roman" w:eastAsia="方正楷体_GBK" w:cs="Times New Roman"/>
          <w:b/>
          <w:bCs/>
          <w:sz w:val="32"/>
          <w:szCs w:val="32"/>
        </w:rPr>
      </w:pPr>
    </w:p>
    <w:p w14:paraId="3663DCCC">
      <w:pPr>
        <w:pStyle w:val="8"/>
        <w:widowControl w:val="0"/>
        <w:spacing w:line="560" w:lineRule="exact"/>
        <w:ind w:firstLine="31680"/>
        <w:jc w:val="both"/>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（六）深入开展爱国卫生工作</w:t>
      </w:r>
    </w:p>
    <w:p w14:paraId="200232C0">
      <w:pPr>
        <w:spacing w:line="560" w:lineRule="exact"/>
        <w:ind w:firstLine="643" w:firstLineChars="200"/>
        <w:rPr>
          <w:rFonts w:eastAsia="方正仿宋_GBK"/>
          <w:sz w:val="32"/>
          <w:szCs w:val="32"/>
        </w:rPr>
      </w:pPr>
      <w:r>
        <w:rPr>
          <w:rFonts w:hint="eastAsia" w:eastAsia="方正仿宋_GBK" w:cs="方正仿宋_GBK"/>
          <w:b/>
          <w:bCs/>
          <w:sz w:val="32"/>
          <w:szCs w:val="32"/>
        </w:rPr>
        <w:t>加强组织机构建设。</w:t>
      </w:r>
      <w:r>
        <w:rPr>
          <w:rFonts w:hint="eastAsia" w:eastAsia="方正仿宋_GBK" w:cs="方正仿宋_GBK"/>
          <w:sz w:val="32"/>
          <w:szCs w:val="32"/>
        </w:rPr>
        <w:t>进一步完善各级爱国卫生工作网络和公共卫生设施，明确各级机构专兼职爱国卫生工作人员及职责，加强爱国卫生工作人员能力建设，充分发挥社会组织、专业机构等作用，加强爱国卫生工作技术指导、政策咨询、宣传引导和技术培训。</w:t>
      </w:r>
    </w:p>
    <w:p w14:paraId="28272A49">
      <w:pPr>
        <w:spacing w:line="560" w:lineRule="exact"/>
        <w:ind w:firstLine="643" w:firstLineChars="200"/>
        <w:rPr>
          <w:rFonts w:eastAsia="方正仿宋_GBK"/>
          <w:sz w:val="32"/>
          <w:szCs w:val="32"/>
        </w:rPr>
      </w:pPr>
      <w:r>
        <w:rPr>
          <w:rFonts w:hint="eastAsia" w:eastAsia="方正仿宋_GBK" w:cs="方正仿宋_GBK"/>
          <w:b/>
          <w:bCs/>
          <w:sz w:val="32"/>
          <w:szCs w:val="32"/>
        </w:rPr>
        <w:t>创新社会动员机制。</w:t>
      </w:r>
      <w:r>
        <w:rPr>
          <w:rFonts w:hint="eastAsia" w:eastAsia="方正仿宋_GBK" w:cs="方正仿宋_GBK"/>
          <w:sz w:val="32"/>
          <w:szCs w:val="32"/>
        </w:rPr>
        <w:t>充分发挥爱国卫生运动的制度优势、组织优势、文化优势和群众优势，将爱国卫生运动与传染病、慢性病防控等密切结合，大力开展健康知识科普，倡导文明健康、绿色环保的生活方式。促进爱国卫生运动融入城镇和乡村基层治理，发挥工会、共青团、妇联等群团组织作用，完善社会力量参与机制，培育专业社工、志愿者队伍，推动爱国卫生运动融入群众日常生活，形成自上而下行政动员和自下而上主动参与相结合的群众动员机制。</w:t>
      </w:r>
      <w:r>
        <w:pict>
          <v:line id="_x0000_s1035" o:spid="_x0000_s1035" o:spt="20" style="position:absolute;left:0pt;margin-left:-11.5pt;margin-top:12.7pt;height:0.85pt;width:443.95pt;z-index:-251657216;mso-width-relative:page;mso-height-relative:page;" stroked="f" coordsize="21600,21600">
            <v:path arrowok="t"/>
            <v:fill focussize="0,0"/>
            <v:stroke on="f"/>
            <v:imagedata o:title=""/>
            <o:lock v:ext="edit"/>
          </v:line>
        </w:pict>
      </w:r>
    </w:p>
    <w:p w14:paraId="6E6DC3A8">
      <w:pPr>
        <w:spacing w:line="560" w:lineRule="exact"/>
        <w:ind w:firstLine="619" w:firstLineChars="200"/>
        <w:rPr>
          <w:rFonts w:eastAsia="方正仿宋_GBK"/>
          <w:spacing w:val="-6"/>
          <w:sz w:val="32"/>
          <w:szCs w:val="32"/>
        </w:rPr>
      </w:pPr>
      <w:r>
        <w:rPr>
          <w:rFonts w:hint="eastAsia" w:eastAsia="方正仿宋_GBK" w:cs="方正仿宋_GBK"/>
          <w:b/>
          <w:bCs/>
          <w:spacing w:val="-6"/>
          <w:sz w:val="32"/>
          <w:szCs w:val="32"/>
        </w:rPr>
        <w:t>改善城乡环境卫生。</w:t>
      </w:r>
      <w:r>
        <w:rPr>
          <w:rFonts w:hint="eastAsia" w:eastAsia="方正仿宋_GBK" w:cs="方正仿宋_GBK"/>
          <w:spacing w:val="-6"/>
          <w:sz w:val="32"/>
          <w:szCs w:val="32"/>
        </w:rPr>
        <w:t>开展城乡环境卫生综合整治，健全自治区爱国卫生日制度，持续推进爱国卫生日活动。进一步加大城乡垃圾和污水处理设施建设力度，提高生活污水和垃圾处理水平。全面推进厕所革命，加快中小学校、旅游景区、农贸市场、商场、医疗卫生机构、客运站等重点公共场所厕所改造、提标升级。实施饮用水安全保障工程，提升农村供水保障能力和饮水安全标准，加快城市供水设施建设和技术改造。科学开展病媒生物监测、消杀和预防性消毒，有效治理危害健康的主要环境因素。</w:t>
      </w:r>
    </w:p>
    <w:p w14:paraId="45EAA52F">
      <w:pPr>
        <w:spacing w:line="560" w:lineRule="exact"/>
        <w:ind w:firstLine="619" w:firstLineChars="200"/>
        <w:rPr>
          <w:rFonts w:eastAsia="方正仿宋_GBK"/>
          <w:spacing w:val="-6"/>
          <w:sz w:val="32"/>
          <w:szCs w:val="32"/>
        </w:rPr>
      </w:pPr>
      <w:bookmarkStart w:id="25" w:name="page42"/>
      <w:bookmarkEnd w:id="25"/>
      <w:r>
        <w:rPr>
          <w:rFonts w:hint="eastAsia" w:eastAsia="方正仿宋_GBK" w:cs="方正仿宋_GBK"/>
          <w:b/>
          <w:bCs/>
          <w:spacing w:val="-6"/>
          <w:sz w:val="32"/>
          <w:szCs w:val="32"/>
        </w:rPr>
        <w:t>推进卫生城镇和健康城镇建设。</w:t>
      </w:r>
      <w:r>
        <w:rPr>
          <w:rFonts w:hint="eastAsia" w:eastAsia="方正仿宋_GBK" w:cs="方正仿宋_GBK"/>
          <w:spacing w:val="-6"/>
          <w:sz w:val="32"/>
          <w:szCs w:val="32"/>
        </w:rPr>
        <w:t>推进国家卫生县城建设，创造健康支持环境，把全生命周期理念贯穿城乡规划、建设和管理全过程。实施全民健康素养提升工程，大力开展倡导讲文明、铸健康、守绿色、重环保等文明健康绿色环保生活方式活动。</w:t>
      </w:r>
      <w:r>
        <w:rPr>
          <w:rFonts w:hint="eastAsia" w:eastAsia="方正仿宋_GBK" w:cs="方正仿宋_GBK"/>
          <w:color w:val="000000"/>
          <w:spacing w:val="-6"/>
          <w:sz w:val="32"/>
          <w:szCs w:val="32"/>
        </w:rPr>
        <w:t>巩固自治区卫生县城覆盖成果，加快推进国家卫生县、乡镇创建和健康县建设；完善健康社区、健康单位、健康学校、健康家庭等健康细胞建设标准，规范健康细胞建设，筑牢</w:t>
      </w:r>
      <w:r>
        <w:rPr>
          <w:rFonts w:hint="eastAsia" w:eastAsia="方正仿宋_GBK" w:cs="方正仿宋_GBK"/>
          <w:spacing w:val="-6"/>
          <w:sz w:val="32"/>
          <w:szCs w:val="32"/>
        </w:rPr>
        <w:t>健康平罗建设的微观基础。构建全方位多层次推动建立爱国卫生运动的整体联动新格局，促进公共卫生环境治理水平和社会卫生健康综合治理能力进一步提升，实现由环境卫生治理向全面社会健康管理转变。</w:t>
      </w:r>
    </w:p>
    <w:p w14:paraId="14824CF1">
      <w:pPr>
        <w:spacing w:line="560" w:lineRule="exact"/>
        <w:ind w:firstLine="630" w:firstLineChars="196"/>
        <w:rPr>
          <w:rFonts w:ascii="方正楷体_GBK" w:eastAsia="方正楷体_GBK"/>
          <w:b/>
          <w:bCs/>
          <w:sz w:val="32"/>
          <w:szCs w:val="32"/>
        </w:rPr>
      </w:pPr>
      <w:r>
        <w:rPr>
          <w:rFonts w:hint="eastAsia" w:ascii="方正楷体_GBK" w:eastAsia="方正楷体_GBK" w:cs="方正楷体_GBK"/>
          <w:b/>
          <w:bCs/>
          <w:sz w:val="32"/>
          <w:szCs w:val="32"/>
        </w:rPr>
        <w:t>（七）深化医药卫生体制改革</w:t>
      </w:r>
    </w:p>
    <w:p w14:paraId="7C8D2398">
      <w:pPr>
        <w:spacing w:line="560" w:lineRule="exact"/>
        <w:ind w:firstLine="640" w:firstLineChars="200"/>
        <w:rPr>
          <w:rFonts w:eastAsia="方正仿宋_GBK"/>
          <w:sz w:val="32"/>
          <w:szCs w:val="32"/>
        </w:rPr>
      </w:pPr>
      <w:r>
        <w:rPr>
          <w:rFonts w:hint="eastAsia" w:eastAsia="方正仿宋_GBK" w:cs="方正仿宋_GBK"/>
          <w:sz w:val="32"/>
          <w:szCs w:val="32"/>
        </w:rPr>
        <w:t>坚持基本医疗卫生事业公益属性，以提高医疗质量和效率为导向，以公立医疗机构为主体、非公立医疗机构为补充，扩大医疗服务资源供给。</w:t>
      </w:r>
    </w:p>
    <w:p w14:paraId="0B3A9F80">
      <w:pPr>
        <w:spacing w:line="560" w:lineRule="exact"/>
        <w:ind w:firstLine="643" w:firstLineChars="200"/>
        <w:rPr>
          <w:rFonts w:eastAsia="方正仿宋_GBK"/>
          <w:sz w:val="32"/>
          <w:szCs w:val="32"/>
        </w:rPr>
      </w:pPr>
      <w:r>
        <w:rPr>
          <w:rFonts w:hint="eastAsia" w:eastAsia="方正仿宋_GBK" w:cs="方正仿宋_GBK"/>
          <w:b/>
          <w:bCs/>
          <w:sz w:val="32"/>
          <w:szCs w:val="32"/>
        </w:rPr>
        <w:t>全面开展县域综合医改。</w:t>
      </w:r>
      <w:r>
        <w:rPr>
          <w:rFonts w:hint="eastAsia" w:eastAsia="方正仿宋_GBK" w:cs="方正仿宋_GBK"/>
          <w:sz w:val="32"/>
          <w:szCs w:val="32"/>
        </w:rPr>
        <w:t>加快推进县域紧密型医共体和县域医疗中心及基层医疗分中心建设。通过构建医疗卫生服务新体系，建立医疗卫生服务新模式、建立运行保障新机制、深化机构管理体制改革，纵向整合县域医疗卫生资源，推行</w:t>
      </w:r>
      <w:r>
        <w:rPr>
          <w:rFonts w:eastAsia="方正仿宋_GBK"/>
          <w:sz w:val="32"/>
          <w:szCs w:val="32"/>
        </w:rPr>
        <w:t>“</w:t>
      </w:r>
      <w:r>
        <w:rPr>
          <w:rFonts w:hint="eastAsia" w:eastAsia="方正仿宋_GBK" w:cs="方正仿宋_GBK"/>
          <w:sz w:val="32"/>
          <w:szCs w:val="32"/>
        </w:rPr>
        <w:t>五统一</w:t>
      </w:r>
      <w:r>
        <w:rPr>
          <w:rFonts w:eastAsia="方正仿宋_GBK"/>
          <w:sz w:val="32"/>
          <w:szCs w:val="32"/>
        </w:rPr>
        <w:t>”</w:t>
      </w:r>
      <w:r>
        <w:rPr>
          <w:rFonts w:hint="eastAsia" w:eastAsia="方正仿宋_GBK" w:cs="方正仿宋_GBK"/>
          <w:sz w:val="32"/>
          <w:szCs w:val="32"/>
        </w:rPr>
        <w:t>管理、一体化运营，实现县域资源共建共享、管理同标同质、服务优质高效，不断提升县域医疗卫生服务能力。推动县域电子病</w:t>
      </w:r>
      <w:bookmarkStart w:id="26" w:name="page43"/>
      <w:bookmarkEnd w:id="26"/>
      <w:r>
        <w:rPr>
          <w:rFonts w:hint="eastAsia" w:eastAsia="方正仿宋_GBK" w:cs="方正仿宋_GBK"/>
          <w:sz w:val="32"/>
          <w:szCs w:val="32"/>
        </w:rPr>
        <w:t>历和基层医疗信息、疾病预防控制和妇幼保健等信息、采集设备信息、可穿戴设备标准化信息等全部归集入健康档案。完善电子健康档案服务内容，优化面向个人开放的服务渠道和交互方式，有效发挥在居民全流程健康管理中的基础性作用。</w:t>
      </w:r>
    </w:p>
    <w:p w14:paraId="2AF971EA">
      <w:pPr>
        <w:spacing w:line="560" w:lineRule="exact"/>
        <w:ind w:firstLine="619" w:firstLineChars="200"/>
        <w:rPr>
          <w:rFonts w:eastAsia="方正仿宋_GBK"/>
          <w:spacing w:val="-6"/>
          <w:sz w:val="32"/>
          <w:szCs w:val="32"/>
        </w:rPr>
      </w:pPr>
      <w:r>
        <w:rPr>
          <w:rFonts w:hint="eastAsia" w:eastAsia="方正仿宋_GBK" w:cs="方正仿宋_GBK"/>
          <w:b/>
          <w:bCs/>
          <w:spacing w:val="-6"/>
          <w:sz w:val="32"/>
          <w:szCs w:val="32"/>
        </w:rPr>
        <w:t>完善分级诊疗制度。</w:t>
      </w:r>
      <w:r>
        <w:rPr>
          <w:rFonts w:hint="eastAsia" w:eastAsia="方正仿宋_GBK" w:cs="方正仿宋_GBK"/>
          <w:spacing w:val="-6"/>
          <w:sz w:val="32"/>
          <w:szCs w:val="32"/>
        </w:rPr>
        <w:t>发挥县域医共体作用，理顺推进上下联通、资源共享的医共体内循环，健全基层首诊、急慢分治、双向转诊的有序分级诊疗体系。推进县域紧密型医共体建设，明晰县医疗健康总院内各医疗机构功能定位和职责，建立顺畅的转诊机制，落实不同级别医疗机构的差异化医保支付政策，引导参保患者首选基层医疗卫生机构就诊。建立健全门诊共济保障机制，主要用于支付基层门诊服务，探索以慢性病和重点人群为切入点，推进按人头打包付费等支付方式改革。推进大数据应用，强化临床路径管理，开展按疾病诊断相关分组付费（</w:t>
      </w:r>
      <w:r>
        <w:rPr>
          <w:rFonts w:eastAsia="方正仿宋_GBK"/>
          <w:spacing w:val="-6"/>
          <w:sz w:val="32"/>
          <w:szCs w:val="32"/>
        </w:rPr>
        <w:t>DRG</w:t>
      </w:r>
      <w:r>
        <w:rPr>
          <w:rFonts w:hint="eastAsia" w:eastAsia="方正仿宋_GBK" w:cs="方正仿宋_GBK"/>
          <w:spacing w:val="-6"/>
          <w:sz w:val="32"/>
          <w:szCs w:val="32"/>
        </w:rPr>
        <w:t>）、按病种分值付费（</w:t>
      </w:r>
      <w:r>
        <w:rPr>
          <w:rFonts w:eastAsia="方正仿宋_GBK"/>
          <w:spacing w:val="-6"/>
          <w:sz w:val="32"/>
          <w:szCs w:val="32"/>
        </w:rPr>
        <w:t>DIP</w:t>
      </w:r>
      <w:r>
        <w:rPr>
          <w:rFonts w:hint="eastAsia" w:eastAsia="方正仿宋_GBK" w:cs="方正仿宋_GBK"/>
          <w:spacing w:val="-6"/>
          <w:sz w:val="32"/>
          <w:szCs w:val="32"/>
        </w:rPr>
        <w:t>），创新慢性疾病支付方式，促进急慢分治。形成</w:t>
      </w:r>
      <w:r>
        <w:rPr>
          <w:rFonts w:eastAsia="方正仿宋_GBK"/>
          <w:spacing w:val="-6"/>
          <w:sz w:val="32"/>
          <w:szCs w:val="32"/>
        </w:rPr>
        <w:t>“</w:t>
      </w:r>
      <w:r>
        <w:rPr>
          <w:rFonts w:hint="eastAsia" w:eastAsia="方正仿宋_GBK" w:cs="方正仿宋_GBK"/>
          <w:spacing w:val="-6"/>
          <w:sz w:val="32"/>
          <w:szCs w:val="32"/>
        </w:rPr>
        <w:t>基层检查</w:t>
      </w:r>
      <w:r>
        <w:rPr>
          <w:rFonts w:eastAsia="方正仿宋_GBK"/>
          <w:spacing w:val="-6"/>
          <w:sz w:val="32"/>
          <w:szCs w:val="32"/>
        </w:rPr>
        <w:t>+</w:t>
      </w:r>
      <w:r>
        <w:rPr>
          <w:rFonts w:hint="eastAsia" w:eastAsia="方正仿宋_GBK" w:cs="方正仿宋_GBK"/>
          <w:spacing w:val="-6"/>
          <w:sz w:val="32"/>
          <w:szCs w:val="32"/>
        </w:rPr>
        <w:t>上级诊断</w:t>
      </w:r>
      <w:r>
        <w:rPr>
          <w:rFonts w:eastAsia="方正仿宋_GBK"/>
          <w:spacing w:val="-6"/>
          <w:sz w:val="32"/>
          <w:szCs w:val="32"/>
        </w:rPr>
        <w:t>+</w:t>
      </w:r>
      <w:r>
        <w:rPr>
          <w:rFonts w:hint="eastAsia" w:eastAsia="方正仿宋_GBK" w:cs="方正仿宋_GBK"/>
          <w:spacing w:val="-6"/>
          <w:sz w:val="32"/>
          <w:szCs w:val="32"/>
        </w:rPr>
        <w:t>区域互认</w:t>
      </w:r>
      <w:r>
        <w:rPr>
          <w:rFonts w:eastAsia="方正仿宋_GBK"/>
          <w:spacing w:val="-6"/>
          <w:sz w:val="32"/>
          <w:szCs w:val="32"/>
        </w:rPr>
        <w:t>”</w:t>
      </w:r>
      <w:r>
        <w:rPr>
          <w:rFonts w:hint="eastAsia" w:eastAsia="方正仿宋_GBK" w:cs="方正仿宋_GBK"/>
          <w:spacing w:val="-6"/>
          <w:sz w:val="32"/>
          <w:szCs w:val="32"/>
        </w:rPr>
        <w:t>模式，力争实现</w:t>
      </w:r>
      <w:r>
        <w:rPr>
          <w:rFonts w:eastAsia="方正仿宋_GBK"/>
          <w:spacing w:val="-6"/>
          <w:sz w:val="32"/>
          <w:szCs w:val="32"/>
        </w:rPr>
        <w:t>“</w:t>
      </w:r>
      <w:r>
        <w:rPr>
          <w:rFonts w:hint="eastAsia" w:eastAsia="方正仿宋_GBK" w:cs="方正仿宋_GBK"/>
          <w:spacing w:val="-6"/>
          <w:sz w:val="32"/>
          <w:szCs w:val="32"/>
        </w:rPr>
        <w:t>大病不出省、常见病不出县、一般病在基层</w:t>
      </w:r>
      <w:r>
        <w:rPr>
          <w:rFonts w:eastAsia="方正仿宋_GBK"/>
          <w:spacing w:val="-6"/>
          <w:sz w:val="32"/>
          <w:szCs w:val="32"/>
        </w:rPr>
        <w:t>”</w:t>
      </w:r>
      <w:r>
        <w:rPr>
          <w:rFonts w:hint="eastAsia" w:eastAsia="方正仿宋_GBK" w:cs="方正仿宋_GBK"/>
          <w:spacing w:val="-6"/>
          <w:sz w:val="32"/>
          <w:szCs w:val="32"/>
        </w:rPr>
        <w:t>的分级诊疗格局。</w:t>
      </w:r>
    </w:p>
    <w:p w14:paraId="7F08D98E">
      <w:pPr>
        <w:spacing w:line="560" w:lineRule="exact"/>
        <w:ind w:firstLine="643" w:firstLineChars="200"/>
        <w:rPr>
          <w:rFonts w:eastAsia="方正仿宋_GBK"/>
          <w:sz w:val="32"/>
          <w:szCs w:val="32"/>
        </w:rPr>
      </w:pPr>
      <w:r>
        <w:rPr>
          <w:rFonts w:hint="eastAsia" w:eastAsia="方正仿宋_GBK" w:cs="方正仿宋_GBK"/>
          <w:b/>
          <w:bCs/>
          <w:sz w:val="32"/>
          <w:szCs w:val="32"/>
        </w:rPr>
        <w:t>完善现代医院管理制度。</w:t>
      </w:r>
      <w:r>
        <w:rPr>
          <w:rFonts w:hint="eastAsia" w:eastAsia="方正仿宋_GBK" w:cs="方正仿宋_GBK"/>
          <w:sz w:val="32"/>
          <w:szCs w:val="32"/>
        </w:rPr>
        <w:t>深入推进现代医院管理制度建设。落实党委领导下的院长负责制。强化公立医疗机构成本核算，全面推进预算管理和精细化管理。深入推进治理结构、人事薪酬、编制管理和绩效考核改革。健全医疗卫生机构和公立医院综合改革绩效评价机制，综合运用好评价结果。建立价格科学确定、动态调整机制，持续优化医疗服务价格结构。做好公立</w:t>
      </w:r>
      <w:bookmarkStart w:id="27" w:name="page44"/>
      <w:bookmarkEnd w:id="27"/>
      <w:r>
        <w:rPr>
          <w:rFonts w:hint="eastAsia" w:eastAsia="方正仿宋_GBK" w:cs="方正仿宋_GBK"/>
          <w:sz w:val="32"/>
          <w:szCs w:val="32"/>
        </w:rPr>
        <w:t>医院发展规划、章程制定、重点项目实施、财政投入、运行监管等。全面开展公立医院绩效考核，优化绩效考核指标体系和方法，重点考核医疗质量、运营效率、持续发展、满意度评价等。完善县域医共体绩效考核制度。</w:t>
      </w:r>
    </w:p>
    <w:p w14:paraId="444649B3">
      <w:pPr>
        <w:spacing w:line="560" w:lineRule="exact"/>
        <w:ind w:firstLine="643" w:firstLineChars="200"/>
        <w:rPr>
          <w:rFonts w:eastAsia="方正仿宋_GBK"/>
          <w:sz w:val="32"/>
          <w:szCs w:val="32"/>
        </w:rPr>
      </w:pPr>
      <w:r>
        <w:rPr>
          <w:rFonts w:hint="eastAsia" w:eastAsia="方正仿宋_GBK" w:cs="方正仿宋_GBK"/>
          <w:b/>
          <w:bCs/>
          <w:sz w:val="32"/>
          <w:szCs w:val="32"/>
        </w:rPr>
        <w:t>完善药品供应保障制度。</w:t>
      </w:r>
      <w:r>
        <w:rPr>
          <w:rFonts w:hint="eastAsia" w:eastAsia="方正仿宋_GBK" w:cs="方正仿宋_GBK"/>
          <w:sz w:val="32"/>
          <w:szCs w:val="32"/>
        </w:rPr>
        <w:t>按照自治区政府办公厅《关于推动药品集中带量采购工作常态化制度化开展的实施意见》要求，落实国家组织药品和耗材集中采购、配送和使用工作，积极参与区域联盟、省际联盟和省区联合带量采购，引导药品价格回归合理水平，做好短缺药品保供稳价工作，加强药事管理，促进科学合理用药，更好保障人民群众用药。完善药品供应保障综合监管服务体系。对结核病、丙肝等需要长期服药治疗的重大传染病和严重精神障碍等慢性病探索进一步降低患者药费负担的有效方式。保障儿童等特殊人群用药。加强对传染病药品监测预警，推进传染病治疗短缺药品供应保障。</w:t>
      </w:r>
    </w:p>
    <w:p w14:paraId="18C47A4C">
      <w:pPr>
        <w:spacing w:line="560" w:lineRule="exact"/>
        <w:ind w:firstLine="643" w:firstLineChars="200"/>
        <w:rPr>
          <w:rFonts w:eastAsia="方正仿宋_GBK"/>
          <w:sz w:val="32"/>
          <w:szCs w:val="32"/>
        </w:rPr>
      </w:pPr>
      <w:r>
        <w:rPr>
          <w:rFonts w:hint="eastAsia" w:eastAsia="方正仿宋_GBK" w:cs="方正仿宋_GBK"/>
          <w:b/>
          <w:bCs/>
          <w:sz w:val="32"/>
          <w:szCs w:val="32"/>
        </w:rPr>
        <w:t>完善医疗保障制度。</w:t>
      </w:r>
      <w:r>
        <w:rPr>
          <w:rFonts w:hint="eastAsia" w:eastAsia="方正仿宋_GBK" w:cs="方正仿宋_GBK"/>
          <w:sz w:val="32"/>
          <w:szCs w:val="32"/>
        </w:rPr>
        <w:t>推进待遇保障、筹资运行、医保支付、基金监管和医药服务供给、医保管理服务改革，建立多层次医疗保障制度体系，完善公平适度的待遇保障机制，全面推进以按病种付费为主的多元复合式医保支付方式改革，继续开展区域点数法总额预算和病种分值付费（</w:t>
      </w:r>
      <w:r>
        <w:rPr>
          <w:rFonts w:eastAsia="方正仿宋_GBK"/>
          <w:sz w:val="32"/>
          <w:szCs w:val="32"/>
        </w:rPr>
        <w:t>DIP</w:t>
      </w:r>
      <w:r>
        <w:rPr>
          <w:rFonts w:hint="eastAsia" w:eastAsia="方正仿宋_GBK" w:cs="方正仿宋_GBK"/>
          <w:sz w:val="32"/>
          <w:szCs w:val="32"/>
        </w:rPr>
        <w:t>）试点工作。</w:t>
      </w:r>
      <w:r>
        <w:rPr>
          <w:rFonts w:eastAsia="方正仿宋_GBK"/>
          <w:sz w:val="32"/>
          <w:szCs w:val="32"/>
        </w:rPr>
        <w:t>2025</w:t>
      </w:r>
      <w:r>
        <w:rPr>
          <w:rFonts w:hint="eastAsia" w:eastAsia="方正仿宋_GBK" w:cs="方正仿宋_GBK"/>
          <w:sz w:val="32"/>
          <w:szCs w:val="32"/>
        </w:rPr>
        <w:t>年城乡居民医保政策范围内住院费用支付比例分别维持在</w:t>
      </w:r>
      <w:r>
        <w:rPr>
          <w:rFonts w:eastAsia="方正仿宋_GBK"/>
          <w:sz w:val="32"/>
          <w:szCs w:val="32"/>
        </w:rPr>
        <w:t>70%</w:t>
      </w:r>
      <w:r>
        <w:rPr>
          <w:rFonts w:hint="eastAsia" w:eastAsia="方正仿宋_GBK" w:cs="方正仿宋_GBK"/>
          <w:sz w:val="32"/>
          <w:szCs w:val="32"/>
        </w:rPr>
        <w:t>和</w:t>
      </w:r>
      <w:r>
        <w:rPr>
          <w:rFonts w:eastAsia="方正仿宋_GBK"/>
          <w:sz w:val="32"/>
          <w:szCs w:val="32"/>
        </w:rPr>
        <w:t xml:space="preserve"> 85%</w:t>
      </w:r>
      <w:r>
        <w:rPr>
          <w:rFonts w:hint="eastAsia" w:eastAsia="方正仿宋_GBK" w:cs="方正仿宋_GBK"/>
          <w:sz w:val="32"/>
          <w:szCs w:val="32"/>
        </w:rPr>
        <w:t>左右。将符合条件的互联网医疗服务纳入医保支付范围，落实异地就医结</w:t>
      </w:r>
      <w:bookmarkStart w:id="28" w:name="page45"/>
      <w:bookmarkEnd w:id="28"/>
      <w:r>
        <w:rPr>
          <w:rFonts w:hint="eastAsia" w:eastAsia="方正仿宋_GBK" w:cs="方正仿宋_GBK"/>
          <w:sz w:val="32"/>
          <w:szCs w:val="32"/>
        </w:rPr>
        <w:t>算、重大疾病医疗保险和救助制度，积极发展商业医疗保险。</w:t>
      </w:r>
    </w:p>
    <w:p w14:paraId="7A3700EA">
      <w:pPr>
        <w:spacing w:line="560" w:lineRule="exact"/>
        <w:ind w:firstLine="643" w:firstLineChars="200"/>
        <w:rPr>
          <w:rFonts w:eastAsia="方正仿宋_GBK"/>
          <w:sz w:val="32"/>
          <w:szCs w:val="32"/>
        </w:rPr>
      </w:pPr>
      <w:r>
        <w:rPr>
          <w:rFonts w:hint="eastAsia" w:eastAsia="方正仿宋_GBK" w:cs="方正仿宋_GBK"/>
          <w:b/>
          <w:bCs/>
          <w:sz w:val="32"/>
          <w:szCs w:val="32"/>
        </w:rPr>
        <w:t>完善卫生健康综合监管制度。</w:t>
      </w:r>
      <w:r>
        <w:rPr>
          <w:rFonts w:hint="eastAsia" w:eastAsia="方正仿宋_GBK" w:cs="方正仿宋_GBK"/>
          <w:sz w:val="32"/>
          <w:szCs w:val="32"/>
        </w:rPr>
        <w:t>建立健全机构自治、行业自律、政府监管、社会监督相结合的卫生健康综合监督管理体系。建立部门沟通协商机制，加强制度衔接和工作配合。加强卫生健康监督执法、食品安全监测和职业健康治理体系建设。落实食品安全标准体系，完善食品安全监测体系。加强食源性疾病监测和地方标准管理。建立医疗卫生机构绩效评估制度。建立医疗卫生机构、人员等信用记录制度，纳入全国信用信息共享平台。支持培育医疗卫生行业组织，在制定行业管理规范和技术标准、规范执业行为、维护行业信誉、调解处理服务纠纷等方面更好发挥作用。</w:t>
      </w:r>
    </w:p>
    <w:p w14:paraId="525D54A1">
      <w:pPr>
        <w:spacing w:line="560" w:lineRule="exact"/>
        <w:ind w:firstLine="643" w:firstLineChars="200"/>
        <w:rPr>
          <w:rFonts w:ascii="方正楷体_GBK" w:eastAsia="方正楷体_GBK"/>
          <w:sz w:val="32"/>
          <w:szCs w:val="32"/>
        </w:rPr>
      </w:pPr>
      <w:r>
        <w:rPr>
          <w:rFonts w:hint="eastAsia" w:ascii="方正楷体_GBK" w:eastAsia="方正楷体_GBK" w:cs="方正楷体_GBK"/>
          <w:b/>
          <w:bCs/>
          <w:sz w:val="32"/>
          <w:szCs w:val="32"/>
        </w:rPr>
        <w:t>（八）推进“互联网</w:t>
      </w:r>
      <w:r>
        <w:rPr>
          <w:rFonts w:ascii="方正楷体_GBK" w:eastAsia="方正楷体_GBK" w:cs="方正楷体_GBK"/>
          <w:b/>
          <w:bCs/>
          <w:sz w:val="32"/>
          <w:szCs w:val="32"/>
        </w:rPr>
        <w:t>+</w:t>
      </w:r>
      <w:r>
        <w:rPr>
          <w:rFonts w:hint="eastAsia" w:ascii="方正楷体_GBK" w:eastAsia="方正楷体_GBK" w:cs="方正楷体_GBK"/>
          <w:b/>
          <w:bCs/>
          <w:sz w:val="32"/>
          <w:szCs w:val="32"/>
        </w:rPr>
        <w:t>”卫生健康服务</w:t>
      </w:r>
    </w:p>
    <w:p w14:paraId="4EE92EC1">
      <w:pPr>
        <w:spacing w:line="560" w:lineRule="exact"/>
        <w:ind w:firstLine="643" w:firstLineChars="200"/>
        <w:rPr>
          <w:rFonts w:eastAsia="方正仿宋_GBK"/>
          <w:sz w:val="32"/>
          <w:szCs w:val="32"/>
        </w:rPr>
      </w:pPr>
      <w:r>
        <w:rPr>
          <w:rFonts w:hint="eastAsia" w:eastAsia="方正仿宋_GBK" w:cs="方正仿宋_GBK"/>
          <w:b/>
          <w:bCs/>
          <w:sz w:val="32"/>
          <w:szCs w:val="32"/>
        </w:rPr>
        <w:t>实现卫生健康一体化服务。</w:t>
      </w:r>
      <w:r>
        <w:rPr>
          <w:rFonts w:hint="eastAsia" w:eastAsia="方正仿宋_GBK" w:cs="方正仿宋_GBK"/>
          <w:color w:val="000000"/>
          <w:sz w:val="32"/>
          <w:szCs w:val="32"/>
        </w:rPr>
        <w:t>深化平罗县智慧健康云平台建设和应用，</w:t>
      </w:r>
      <w:r>
        <w:rPr>
          <w:rFonts w:hint="eastAsia" w:eastAsia="方正仿宋_GBK" w:cs="方正仿宋_GBK"/>
          <w:sz w:val="32"/>
          <w:szCs w:val="32"/>
        </w:rPr>
        <w:t>推动跨区域、跨层级、跨部门医疗资源共享和业务协同，拓展全生命周期健康服务应用场景，加快卫生健康数字化应用进程，把</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应用到医疗、医药、医保、健康管理等各领域、各环节。提升居民健康档案数据质量并建立逐步向公众开放的健康档案查询、使用和监管机制。</w:t>
      </w:r>
    </w:p>
    <w:p w14:paraId="6720F06F">
      <w:pPr>
        <w:spacing w:line="560" w:lineRule="exact"/>
        <w:ind w:firstLine="643" w:firstLineChars="200"/>
        <w:rPr>
          <w:rFonts w:eastAsia="方正仿宋_GBK"/>
          <w:sz w:val="32"/>
          <w:szCs w:val="32"/>
        </w:rPr>
      </w:pPr>
      <w:r>
        <w:rPr>
          <w:rFonts w:hint="eastAsia" w:eastAsia="方正仿宋_GBK" w:cs="方正仿宋_GBK"/>
          <w:b/>
          <w:bCs/>
          <w:sz w:val="32"/>
          <w:szCs w:val="32"/>
        </w:rPr>
        <w:t>推进</w:t>
      </w:r>
      <w:r>
        <w:rPr>
          <w:rFonts w:eastAsia="方正仿宋_GBK"/>
          <w:b/>
          <w:bCs/>
          <w:sz w:val="32"/>
          <w:szCs w:val="32"/>
        </w:rPr>
        <w:t>“</w:t>
      </w:r>
      <w:r>
        <w:rPr>
          <w:rFonts w:hint="eastAsia" w:eastAsia="方正仿宋_GBK" w:cs="方正仿宋_GBK"/>
          <w:b/>
          <w:bCs/>
          <w:sz w:val="32"/>
          <w:szCs w:val="32"/>
        </w:rPr>
        <w:t>互联网</w:t>
      </w:r>
      <w:r>
        <w:rPr>
          <w:rFonts w:eastAsia="方正仿宋_GBK"/>
          <w:b/>
          <w:bCs/>
          <w:sz w:val="32"/>
          <w:szCs w:val="32"/>
        </w:rPr>
        <w:t>+”</w:t>
      </w:r>
      <w:r>
        <w:rPr>
          <w:rFonts w:hint="eastAsia" w:eastAsia="方正仿宋_GBK" w:cs="方正仿宋_GBK"/>
          <w:b/>
          <w:bCs/>
          <w:sz w:val="32"/>
          <w:szCs w:val="32"/>
        </w:rPr>
        <w:t>健康服务和管理标准化。</w:t>
      </w:r>
      <w:r>
        <w:rPr>
          <w:rFonts w:hint="eastAsia" w:eastAsia="方正仿宋_GBK" w:cs="方正仿宋_GBK"/>
          <w:sz w:val="32"/>
          <w:szCs w:val="32"/>
        </w:rPr>
        <w:t>加快和规范全民健康信息平台、医院信息平台和基层医疗卫生机构、公共卫生、政务服务一体化、中医药领域信息标准化建设。加强全员人口、电子健康档案、电子病历、基础资源等全民健康信息数据库标准</w:t>
      </w:r>
      <w:bookmarkStart w:id="29" w:name="page46"/>
      <w:bookmarkEnd w:id="29"/>
      <w:r>
        <w:rPr>
          <w:rFonts w:hint="eastAsia" w:eastAsia="方正仿宋_GBK" w:cs="方正仿宋_GBK"/>
          <w:sz w:val="32"/>
          <w:szCs w:val="32"/>
        </w:rPr>
        <w:t>化建设。全县卫生健康信息实现一网一库一码一平台高效集成，人工智能辅助诊疗实现基层医疗卫生机构</w:t>
      </w:r>
      <w:r>
        <w:rPr>
          <w:rFonts w:eastAsia="方正仿宋_GBK"/>
          <w:sz w:val="32"/>
          <w:szCs w:val="32"/>
        </w:rPr>
        <w:t>100%</w:t>
      </w:r>
      <w:r>
        <w:rPr>
          <w:rFonts w:hint="eastAsia" w:eastAsia="方正仿宋_GBK" w:cs="方正仿宋_GBK"/>
          <w:sz w:val="32"/>
          <w:szCs w:val="32"/>
        </w:rPr>
        <w:t>全覆盖。推进</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线上线下一体化服务、健康医疗大数据、医疗健康人工智能应用标准化建设，鼓励和探索推进</w:t>
      </w:r>
      <w:r>
        <w:rPr>
          <w:rFonts w:eastAsia="方正仿宋_GBK"/>
          <w:sz w:val="32"/>
          <w:szCs w:val="32"/>
        </w:rPr>
        <w:t>5G</w:t>
      </w:r>
      <w:r>
        <w:rPr>
          <w:rFonts w:hint="eastAsia" w:eastAsia="方正仿宋_GBK" w:cs="方正仿宋_GBK"/>
          <w:sz w:val="32"/>
          <w:szCs w:val="32"/>
        </w:rPr>
        <w:t>技术、区块链技术在医疗健康领域应用的标准化建设。加强卫生健康行业网络安全、数据安全和行业应用安全标准体系及监管制度建设，全面规范推进公共卫生信息化建设。完善传染病、免疫规划、慢性病、地方病、精神卫生、老年人健康、妇幼健康、健康教育、伤害防控、突发公共卫生事件、环境卫生、监督执法、职业病、</w:t>
      </w:r>
      <w:r>
        <w:rPr>
          <w:rFonts w:eastAsia="方正仿宋_GBK"/>
          <w:sz w:val="32"/>
          <w:szCs w:val="32"/>
        </w:rPr>
        <w:t xml:space="preserve"> 120 </w:t>
      </w:r>
      <w:r>
        <w:rPr>
          <w:rFonts w:hint="eastAsia" w:eastAsia="方正仿宋_GBK" w:cs="方正仿宋_GBK"/>
          <w:sz w:val="32"/>
          <w:szCs w:val="32"/>
        </w:rPr>
        <w:t>急救等业务领域信息化建设，实现信息系统互通共享和健康服务深度融合。</w:t>
      </w:r>
    </w:p>
    <w:p w14:paraId="6B66722C">
      <w:pPr>
        <w:spacing w:line="560" w:lineRule="exact"/>
        <w:ind w:firstLine="643" w:firstLineChars="200"/>
        <w:rPr>
          <w:rFonts w:eastAsia="方正仿宋_GBK"/>
          <w:sz w:val="32"/>
          <w:szCs w:val="32"/>
        </w:rPr>
      </w:pPr>
      <w:r>
        <w:rPr>
          <w:rFonts w:hint="eastAsia" w:eastAsia="方正仿宋_GBK" w:cs="方正仿宋_GBK"/>
          <w:b/>
          <w:bCs/>
          <w:sz w:val="32"/>
          <w:szCs w:val="32"/>
        </w:rPr>
        <w:t>加强</w:t>
      </w:r>
      <w:r>
        <w:rPr>
          <w:rFonts w:eastAsia="方正仿宋_GBK"/>
          <w:b/>
          <w:bCs/>
          <w:sz w:val="32"/>
          <w:szCs w:val="32"/>
        </w:rPr>
        <w:t>“</w:t>
      </w:r>
      <w:r>
        <w:rPr>
          <w:rFonts w:hint="eastAsia" w:eastAsia="方正仿宋_GBK" w:cs="方正仿宋_GBK"/>
          <w:b/>
          <w:bCs/>
          <w:sz w:val="32"/>
          <w:szCs w:val="32"/>
        </w:rPr>
        <w:t>互联网</w:t>
      </w:r>
      <w:r>
        <w:rPr>
          <w:rFonts w:eastAsia="方正仿宋_GBK"/>
          <w:b/>
          <w:bCs/>
          <w:sz w:val="32"/>
          <w:szCs w:val="32"/>
        </w:rPr>
        <w:t>+</w:t>
      </w:r>
      <w:r>
        <w:rPr>
          <w:rFonts w:hint="eastAsia" w:eastAsia="方正仿宋_GBK" w:cs="方正仿宋_GBK"/>
          <w:b/>
          <w:bCs/>
          <w:sz w:val="32"/>
          <w:szCs w:val="32"/>
        </w:rPr>
        <w:t>医疗</w:t>
      </w:r>
      <w:r>
        <w:rPr>
          <w:rFonts w:eastAsia="方正仿宋_GBK"/>
          <w:b/>
          <w:bCs/>
          <w:sz w:val="32"/>
          <w:szCs w:val="32"/>
        </w:rPr>
        <w:t>”</w:t>
      </w:r>
      <w:r>
        <w:rPr>
          <w:rFonts w:hint="eastAsia" w:eastAsia="方正仿宋_GBK" w:cs="方正仿宋_GBK"/>
          <w:b/>
          <w:bCs/>
          <w:sz w:val="32"/>
          <w:szCs w:val="32"/>
        </w:rPr>
        <w:t>服务。</w:t>
      </w:r>
      <w:r>
        <w:rPr>
          <w:rFonts w:hint="eastAsia" w:eastAsia="方正仿宋_GBK" w:cs="方正仿宋_GBK"/>
          <w:sz w:val="32"/>
          <w:szCs w:val="32"/>
        </w:rPr>
        <w:t>提升医疗机构信息化建设水平，三级医院电子病历应用评价分级达到</w:t>
      </w:r>
      <w:r>
        <w:rPr>
          <w:rFonts w:eastAsia="方正仿宋_GBK"/>
          <w:color w:val="000000"/>
          <w:sz w:val="32"/>
          <w:szCs w:val="32"/>
        </w:rPr>
        <w:t xml:space="preserve"> 5 </w:t>
      </w:r>
      <w:r>
        <w:rPr>
          <w:rFonts w:hint="eastAsia" w:eastAsia="方正仿宋_GBK" w:cs="方正仿宋_GBK"/>
          <w:sz w:val="32"/>
          <w:szCs w:val="32"/>
        </w:rPr>
        <w:t>级以上、医疗健康信息互联互通标准化成熟度测评达到四级乙等及以上；二级医院电子病历应用评价分级达到</w:t>
      </w:r>
      <w:r>
        <w:rPr>
          <w:rFonts w:eastAsia="方正仿宋_GBK"/>
          <w:sz w:val="32"/>
          <w:szCs w:val="32"/>
        </w:rPr>
        <w:t xml:space="preserve"> </w:t>
      </w:r>
      <w:r>
        <w:rPr>
          <w:rFonts w:eastAsia="方正仿宋_GBK"/>
          <w:color w:val="000000"/>
          <w:sz w:val="32"/>
          <w:szCs w:val="32"/>
        </w:rPr>
        <w:t xml:space="preserve">4 </w:t>
      </w:r>
      <w:r>
        <w:rPr>
          <w:rFonts w:hint="eastAsia" w:eastAsia="方正仿宋_GBK" w:cs="方正仿宋_GBK"/>
          <w:color w:val="000000"/>
          <w:sz w:val="32"/>
          <w:szCs w:val="32"/>
        </w:rPr>
        <w:t>级以</w:t>
      </w:r>
      <w:r>
        <w:rPr>
          <w:rFonts w:hint="eastAsia" w:eastAsia="方正仿宋_GBK" w:cs="方正仿宋_GBK"/>
          <w:sz w:val="32"/>
          <w:szCs w:val="32"/>
        </w:rPr>
        <w:t>上，成熟度测评达到三级及以上。推进远程医疗服务，远程专家门诊、远程疑难重症会诊、远程复诊运行更加顺畅便捷，远程影像、心电、病理、超声诊断全域覆盖，高效运行。推进</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护理服务</w:t>
      </w:r>
      <w:r>
        <w:rPr>
          <w:rFonts w:eastAsia="方正仿宋_GBK"/>
          <w:sz w:val="32"/>
          <w:szCs w:val="32"/>
        </w:rPr>
        <w:t>”</w:t>
      </w:r>
      <w:r>
        <w:rPr>
          <w:rFonts w:hint="eastAsia" w:eastAsia="方正仿宋_GBK" w:cs="方正仿宋_GBK"/>
          <w:sz w:val="32"/>
          <w:szCs w:val="32"/>
        </w:rPr>
        <w:t>试点，延伸服务链条，为出院患者或行动不便、高龄体弱、失能失智、生命终末期患者提供便捷、专业的医疗护理服务。推进预约诊疗服务，整合预约挂号资源，二级医院预约诊疗率达到</w:t>
      </w:r>
      <w:r>
        <w:rPr>
          <w:rFonts w:eastAsia="方正仿宋_GBK"/>
          <w:sz w:val="32"/>
          <w:szCs w:val="32"/>
        </w:rPr>
        <w:t>80%</w:t>
      </w:r>
      <w:r>
        <w:rPr>
          <w:rFonts w:hint="eastAsia" w:eastAsia="方正仿宋_GBK" w:cs="方正仿宋_GBK"/>
          <w:sz w:val="32"/>
          <w:szCs w:val="32"/>
        </w:rPr>
        <w:t>以上。患者候诊时间控制在</w:t>
      </w:r>
      <w:r>
        <w:rPr>
          <w:rFonts w:eastAsia="方正仿宋_GBK"/>
          <w:sz w:val="32"/>
          <w:szCs w:val="32"/>
        </w:rPr>
        <w:t>30</w:t>
      </w:r>
      <w:r>
        <w:rPr>
          <w:rFonts w:hint="eastAsia" w:eastAsia="方正仿宋_GBK" w:cs="方正仿宋_GBK"/>
          <w:sz w:val="32"/>
          <w:szCs w:val="32"/>
        </w:rPr>
        <w:t>分钟以内。创新医疗服</w:t>
      </w:r>
      <w:bookmarkStart w:id="30" w:name="page47"/>
      <w:bookmarkEnd w:id="30"/>
      <w:r>
        <w:rPr>
          <w:rFonts w:hint="eastAsia" w:eastAsia="方正仿宋_GBK" w:cs="方正仿宋_GBK"/>
          <w:sz w:val="32"/>
          <w:szCs w:val="32"/>
        </w:rPr>
        <w:t>务模式，日间手术、预住院制度、多学科联合诊疗（</w:t>
      </w:r>
      <w:r>
        <w:rPr>
          <w:rFonts w:eastAsia="方正仿宋_GBK"/>
          <w:sz w:val="32"/>
          <w:szCs w:val="32"/>
        </w:rPr>
        <w:t>MDT</w:t>
      </w:r>
      <w:r>
        <w:rPr>
          <w:rFonts w:hint="eastAsia" w:eastAsia="方正仿宋_GBK" w:cs="方正仿宋_GBK"/>
          <w:sz w:val="32"/>
          <w:szCs w:val="32"/>
        </w:rPr>
        <w:t>）在二、三级公立综合医院全面推行，检查检验结果互认落实落地。</w:t>
      </w:r>
    </w:p>
    <w:p w14:paraId="18680728">
      <w:pPr>
        <w:spacing w:line="560" w:lineRule="exact"/>
        <w:ind w:firstLine="643" w:firstLineChars="200"/>
        <w:rPr>
          <w:rFonts w:eastAsia="方正仿宋_GBK"/>
          <w:sz w:val="32"/>
          <w:szCs w:val="32"/>
        </w:rPr>
      </w:pPr>
      <w:r>
        <w:rPr>
          <w:rFonts w:hint="eastAsia" w:eastAsia="方正仿宋_GBK" w:cs="方正仿宋_GBK"/>
          <w:b/>
          <w:bCs/>
          <w:sz w:val="32"/>
          <w:szCs w:val="32"/>
        </w:rPr>
        <w:t>实行</w:t>
      </w:r>
      <w:r>
        <w:rPr>
          <w:rFonts w:eastAsia="方正仿宋_GBK"/>
          <w:b/>
          <w:bCs/>
          <w:sz w:val="32"/>
          <w:szCs w:val="32"/>
        </w:rPr>
        <w:t>“</w:t>
      </w:r>
      <w:r>
        <w:rPr>
          <w:rFonts w:hint="eastAsia" w:eastAsia="方正仿宋_GBK" w:cs="方正仿宋_GBK"/>
          <w:b/>
          <w:bCs/>
          <w:sz w:val="32"/>
          <w:szCs w:val="32"/>
        </w:rPr>
        <w:t>五个一</w:t>
      </w:r>
      <w:r>
        <w:rPr>
          <w:rFonts w:eastAsia="方正仿宋_GBK"/>
          <w:b/>
          <w:bCs/>
          <w:sz w:val="32"/>
          <w:szCs w:val="32"/>
        </w:rPr>
        <w:t>”</w:t>
      </w:r>
      <w:r>
        <w:rPr>
          <w:rFonts w:hint="eastAsia" w:eastAsia="方正仿宋_GBK" w:cs="方正仿宋_GBK"/>
          <w:b/>
          <w:bCs/>
          <w:sz w:val="32"/>
          <w:szCs w:val="32"/>
        </w:rPr>
        <w:t>服务。</w:t>
      </w:r>
      <w:r>
        <w:rPr>
          <w:rFonts w:hint="eastAsia" w:eastAsia="方正仿宋_GBK" w:cs="方正仿宋_GBK"/>
          <w:sz w:val="32"/>
          <w:szCs w:val="32"/>
        </w:rPr>
        <w:t>推进医疗服务</w:t>
      </w:r>
      <w:r>
        <w:rPr>
          <w:rFonts w:eastAsia="方正仿宋_GBK"/>
          <w:sz w:val="32"/>
          <w:szCs w:val="32"/>
        </w:rPr>
        <w:t>“</w:t>
      </w:r>
      <w:r>
        <w:rPr>
          <w:rFonts w:hint="eastAsia" w:eastAsia="方正仿宋_GBK" w:cs="方正仿宋_GBK"/>
          <w:sz w:val="32"/>
          <w:szCs w:val="32"/>
        </w:rPr>
        <w:t>一体化</w:t>
      </w:r>
      <w:r>
        <w:rPr>
          <w:rFonts w:eastAsia="方正仿宋_GBK"/>
          <w:sz w:val="32"/>
          <w:szCs w:val="32"/>
        </w:rPr>
        <w:t>”</w:t>
      </w:r>
      <w:r>
        <w:rPr>
          <w:rFonts w:hint="eastAsia" w:eastAsia="方正仿宋_GBK" w:cs="方正仿宋_GBK"/>
          <w:sz w:val="32"/>
          <w:szCs w:val="32"/>
        </w:rPr>
        <w:t>共享。推动居民电子健康码与电子社保卡、金融支付码等</w:t>
      </w:r>
      <w:r>
        <w:rPr>
          <w:rFonts w:eastAsia="方正仿宋_GBK"/>
          <w:sz w:val="32"/>
          <w:szCs w:val="32"/>
        </w:rPr>
        <w:t>“</w:t>
      </w:r>
      <w:r>
        <w:rPr>
          <w:rFonts w:hint="eastAsia" w:eastAsia="方正仿宋_GBK" w:cs="方正仿宋_GBK"/>
          <w:sz w:val="32"/>
          <w:szCs w:val="32"/>
        </w:rPr>
        <w:t>多码融合</w:t>
      </w:r>
      <w:r>
        <w:rPr>
          <w:rFonts w:eastAsia="方正仿宋_GBK"/>
          <w:sz w:val="32"/>
          <w:szCs w:val="32"/>
        </w:rPr>
        <w:t>”</w:t>
      </w:r>
      <w:r>
        <w:rPr>
          <w:rFonts w:hint="eastAsia" w:eastAsia="方正仿宋_GBK" w:cs="方正仿宋_GBK"/>
          <w:sz w:val="32"/>
          <w:szCs w:val="32"/>
        </w:rPr>
        <w:t>应用，实现</w:t>
      </w:r>
      <w:r>
        <w:rPr>
          <w:rFonts w:eastAsia="方正仿宋_GBK"/>
          <w:sz w:val="32"/>
          <w:szCs w:val="32"/>
        </w:rPr>
        <w:t>“</w:t>
      </w:r>
      <w:r>
        <w:rPr>
          <w:rFonts w:hint="eastAsia" w:eastAsia="方正仿宋_GBK" w:cs="方正仿宋_GBK"/>
          <w:sz w:val="32"/>
          <w:szCs w:val="32"/>
        </w:rPr>
        <w:t>一码通</w:t>
      </w:r>
      <w:r>
        <w:rPr>
          <w:rFonts w:eastAsia="方正仿宋_GBK"/>
          <w:sz w:val="32"/>
          <w:szCs w:val="32"/>
        </w:rPr>
        <w:t>”</w:t>
      </w:r>
      <w:r>
        <w:rPr>
          <w:rFonts w:hint="eastAsia" w:eastAsia="方正仿宋_GBK" w:cs="方正仿宋_GBK"/>
          <w:sz w:val="32"/>
          <w:szCs w:val="32"/>
        </w:rPr>
        <w:t>融合。推行</w:t>
      </w:r>
      <w:r>
        <w:rPr>
          <w:rFonts w:eastAsia="方正仿宋_GBK"/>
          <w:sz w:val="32"/>
          <w:szCs w:val="32"/>
        </w:rPr>
        <w:t>“</w:t>
      </w:r>
      <w:r>
        <w:rPr>
          <w:rFonts w:hint="eastAsia" w:eastAsia="方正仿宋_GBK" w:cs="方正仿宋_GBK"/>
          <w:sz w:val="32"/>
          <w:szCs w:val="32"/>
        </w:rPr>
        <w:t>一站式</w:t>
      </w:r>
      <w:r>
        <w:rPr>
          <w:rFonts w:eastAsia="方正仿宋_GBK"/>
          <w:sz w:val="32"/>
          <w:szCs w:val="32"/>
        </w:rPr>
        <w:t>”</w:t>
      </w:r>
      <w:r>
        <w:rPr>
          <w:rFonts w:hint="eastAsia" w:eastAsia="方正仿宋_GBK" w:cs="方正仿宋_GBK"/>
          <w:sz w:val="32"/>
          <w:szCs w:val="32"/>
        </w:rPr>
        <w:t>及时结算，落实</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支付政策。推进</w:t>
      </w:r>
      <w:r>
        <w:rPr>
          <w:rFonts w:eastAsia="方正仿宋_GBK"/>
          <w:sz w:val="32"/>
          <w:szCs w:val="32"/>
        </w:rPr>
        <w:t>“</w:t>
      </w:r>
      <w:r>
        <w:rPr>
          <w:rFonts w:hint="eastAsia" w:eastAsia="方正仿宋_GBK" w:cs="方正仿宋_GBK"/>
          <w:sz w:val="32"/>
          <w:szCs w:val="32"/>
        </w:rPr>
        <w:t>一网办</w:t>
      </w:r>
      <w:r>
        <w:rPr>
          <w:rFonts w:eastAsia="方正仿宋_GBK"/>
          <w:sz w:val="32"/>
          <w:szCs w:val="32"/>
        </w:rPr>
        <w:t>”</w:t>
      </w:r>
      <w:r>
        <w:rPr>
          <w:rFonts w:hint="eastAsia" w:eastAsia="方正仿宋_GBK" w:cs="方正仿宋_GBK"/>
          <w:sz w:val="32"/>
          <w:szCs w:val="32"/>
        </w:rPr>
        <w:t>卫生政务服务，推进出生证电子证照和出生</w:t>
      </w:r>
      <w:r>
        <w:rPr>
          <w:rFonts w:eastAsia="方正仿宋_GBK"/>
          <w:sz w:val="32"/>
          <w:szCs w:val="32"/>
        </w:rPr>
        <w:t>“</w:t>
      </w:r>
      <w:r>
        <w:rPr>
          <w:rFonts w:hint="eastAsia" w:eastAsia="方正仿宋_GBK" w:cs="方正仿宋_GBK"/>
          <w:sz w:val="32"/>
          <w:szCs w:val="32"/>
        </w:rPr>
        <w:t>一件事</w:t>
      </w:r>
      <w:r>
        <w:rPr>
          <w:rFonts w:eastAsia="方正仿宋_GBK"/>
          <w:sz w:val="32"/>
          <w:szCs w:val="32"/>
        </w:rPr>
        <w:t>”</w:t>
      </w:r>
      <w:r>
        <w:rPr>
          <w:rFonts w:hint="eastAsia" w:eastAsia="方正仿宋_GBK" w:cs="方正仿宋_GBK"/>
          <w:sz w:val="32"/>
          <w:szCs w:val="32"/>
        </w:rPr>
        <w:t>服务。推进基层减负服务，减少手工填报和重复报数等内容，提升公共服务均等化、便利化。推进应对突发公共卫生事件和重大疫情防控</w:t>
      </w:r>
      <w:r>
        <w:rPr>
          <w:rFonts w:eastAsia="方正仿宋_GBK"/>
          <w:sz w:val="32"/>
          <w:szCs w:val="32"/>
        </w:rPr>
        <w:t>“</w:t>
      </w:r>
      <w:r>
        <w:rPr>
          <w:rFonts w:hint="eastAsia" w:eastAsia="方正仿宋_GBK" w:cs="方正仿宋_GBK"/>
          <w:sz w:val="32"/>
          <w:szCs w:val="32"/>
        </w:rPr>
        <w:t>一盘棋</w:t>
      </w:r>
      <w:r>
        <w:rPr>
          <w:rFonts w:eastAsia="方正仿宋_GBK"/>
          <w:sz w:val="32"/>
          <w:szCs w:val="32"/>
        </w:rPr>
        <w:t>”</w:t>
      </w:r>
      <w:r>
        <w:rPr>
          <w:rFonts w:hint="eastAsia" w:eastAsia="方正仿宋_GBK" w:cs="方正仿宋_GBK"/>
          <w:sz w:val="32"/>
          <w:szCs w:val="32"/>
        </w:rPr>
        <w:t>服务。推动数字化服务普惠应用，坚持传统服务方式与智能化服务创新并行，解决老年人</w:t>
      </w:r>
      <w:r>
        <w:rPr>
          <w:rFonts w:eastAsia="方正仿宋_GBK"/>
          <w:sz w:val="32"/>
          <w:szCs w:val="32"/>
        </w:rPr>
        <w:t>“</w:t>
      </w:r>
      <w:r>
        <w:rPr>
          <w:rFonts w:hint="eastAsia" w:eastAsia="方正仿宋_GBK" w:cs="方正仿宋_GBK"/>
          <w:sz w:val="32"/>
          <w:szCs w:val="32"/>
        </w:rPr>
        <w:t>数字鸿沟</w:t>
      </w:r>
      <w:r>
        <w:rPr>
          <w:rFonts w:eastAsia="方正仿宋_GBK"/>
          <w:sz w:val="32"/>
          <w:szCs w:val="32"/>
        </w:rPr>
        <w:t>”</w:t>
      </w:r>
      <w:r>
        <w:rPr>
          <w:rFonts w:hint="eastAsia" w:eastAsia="方正仿宋_GBK" w:cs="方正仿宋_GBK"/>
          <w:sz w:val="32"/>
          <w:szCs w:val="32"/>
        </w:rPr>
        <w:t>问题，提升智慧助老和老年人享受智能化服务便捷化服务水平，持续提升群众获得感。</w:t>
      </w:r>
    </w:p>
    <w:p w14:paraId="1FD1F673">
      <w:pPr>
        <w:numPr>
          <w:ilvl w:val="0"/>
          <w:numId w:val="1"/>
        </w:numPr>
        <w:spacing w:line="560" w:lineRule="exact"/>
        <w:ind w:firstLine="643" w:firstLineChars="200"/>
        <w:rPr>
          <w:rFonts w:ascii="方正楷体_GBK" w:eastAsia="方正楷体_GBK"/>
          <w:b/>
          <w:bCs/>
          <w:sz w:val="32"/>
          <w:szCs w:val="32"/>
        </w:rPr>
      </w:pPr>
      <w:r>
        <w:rPr>
          <w:rFonts w:hint="eastAsia" w:ascii="方正楷体_GBK" w:eastAsia="方正楷体_GBK" w:cs="方正楷体_GBK"/>
          <w:b/>
          <w:bCs/>
          <w:sz w:val="32"/>
          <w:szCs w:val="32"/>
        </w:rPr>
        <w:t>加快发展健康产业</w:t>
      </w:r>
    </w:p>
    <w:p w14:paraId="4C6F9968">
      <w:pPr>
        <w:spacing w:line="560" w:lineRule="exact"/>
        <w:ind w:firstLine="643" w:firstLineChars="200"/>
        <w:rPr>
          <w:rFonts w:eastAsia="方正仿宋_GBK"/>
          <w:color w:val="000000"/>
          <w:sz w:val="32"/>
          <w:szCs w:val="32"/>
          <w:u w:val="single"/>
        </w:rPr>
      </w:pPr>
      <w:r>
        <w:rPr>
          <w:rFonts w:hint="eastAsia" w:eastAsia="方正仿宋_GBK" w:cs="方正仿宋_GBK"/>
          <w:b/>
          <w:bCs/>
          <w:color w:val="000000"/>
          <w:sz w:val="32"/>
          <w:szCs w:val="32"/>
        </w:rPr>
        <w:t>加快县内医药和健康用品制造业提质升级。</w:t>
      </w:r>
      <w:r>
        <w:rPr>
          <w:rFonts w:hint="eastAsia" w:eastAsia="方正仿宋_GBK" w:cs="方正仿宋_GBK"/>
          <w:color w:val="000000"/>
          <w:sz w:val="32"/>
          <w:szCs w:val="32"/>
        </w:rPr>
        <w:t>引进和培育一批具有资源集聚力、市场竞争力、行业影响力的</w:t>
      </w:r>
      <w:r>
        <w:rPr>
          <w:rFonts w:eastAsia="方正仿宋_GBK"/>
          <w:color w:val="000000"/>
          <w:sz w:val="32"/>
          <w:szCs w:val="32"/>
        </w:rPr>
        <w:t>“</w:t>
      </w:r>
      <w:r>
        <w:rPr>
          <w:rFonts w:hint="eastAsia" w:eastAsia="方正仿宋_GBK" w:cs="方正仿宋_GBK"/>
          <w:color w:val="000000"/>
          <w:sz w:val="32"/>
          <w:szCs w:val="32"/>
        </w:rPr>
        <w:t>互联网</w:t>
      </w:r>
      <w:r>
        <w:rPr>
          <w:rFonts w:eastAsia="方正仿宋_GBK"/>
          <w:color w:val="000000"/>
          <w:sz w:val="32"/>
          <w:szCs w:val="32"/>
        </w:rPr>
        <w:t>+</w:t>
      </w:r>
      <w:r>
        <w:rPr>
          <w:rFonts w:hint="eastAsia" w:eastAsia="方正仿宋_GBK" w:cs="方正仿宋_GBK"/>
          <w:color w:val="000000"/>
          <w:sz w:val="32"/>
          <w:szCs w:val="32"/>
        </w:rPr>
        <w:t>医疗健康</w:t>
      </w:r>
      <w:r>
        <w:rPr>
          <w:rFonts w:eastAsia="方正仿宋_GBK"/>
          <w:color w:val="000000"/>
          <w:sz w:val="32"/>
          <w:szCs w:val="32"/>
        </w:rPr>
        <w:t>”</w:t>
      </w:r>
      <w:r>
        <w:rPr>
          <w:rFonts w:hint="eastAsia" w:eastAsia="方正仿宋_GBK" w:cs="方正仿宋_GBK"/>
          <w:color w:val="000000"/>
          <w:sz w:val="32"/>
          <w:szCs w:val="32"/>
        </w:rPr>
        <w:t>企业，培育经济发展的增长极。</w:t>
      </w:r>
    </w:p>
    <w:p w14:paraId="632E80F8">
      <w:pPr>
        <w:spacing w:line="560" w:lineRule="exact"/>
        <w:ind w:firstLine="643" w:firstLineChars="200"/>
        <w:rPr>
          <w:rFonts w:eastAsia="方正仿宋_GBK"/>
          <w:sz w:val="32"/>
          <w:szCs w:val="32"/>
        </w:rPr>
      </w:pPr>
      <w:r>
        <w:rPr>
          <w:rFonts w:hint="eastAsia" w:eastAsia="方正仿宋_GBK" w:cs="方正仿宋_GBK"/>
          <w:b/>
          <w:bCs/>
          <w:sz w:val="32"/>
          <w:szCs w:val="32"/>
        </w:rPr>
        <w:t>推动社会办医持续健康规范发展。</w:t>
      </w:r>
      <w:r>
        <w:rPr>
          <w:rFonts w:hint="eastAsia" w:eastAsia="方正仿宋_GBK" w:cs="方正仿宋_GBK"/>
          <w:sz w:val="32"/>
          <w:szCs w:val="32"/>
        </w:rPr>
        <w:t>支持社会力量提供多层次多样化医疗服务，优先支持社会力量在医疗资源薄弱区域以及眼科、骨科、口腔、妇产、儿科、肿瘤、精神、医疗美容等专科和中医、康复、护理、体检等领域举办非营利性医疗卫生机构，完善医疗监管，进一步推动社会办医持续健康规范发展。优化政策环境，对社会办医在基本医保定点、跨省异地就医直接结算与公立医院政策同步。推动优质社会办医扩容、诊所改革、健康管理组织培育试点。支持符合条件的高水平民营医院跨区域打造具有竞争力的品牌服务机构，支持举办连锁化、集团化经营的医学检验、病理诊断、医学影像、消毒供应、血液净化、安宁疗护等独立设置医疗机构。促进诊所发展，全面提升诊所规范化、标准化水平。鼓励有经验的执业医师开办诊所。发展健康管理，完善政府购买服务机制，增加规范化的健康管理供给，重点增加高危人群健康体检、健康风险评估、健康咨询和健康干预服务。在签约提供疾病服务包的基础上，鼓励各方力量提供差异化、定制化的健康管理服务包，探索商业健康保险作为筹资或合作渠道。</w:t>
      </w:r>
    </w:p>
    <w:p w14:paraId="0BF1E6BA">
      <w:pPr>
        <w:spacing w:line="560" w:lineRule="exact"/>
        <w:ind w:firstLine="643" w:firstLineChars="200"/>
        <w:rPr>
          <w:rFonts w:eastAsia="方正仿宋_GBK"/>
          <w:sz w:val="32"/>
          <w:szCs w:val="32"/>
        </w:rPr>
      </w:pPr>
      <w:r>
        <w:rPr>
          <w:rFonts w:hint="eastAsia" w:eastAsia="方正仿宋_GBK" w:cs="方正仿宋_GBK"/>
          <w:b/>
          <w:bCs/>
          <w:sz w:val="32"/>
          <w:szCs w:val="32"/>
        </w:rPr>
        <w:t>推动商业健康保险发展。</w:t>
      </w:r>
      <w:r>
        <w:rPr>
          <w:rFonts w:hint="eastAsia" w:eastAsia="方正仿宋_GBK" w:cs="方正仿宋_GBK"/>
          <w:sz w:val="32"/>
          <w:szCs w:val="32"/>
        </w:rPr>
        <w:t>鼓励增加覆盖特需医疗、前沿医疗技术、创新药、高端医疗器械应用以及疾病风险评估、疾病预防、中医治未病、运动健康等干预性服务的新型健康险产品供给。完善进一步支持商业长期护理保险政策。加快发展医疗责任险、医</w:t>
      </w:r>
      <w:bookmarkStart w:id="31" w:name="page49"/>
      <w:bookmarkEnd w:id="31"/>
      <w:r>
        <w:rPr>
          <w:rFonts w:hint="eastAsia" w:eastAsia="方正仿宋_GBK" w:cs="方正仿宋_GBK"/>
          <w:sz w:val="32"/>
          <w:szCs w:val="32"/>
        </w:rPr>
        <w:t>疗意外保险。支持健康保险公司开展管理式医疗试点，建立覆盖健康保险、健康管理、医疗服务、长期照护等服务链条的健康管理组织。搭建高水平公立医院及其特需医疗部分与健康保险公司的对接平台，促进医、险定点合作，促进医疗新技术应用。支持保险机构、中医药机构合作开展健康管理服务，支持保险机构开发托育机构责任险和运营相关保险。着力提高商业健康保险的覆盖面，应用</w:t>
      </w:r>
      <w:r>
        <w:rPr>
          <w:rFonts w:eastAsia="方正仿宋_GBK"/>
          <w:sz w:val="32"/>
          <w:szCs w:val="32"/>
        </w:rPr>
        <w:t>“</w:t>
      </w:r>
      <w:r>
        <w:rPr>
          <w:rFonts w:hint="eastAsia" w:eastAsia="方正仿宋_GBK" w:cs="方正仿宋_GBK"/>
          <w:sz w:val="32"/>
          <w:szCs w:val="32"/>
        </w:rPr>
        <w:t>大数法则</w:t>
      </w:r>
      <w:r>
        <w:rPr>
          <w:rFonts w:eastAsia="方正仿宋_GBK"/>
          <w:sz w:val="32"/>
          <w:szCs w:val="32"/>
        </w:rPr>
        <w:t>”</w:t>
      </w:r>
      <w:r>
        <w:rPr>
          <w:rFonts w:hint="eastAsia" w:eastAsia="方正仿宋_GBK" w:cs="方正仿宋_GBK"/>
          <w:sz w:val="32"/>
          <w:szCs w:val="32"/>
        </w:rPr>
        <w:t>来分散风险。强化商业健康保险的保障功能，降低人民群众的实际医疗负担。推动商业保险通过区别定价和费率浮动等方式，鼓励年轻人和健康人群为未来健康保障投保。提高商业健康保险的服务能力。</w:t>
      </w:r>
    </w:p>
    <w:p w14:paraId="7D42A8AC">
      <w:pPr>
        <w:spacing w:line="560" w:lineRule="exact"/>
        <w:ind w:firstLine="643" w:firstLineChars="200"/>
        <w:rPr>
          <w:rFonts w:eastAsia="方正仿宋_GBK"/>
          <w:sz w:val="32"/>
          <w:szCs w:val="32"/>
        </w:rPr>
      </w:pPr>
      <w:r>
        <w:rPr>
          <w:rFonts w:hint="eastAsia" w:eastAsia="方正仿宋_GBK" w:cs="方正仿宋_GBK"/>
          <w:b/>
          <w:bCs/>
          <w:sz w:val="32"/>
          <w:szCs w:val="32"/>
        </w:rPr>
        <w:t>推动多元融合发展。</w:t>
      </w:r>
      <w:r>
        <w:rPr>
          <w:rFonts w:hint="eastAsia" w:eastAsia="方正仿宋_GBK" w:cs="方正仿宋_GBK"/>
          <w:sz w:val="32"/>
          <w:szCs w:val="32"/>
        </w:rPr>
        <w:t>积极促进健康与养老、旅游、互联网、健身休闲、食品融合，催生健康新产业、新业态、新模式。支持面向老年人的健康管理、预防干预、养生保健、健身休闲、文化娱乐、旅居养老等业态深度融合，创新发展健康咨询、紧急救护、慢性病管理、生活照护等智慧健康养老服务。促进医疗与养老融合，推进智慧康养、智慧管理，发展健康养老产业。促进医疗与旅游融合，发展健康旅游产业。促进互联网与健康融合，发展智慧健康产业。配合体育等部门发展健身休闲运动产业，推广普及健身休闲运动，促进体育与健康生活方式融合。</w:t>
      </w:r>
    </w:p>
    <w:p w14:paraId="1E14B065">
      <w:pPr>
        <w:numPr>
          <w:ilvl w:val="0"/>
          <w:numId w:val="1"/>
        </w:numPr>
        <w:spacing w:line="560" w:lineRule="exact"/>
        <w:ind w:firstLine="643" w:firstLineChars="200"/>
        <w:rPr>
          <w:rFonts w:ascii="方正楷体_GBK" w:eastAsia="方正楷体_GBK"/>
          <w:b/>
          <w:bCs/>
          <w:sz w:val="32"/>
          <w:szCs w:val="32"/>
        </w:rPr>
      </w:pPr>
      <w:r>
        <w:rPr>
          <w:rFonts w:hint="eastAsia" w:ascii="方正楷体_GBK" w:eastAsia="方正楷体_GBK" w:cs="方正楷体_GBK"/>
          <w:b/>
          <w:bCs/>
          <w:sz w:val="32"/>
          <w:szCs w:val="32"/>
        </w:rPr>
        <w:t>实施积极应对人口老龄化战略</w:t>
      </w:r>
    </w:p>
    <w:p w14:paraId="05570BF8">
      <w:pPr>
        <w:spacing w:line="560" w:lineRule="exact"/>
        <w:ind w:firstLine="624" w:firstLineChars="200"/>
        <w:rPr>
          <w:rFonts w:eastAsia="方正仿宋_GBK"/>
          <w:spacing w:val="-4"/>
          <w:sz w:val="32"/>
          <w:szCs w:val="32"/>
        </w:rPr>
      </w:pPr>
      <w:r>
        <w:rPr>
          <w:rFonts w:hint="eastAsia" w:eastAsia="方正仿宋_GBK" w:cs="方正仿宋_GBK"/>
          <w:spacing w:val="-4"/>
          <w:sz w:val="32"/>
          <w:szCs w:val="32"/>
        </w:rPr>
        <w:t>贯彻实施自治区人口长期发展战略，以</w:t>
      </w:r>
      <w:r>
        <w:rPr>
          <w:rFonts w:eastAsia="方正仿宋_GBK"/>
          <w:spacing w:val="-4"/>
          <w:sz w:val="32"/>
          <w:szCs w:val="32"/>
        </w:rPr>
        <w:t>“</w:t>
      </w:r>
      <w:r>
        <w:rPr>
          <w:rFonts w:hint="eastAsia" w:eastAsia="方正仿宋_GBK" w:cs="方正仿宋_GBK"/>
          <w:spacing w:val="-4"/>
          <w:sz w:val="32"/>
          <w:szCs w:val="32"/>
        </w:rPr>
        <w:t>一老一小</w:t>
      </w:r>
      <w:r>
        <w:rPr>
          <w:rFonts w:eastAsia="方正仿宋_GBK"/>
          <w:spacing w:val="-4"/>
          <w:sz w:val="32"/>
          <w:szCs w:val="32"/>
        </w:rPr>
        <w:t>”</w:t>
      </w:r>
      <w:r>
        <w:rPr>
          <w:rFonts w:hint="eastAsia" w:eastAsia="方正仿宋_GBK" w:cs="方正仿宋_GBK"/>
          <w:spacing w:val="-4"/>
          <w:sz w:val="32"/>
          <w:szCs w:val="32"/>
        </w:rPr>
        <w:t>为重点完善人口服务体系。优化生育政策，全面落实积极应对人口老龄化国家战略，实施三孩生育政策及配套支持措施，改革服务管理制度，推进婴幼儿照护服务体系建设，提升家庭发展能力，推动实现适度生育水平，促进人口长期均衡发展。建立老龄工作综合评估制度，全面落实老年优待制度。推进老年宜居环境和老年友善文化建设，开展</w:t>
      </w:r>
      <w:r>
        <w:rPr>
          <w:rFonts w:eastAsia="方正仿宋_GBK"/>
          <w:spacing w:val="-4"/>
          <w:sz w:val="32"/>
          <w:szCs w:val="32"/>
        </w:rPr>
        <w:t>“</w:t>
      </w:r>
      <w:r>
        <w:rPr>
          <w:rFonts w:hint="eastAsia" w:eastAsia="方正仿宋_GBK" w:cs="方正仿宋_GBK"/>
          <w:spacing w:val="-4"/>
          <w:sz w:val="32"/>
          <w:szCs w:val="32"/>
        </w:rPr>
        <w:t>智慧助老</w:t>
      </w:r>
      <w:r>
        <w:rPr>
          <w:rFonts w:eastAsia="方正仿宋_GBK"/>
          <w:spacing w:val="-4"/>
          <w:sz w:val="32"/>
          <w:szCs w:val="32"/>
        </w:rPr>
        <w:t>”</w:t>
      </w:r>
      <w:r>
        <w:rPr>
          <w:rFonts w:hint="eastAsia" w:eastAsia="方正仿宋_GBK" w:cs="方正仿宋_GBK"/>
          <w:spacing w:val="-4"/>
          <w:sz w:val="32"/>
          <w:szCs w:val="32"/>
        </w:rPr>
        <w:t>行动，解决老年人运用智能技术困难，帮助老年人跨越</w:t>
      </w:r>
      <w:r>
        <w:rPr>
          <w:rFonts w:eastAsia="方正仿宋_GBK"/>
          <w:spacing w:val="-4"/>
          <w:sz w:val="32"/>
          <w:szCs w:val="32"/>
        </w:rPr>
        <w:t>“</w:t>
      </w:r>
      <w:r>
        <w:rPr>
          <w:rFonts w:hint="eastAsia" w:eastAsia="方正仿宋_GBK" w:cs="方正仿宋_GBK"/>
          <w:spacing w:val="-4"/>
          <w:sz w:val="32"/>
          <w:szCs w:val="32"/>
        </w:rPr>
        <w:t>数字鸿沟</w:t>
      </w:r>
      <w:r>
        <w:rPr>
          <w:rFonts w:eastAsia="方正仿宋_GBK"/>
          <w:spacing w:val="-4"/>
          <w:sz w:val="32"/>
          <w:szCs w:val="32"/>
        </w:rPr>
        <w:t>”</w:t>
      </w:r>
      <w:r>
        <w:rPr>
          <w:rFonts w:hint="eastAsia" w:eastAsia="方正仿宋_GBK" w:cs="方正仿宋_GBK"/>
          <w:spacing w:val="-4"/>
          <w:sz w:val="32"/>
          <w:szCs w:val="32"/>
        </w:rPr>
        <w:t>。实施积极老龄观宣传，开展人口老龄化国情区情教育进学校、进家庭、进社区、进机关、进企业</w:t>
      </w:r>
      <w:r>
        <w:rPr>
          <w:rFonts w:eastAsia="方正仿宋_GBK"/>
          <w:spacing w:val="-4"/>
          <w:sz w:val="32"/>
          <w:szCs w:val="32"/>
        </w:rPr>
        <w:t>“</w:t>
      </w:r>
      <w:r>
        <w:rPr>
          <w:rFonts w:hint="eastAsia" w:eastAsia="方正仿宋_GBK" w:cs="方正仿宋_GBK"/>
          <w:spacing w:val="-4"/>
          <w:sz w:val="32"/>
          <w:szCs w:val="32"/>
        </w:rPr>
        <w:t>五进</w:t>
      </w:r>
      <w:r>
        <w:rPr>
          <w:rFonts w:eastAsia="方正仿宋_GBK"/>
          <w:spacing w:val="-4"/>
          <w:sz w:val="32"/>
          <w:szCs w:val="32"/>
        </w:rPr>
        <w:t>”</w:t>
      </w:r>
      <w:r>
        <w:rPr>
          <w:rFonts w:hint="eastAsia" w:eastAsia="方正仿宋_GBK" w:cs="方正仿宋_GBK"/>
          <w:spacing w:val="-4"/>
          <w:sz w:val="32"/>
          <w:szCs w:val="32"/>
        </w:rPr>
        <w:t>活动，开展</w:t>
      </w:r>
      <w:r>
        <w:rPr>
          <w:rFonts w:eastAsia="方正仿宋_GBK"/>
          <w:spacing w:val="-4"/>
          <w:sz w:val="32"/>
          <w:szCs w:val="32"/>
        </w:rPr>
        <w:t>“</w:t>
      </w:r>
      <w:r>
        <w:rPr>
          <w:rFonts w:hint="eastAsia" w:eastAsia="方正仿宋_GBK" w:cs="方正仿宋_GBK"/>
          <w:spacing w:val="-4"/>
          <w:sz w:val="32"/>
          <w:szCs w:val="32"/>
        </w:rPr>
        <w:t>老年健康宣传周</w:t>
      </w:r>
      <w:r>
        <w:rPr>
          <w:rFonts w:eastAsia="方正仿宋_GBK"/>
          <w:spacing w:val="-4"/>
          <w:sz w:val="32"/>
          <w:szCs w:val="32"/>
        </w:rPr>
        <w:t>”</w:t>
      </w:r>
      <w:r>
        <w:rPr>
          <w:rFonts w:hint="eastAsia" w:eastAsia="方正仿宋_GBK" w:cs="方正仿宋_GBK"/>
          <w:spacing w:val="-4"/>
          <w:sz w:val="32"/>
          <w:szCs w:val="32"/>
        </w:rPr>
        <w:t>、</w:t>
      </w:r>
      <w:r>
        <w:rPr>
          <w:rFonts w:eastAsia="方正仿宋_GBK"/>
          <w:spacing w:val="-4"/>
          <w:sz w:val="32"/>
          <w:szCs w:val="32"/>
        </w:rPr>
        <w:t>“</w:t>
      </w:r>
      <w:r>
        <w:rPr>
          <w:rFonts w:hint="eastAsia" w:eastAsia="方正仿宋_GBK" w:cs="方正仿宋_GBK"/>
          <w:spacing w:val="-4"/>
          <w:sz w:val="32"/>
          <w:szCs w:val="32"/>
        </w:rPr>
        <w:t>敬老月</w:t>
      </w:r>
      <w:r>
        <w:rPr>
          <w:rFonts w:eastAsia="方正仿宋_GBK"/>
          <w:spacing w:val="-4"/>
          <w:sz w:val="32"/>
          <w:szCs w:val="32"/>
        </w:rPr>
        <w:t>”</w:t>
      </w:r>
      <w:r>
        <w:rPr>
          <w:rFonts w:hint="eastAsia" w:eastAsia="方正仿宋_GBK" w:cs="方正仿宋_GBK"/>
          <w:spacing w:val="-4"/>
          <w:sz w:val="32"/>
          <w:szCs w:val="32"/>
        </w:rPr>
        <w:t>孝亲敬老主题活动，开展</w:t>
      </w:r>
      <w:r>
        <w:rPr>
          <w:rFonts w:eastAsia="方正仿宋_GBK"/>
          <w:spacing w:val="-4"/>
          <w:sz w:val="32"/>
          <w:szCs w:val="32"/>
        </w:rPr>
        <w:t>“</w:t>
      </w:r>
      <w:r>
        <w:rPr>
          <w:rFonts w:hint="eastAsia" w:eastAsia="方正仿宋_GBK" w:cs="方正仿宋_GBK"/>
          <w:spacing w:val="-4"/>
          <w:sz w:val="32"/>
          <w:szCs w:val="32"/>
        </w:rPr>
        <w:t>敬老文明号</w:t>
      </w:r>
      <w:r>
        <w:rPr>
          <w:rFonts w:eastAsia="方正仿宋_GBK"/>
          <w:spacing w:val="-4"/>
          <w:sz w:val="32"/>
          <w:szCs w:val="32"/>
        </w:rPr>
        <w:t>”</w:t>
      </w:r>
      <w:r>
        <w:rPr>
          <w:rFonts w:hint="eastAsia" w:eastAsia="方正仿宋_GBK" w:cs="方正仿宋_GBK"/>
          <w:spacing w:val="-4"/>
          <w:sz w:val="32"/>
          <w:szCs w:val="32"/>
        </w:rPr>
        <w:t>创建、</w:t>
      </w:r>
      <w:r>
        <w:rPr>
          <w:rFonts w:eastAsia="方正仿宋_GBK"/>
          <w:spacing w:val="-4"/>
          <w:sz w:val="32"/>
          <w:szCs w:val="32"/>
        </w:rPr>
        <w:t>“</w:t>
      </w:r>
      <w:r>
        <w:rPr>
          <w:rFonts w:hint="eastAsia" w:eastAsia="方正仿宋_GBK" w:cs="方正仿宋_GBK"/>
          <w:spacing w:val="-4"/>
          <w:sz w:val="32"/>
          <w:szCs w:val="32"/>
        </w:rPr>
        <w:t>敬老爱老助老模范人物</w:t>
      </w:r>
      <w:r>
        <w:rPr>
          <w:rFonts w:eastAsia="方正仿宋_GBK"/>
          <w:spacing w:val="-4"/>
          <w:sz w:val="32"/>
          <w:szCs w:val="32"/>
        </w:rPr>
        <w:t>”</w:t>
      </w:r>
      <w:r>
        <w:rPr>
          <w:rFonts w:hint="eastAsia" w:eastAsia="方正仿宋_GBK" w:cs="方正仿宋_GBK"/>
          <w:spacing w:val="-4"/>
          <w:sz w:val="32"/>
          <w:szCs w:val="32"/>
        </w:rPr>
        <w:t>评选和宣传活动。到</w:t>
      </w:r>
      <w:r>
        <w:rPr>
          <w:rFonts w:eastAsia="方正仿宋_GBK"/>
          <w:spacing w:val="-4"/>
          <w:sz w:val="32"/>
          <w:szCs w:val="32"/>
        </w:rPr>
        <w:t xml:space="preserve"> 2025 </w:t>
      </w:r>
      <w:r>
        <w:rPr>
          <w:rFonts w:hint="eastAsia" w:eastAsia="方正仿宋_GBK" w:cs="方正仿宋_GBK"/>
          <w:spacing w:val="-4"/>
          <w:sz w:val="32"/>
          <w:szCs w:val="32"/>
        </w:rPr>
        <w:t>年，全县</w:t>
      </w:r>
      <w:r>
        <w:rPr>
          <w:rFonts w:eastAsia="方正仿宋_GBK"/>
          <w:spacing w:val="-4"/>
          <w:sz w:val="32"/>
          <w:szCs w:val="32"/>
        </w:rPr>
        <w:t>85%</w:t>
      </w:r>
      <w:r>
        <w:rPr>
          <w:rFonts w:hint="eastAsia" w:eastAsia="方正仿宋_GBK" w:cs="方正仿宋_GBK"/>
          <w:spacing w:val="-4"/>
          <w:sz w:val="32"/>
          <w:szCs w:val="32"/>
        </w:rPr>
        <w:t>以上的综合性医院和基层医疗机构成为老年友善医疗机构。</w:t>
      </w:r>
      <w:bookmarkStart w:id="32" w:name="page51"/>
      <w:bookmarkEnd w:id="32"/>
    </w:p>
    <w:p w14:paraId="3FC40A99">
      <w:pPr>
        <w:spacing w:line="560" w:lineRule="exact"/>
        <w:ind w:firstLine="643" w:firstLineChars="200"/>
        <w:rPr>
          <w:rFonts w:eastAsia="方正仿宋_GBK"/>
          <w:sz w:val="32"/>
          <w:szCs w:val="32"/>
        </w:rPr>
      </w:pPr>
      <w:r>
        <w:rPr>
          <w:rFonts w:hint="eastAsia" w:eastAsia="方正仿宋_GBK" w:cs="方正仿宋_GBK"/>
          <w:b/>
          <w:bCs/>
          <w:sz w:val="32"/>
          <w:szCs w:val="32"/>
        </w:rPr>
        <w:t>健全养老服务综合监管制度。</w:t>
      </w:r>
      <w:r>
        <w:rPr>
          <w:rFonts w:hint="eastAsia" w:eastAsia="方正仿宋_GBK" w:cs="方正仿宋_GBK"/>
          <w:sz w:val="32"/>
          <w:szCs w:val="32"/>
        </w:rPr>
        <w:t>构建养老、孝老、敬老的社会环境，强化老年人权益保障。综合考虑人均预期寿命提高、人口老龄化趋势加快、受教育年限增加、劳动力结构变化等因素，按照小步调整、弹性实施、分类推进、统筹兼顾等原则，逐步延迟法定退休年龄，促进人力资源充分利用。规范养老服务，加强养老服务监督。探索养老领域护理护工人员培养管理新机制。</w:t>
      </w:r>
    </w:p>
    <w:p w14:paraId="580E48C0">
      <w:pPr>
        <w:spacing w:line="560" w:lineRule="exact"/>
        <w:ind w:firstLine="643" w:firstLineChars="200"/>
        <w:rPr>
          <w:rFonts w:ascii="方正楷体_GBK" w:eastAsia="方正楷体_GBK"/>
          <w:sz w:val="32"/>
          <w:szCs w:val="32"/>
        </w:rPr>
      </w:pPr>
      <w:r>
        <w:rPr>
          <w:rFonts w:hint="eastAsia" w:ascii="方正楷体_GBK" w:eastAsia="方正楷体_GBK" w:cs="方正楷体_GBK"/>
          <w:b/>
          <w:bCs/>
          <w:sz w:val="32"/>
          <w:szCs w:val="32"/>
        </w:rPr>
        <w:t>（十一）提升卫生健康治理能力</w:t>
      </w:r>
    </w:p>
    <w:p w14:paraId="20F74F68">
      <w:pPr>
        <w:spacing w:line="560" w:lineRule="exact"/>
        <w:ind w:firstLine="643" w:firstLineChars="200"/>
        <w:rPr>
          <w:rFonts w:eastAsia="方正仿宋_GBK"/>
          <w:sz w:val="32"/>
          <w:szCs w:val="32"/>
        </w:rPr>
      </w:pPr>
      <w:r>
        <w:rPr>
          <w:rFonts w:hint="eastAsia" w:eastAsia="方正仿宋_GBK" w:cs="方正仿宋_GBK"/>
          <w:b/>
          <w:bCs/>
          <w:sz w:val="32"/>
          <w:szCs w:val="32"/>
        </w:rPr>
        <w:t>坚持党的全面领导。</w:t>
      </w:r>
      <w:r>
        <w:rPr>
          <w:rFonts w:hint="eastAsia" w:eastAsia="方正仿宋_GBK" w:cs="方正仿宋_GBK"/>
          <w:sz w:val="32"/>
          <w:szCs w:val="32"/>
        </w:rPr>
        <w:t>认真贯彻自治区卫生健康委关于新时代卫生健康行业党的建设的安排部署，完善推进措施。落实公立医院党委领导下的院长负责制。</w:t>
      </w:r>
    </w:p>
    <w:p w14:paraId="33464351">
      <w:pPr>
        <w:spacing w:line="560" w:lineRule="exact"/>
        <w:ind w:firstLine="643" w:firstLineChars="200"/>
        <w:rPr>
          <w:rFonts w:eastAsia="方正仿宋_GBK"/>
          <w:sz w:val="32"/>
          <w:szCs w:val="32"/>
        </w:rPr>
      </w:pPr>
      <w:r>
        <w:rPr>
          <w:rFonts w:hint="eastAsia" w:eastAsia="方正仿宋_GBK" w:cs="方正仿宋_GBK"/>
          <w:b/>
          <w:bCs/>
          <w:sz w:val="32"/>
          <w:szCs w:val="32"/>
        </w:rPr>
        <w:t>加强卫生健康法制建设。</w:t>
      </w:r>
      <w:r>
        <w:rPr>
          <w:rFonts w:hint="eastAsia" w:eastAsia="方正仿宋_GBK" w:cs="方正仿宋_GBK"/>
          <w:sz w:val="32"/>
          <w:szCs w:val="32"/>
        </w:rPr>
        <w:t>深入学习宣传习近平法治思想，推进法治政府、法治社会建设。坚持在法治下推进全县卫生健康事业的改革，实现立法和改革决策相统一、相衔接，重大改革要有法有据。开展</w:t>
      </w:r>
      <w:r>
        <w:rPr>
          <w:rFonts w:eastAsia="方正仿宋_GBK"/>
          <w:sz w:val="32"/>
          <w:szCs w:val="32"/>
        </w:rPr>
        <w:t>“</w:t>
      </w:r>
      <w:r>
        <w:rPr>
          <w:rFonts w:hint="eastAsia" w:eastAsia="方正仿宋_GBK" w:cs="方正仿宋_GBK"/>
          <w:sz w:val="32"/>
          <w:szCs w:val="32"/>
        </w:rPr>
        <w:t>八五</w:t>
      </w:r>
      <w:r>
        <w:rPr>
          <w:rFonts w:eastAsia="方正仿宋_GBK"/>
          <w:sz w:val="32"/>
          <w:szCs w:val="32"/>
        </w:rPr>
        <w:t>”</w:t>
      </w:r>
      <w:r>
        <w:rPr>
          <w:rFonts w:hint="eastAsia" w:eastAsia="方正仿宋_GBK" w:cs="方正仿宋_GBK"/>
          <w:sz w:val="32"/>
          <w:szCs w:val="32"/>
        </w:rPr>
        <w:t>普法宣传教育工作。深化行政审批制度改革，进一步清理卫生健康行政审批事项，全部取消非行政许可审批事项。建立全县卫生健康行政审批清理审核论证机制，完善行政审批清理标准化管理。规范全县卫生健康领域重大行政决策程序，把公众参与、专家论证、风险评估、合法性审查和集体讨论决定确定为重大行政决策法定程序，强化决策法定程序的刚</w:t>
      </w:r>
      <w:bookmarkStart w:id="33" w:name="page52"/>
      <w:bookmarkEnd w:id="33"/>
      <w:r>
        <w:rPr>
          <w:rFonts w:hint="eastAsia" w:eastAsia="方正仿宋_GBK" w:cs="方正仿宋_GBK"/>
          <w:sz w:val="32"/>
          <w:szCs w:val="32"/>
        </w:rPr>
        <w:t>性约束。</w:t>
      </w:r>
    </w:p>
    <w:p w14:paraId="6E7305B6">
      <w:pPr>
        <w:spacing w:line="560" w:lineRule="exact"/>
        <w:ind w:firstLine="643" w:firstLineChars="200"/>
        <w:rPr>
          <w:rFonts w:eastAsia="方正仿宋_GBK"/>
          <w:sz w:val="32"/>
          <w:szCs w:val="32"/>
        </w:rPr>
      </w:pPr>
      <w:r>
        <w:rPr>
          <w:rFonts w:hint="eastAsia" w:eastAsia="方正仿宋_GBK" w:cs="方正仿宋_GBK"/>
          <w:b/>
          <w:bCs/>
          <w:sz w:val="32"/>
          <w:szCs w:val="32"/>
        </w:rPr>
        <w:t>强化行业作风建设。</w:t>
      </w:r>
      <w:r>
        <w:rPr>
          <w:rFonts w:hint="eastAsia" w:eastAsia="方正仿宋_GBK" w:cs="方正仿宋_GBK"/>
          <w:sz w:val="32"/>
          <w:szCs w:val="32"/>
        </w:rPr>
        <w:t>坚持问题导向，紧盯重点科室和关键岗位，强化线索摸排和问题查处，重点整治</w:t>
      </w:r>
      <w:r>
        <w:rPr>
          <w:rFonts w:eastAsia="方正仿宋_GBK"/>
          <w:sz w:val="32"/>
          <w:szCs w:val="32"/>
        </w:rPr>
        <w:t>“</w:t>
      </w:r>
      <w:r>
        <w:rPr>
          <w:rFonts w:hint="eastAsia" w:eastAsia="方正仿宋_GBK" w:cs="方正仿宋_GBK"/>
          <w:sz w:val="32"/>
          <w:szCs w:val="32"/>
        </w:rPr>
        <w:t>大处方、泛耗材</w:t>
      </w:r>
      <w:r>
        <w:rPr>
          <w:rFonts w:eastAsia="方正仿宋_GBK"/>
          <w:sz w:val="32"/>
          <w:szCs w:val="32"/>
        </w:rPr>
        <w:t>”</w:t>
      </w:r>
      <w:r>
        <w:rPr>
          <w:rFonts w:hint="eastAsia" w:eastAsia="方正仿宋_GBK" w:cs="方正仿宋_GBK"/>
          <w:sz w:val="32"/>
          <w:szCs w:val="32"/>
        </w:rPr>
        <w:t>和医疗机构内外勾结欺诈骗保等行为。深入推进平安医院的创建工作，重点抓好各级各类医院安全管理、医疗服务质量、医德医风建设、医患关系与医疗纠纷处理和宣教等工作。</w:t>
      </w:r>
    </w:p>
    <w:p w14:paraId="53A34E76">
      <w:pPr>
        <w:spacing w:line="560" w:lineRule="exact"/>
        <w:ind w:firstLine="643" w:firstLineChars="200"/>
        <w:rPr>
          <w:rFonts w:eastAsia="方正仿宋_GBK"/>
          <w:sz w:val="32"/>
          <w:szCs w:val="32"/>
        </w:rPr>
      </w:pPr>
      <w:r>
        <w:rPr>
          <w:rFonts w:hint="eastAsia" w:eastAsia="方正仿宋_GBK" w:cs="方正仿宋_GBK"/>
          <w:b/>
          <w:bCs/>
          <w:sz w:val="32"/>
          <w:szCs w:val="32"/>
        </w:rPr>
        <w:t>加强卫生健康文化建设。</w:t>
      </w:r>
      <w:r>
        <w:rPr>
          <w:rFonts w:hint="eastAsia" w:eastAsia="方正仿宋_GBK" w:cs="方正仿宋_GBK"/>
          <w:sz w:val="32"/>
          <w:szCs w:val="32"/>
        </w:rPr>
        <w:t>高度关注医务工作者的身心健康保护，注重做好对医务工作者的人文关怀，切实提升医务工作者的幸福指数。坚持以人民健康为中心的价值理念，注重营造良好的卫生健康领域文化氛围，将疫情防控成果转化为健康理念和文明行为。</w:t>
      </w:r>
    </w:p>
    <w:p w14:paraId="27E33592">
      <w:pPr>
        <w:spacing w:line="560" w:lineRule="exact"/>
        <w:ind w:firstLine="640" w:firstLineChars="200"/>
        <w:rPr>
          <w:rFonts w:ascii="方正黑体_GBK" w:eastAsia="方正黑体_GBK"/>
          <w:sz w:val="32"/>
          <w:szCs w:val="32"/>
        </w:rPr>
      </w:pPr>
      <w:r>
        <w:rPr>
          <w:rFonts w:hint="eastAsia" w:ascii="方正黑体_GBK" w:eastAsia="方正黑体_GBK" w:cs="方正黑体_GBK"/>
          <w:sz w:val="32"/>
          <w:szCs w:val="32"/>
        </w:rPr>
        <w:t>四、重大工程</w:t>
      </w:r>
    </w:p>
    <w:p w14:paraId="55651677">
      <w:pPr>
        <w:spacing w:line="560" w:lineRule="exact"/>
        <w:ind w:firstLine="643" w:firstLineChars="200"/>
        <w:rPr>
          <w:rFonts w:eastAsia="方正仿宋_GBK"/>
          <w:sz w:val="32"/>
          <w:szCs w:val="32"/>
        </w:rPr>
      </w:pPr>
      <w:r>
        <w:rPr>
          <w:rFonts w:hint="eastAsia" w:ascii="方正楷体_GBK" w:eastAsia="方正楷体_GBK" w:cs="方正楷体_GBK"/>
          <w:b/>
          <w:bCs/>
          <w:sz w:val="32"/>
          <w:szCs w:val="32"/>
        </w:rPr>
        <w:t>（一）实施疾病预防控制能力提升工程。</w:t>
      </w:r>
      <w:r>
        <w:rPr>
          <w:rFonts w:hint="eastAsia" w:eastAsia="方正仿宋_GBK" w:cs="方正仿宋_GBK"/>
          <w:sz w:val="32"/>
          <w:szCs w:val="32"/>
        </w:rPr>
        <w:t>按照填平补齐的原则，加大县疾病预防控制中心基础设施建设。加强重点传染病、地方病防控能力建设。完善监测哨点，改善升级必要的设施设备，加强防控能力储备。以县人民医院传染病大楼为主体，加强重症监护病区和可转换病区建设，提高检验检测能力，建设医学教育培训基地、强化应急医疗物资储备，提高新发突发传染病早期发现和快速处置能力。</w:t>
      </w:r>
    </w:p>
    <w:p w14:paraId="045D4659">
      <w:pPr>
        <w:spacing w:line="560" w:lineRule="exact"/>
        <w:ind w:firstLine="643" w:firstLineChars="200"/>
        <w:rPr>
          <w:rFonts w:eastAsia="方正仿宋_GBK"/>
          <w:sz w:val="32"/>
          <w:szCs w:val="32"/>
        </w:rPr>
      </w:pPr>
      <w:r>
        <w:rPr>
          <w:rFonts w:hint="eastAsia" w:ascii="方正楷体_GBK" w:eastAsia="方正楷体_GBK" w:cs="方正楷体_GBK"/>
          <w:b/>
          <w:bCs/>
          <w:sz w:val="32"/>
          <w:szCs w:val="32"/>
        </w:rPr>
        <w:t>（二）实施县域医疗中心建设工程。</w:t>
      </w:r>
      <w:r>
        <w:rPr>
          <w:rFonts w:hint="eastAsia" w:eastAsia="方正仿宋_GBK" w:cs="方正仿宋_GBK"/>
          <w:color w:val="000000"/>
          <w:sz w:val="32"/>
          <w:szCs w:val="32"/>
        </w:rPr>
        <w:t>统筹县内外优质资源，提升建设速度，加快推进癌症、心血管、儿科、妇产、呼吸和创伤等专科类区域医疗中心建设。到</w:t>
      </w:r>
      <w:r>
        <w:rPr>
          <w:rFonts w:eastAsia="方正仿宋_GBK"/>
          <w:color w:val="000000"/>
          <w:sz w:val="32"/>
          <w:szCs w:val="32"/>
        </w:rPr>
        <w:t>2025</w:t>
      </w:r>
      <w:r>
        <w:rPr>
          <w:rFonts w:hint="eastAsia" w:eastAsia="方正仿宋_GBK" w:cs="方正仿宋_GBK"/>
          <w:color w:val="000000"/>
          <w:sz w:val="32"/>
          <w:szCs w:val="32"/>
        </w:rPr>
        <w:t>年，县人民医院争取进入全国县级医院</w:t>
      </w:r>
      <w:r>
        <w:rPr>
          <w:rFonts w:eastAsia="方正仿宋_GBK"/>
          <w:color w:val="000000"/>
          <w:sz w:val="32"/>
          <w:szCs w:val="32"/>
        </w:rPr>
        <w:t>100</w:t>
      </w:r>
      <w:r>
        <w:rPr>
          <w:rFonts w:hint="eastAsia" w:eastAsia="方正仿宋_GBK" w:cs="方正仿宋_GBK"/>
          <w:color w:val="000000"/>
          <w:sz w:val="32"/>
          <w:szCs w:val="32"/>
        </w:rPr>
        <w:t>强医院；</w:t>
      </w:r>
      <w:r>
        <w:rPr>
          <w:rFonts w:hint="eastAsia" w:eastAsia="方正仿宋_GBK" w:cs="方正仿宋_GBK"/>
          <w:sz w:val="32"/>
          <w:szCs w:val="32"/>
        </w:rPr>
        <w:t>县内向县外转诊人数每年下降</w:t>
      </w:r>
      <w:r>
        <w:rPr>
          <w:rFonts w:eastAsia="方正仿宋_GBK"/>
          <w:sz w:val="32"/>
          <w:szCs w:val="32"/>
        </w:rPr>
        <w:t xml:space="preserve"> 5%</w:t>
      </w:r>
      <w:r>
        <w:rPr>
          <w:rFonts w:hint="eastAsia" w:eastAsia="方正仿宋_GBK" w:cs="方正仿宋_GBK"/>
          <w:sz w:val="32"/>
          <w:szCs w:val="32"/>
        </w:rPr>
        <w:t>以上，县域内就诊率达</w:t>
      </w:r>
      <w:r>
        <w:rPr>
          <w:rFonts w:eastAsia="方正仿宋_GBK"/>
          <w:sz w:val="32"/>
          <w:szCs w:val="32"/>
        </w:rPr>
        <w:t>90%</w:t>
      </w:r>
      <w:r>
        <w:rPr>
          <w:rFonts w:hint="eastAsia" w:eastAsia="方正仿宋_GBK" w:cs="方正仿宋_GBK"/>
          <w:sz w:val="32"/>
          <w:szCs w:val="32"/>
        </w:rPr>
        <w:t>以上，县域内住院率占比达到</w:t>
      </w:r>
      <w:r>
        <w:rPr>
          <w:rFonts w:eastAsia="方正仿宋_GBK"/>
          <w:sz w:val="32"/>
          <w:szCs w:val="32"/>
        </w:rPr>
        <w:t>85%</w:t>
      </w:r>
      <w:r>
        <w:rPr>
          <w:rFonts w:hint="eastAsia" w:eastAsia="方正仿宋_GBK" w:cs="方正仿宋_GBK"/>
          <w:sz w:val="32"/>
          <w:szCs w:val="32"/>
        </w:rPr>
        <w:t>以上；推进县医疗健康总院胸痛、卒中、创伤、危重孕产妇和危重新生儿救治中心、肿瘤和慢病中心建设，实现</w:t>
      </w:r>
      <w:r>
        <w:rPr>
          <w:rFonts w:eastAsia="方正仿宋_GBK"/>
          <w:sz w:val="32"/>
          <w:szCs w:val="32"/>
        </w:rPr>
        <w:t>“</w:t>
      </w:r>
      <w:r>
        <w:rPr>
          <w:rFonts w:hint="eastAsia" w:eastAsia="方正仿宋_GBK" w:cs="方正仿宋_GBK"/>
          <w:sz w:val="32"/>
          <w:szCs w:val="32"/>
        </w:rPr>
        <w:t>七大中心</w:t>
      </w:r>
      <w:r>
        <w:rPr>
          <w:rFonts w:eastAsia="方正仿宋_GBK"/>
          <w:sz w:val="32"/>
          <w:szCs w:val="32"/>
        </w:rPr>
        <w:t>”</w:t>
      </w:r>
      <w:r>
        <w:rPr>
          <w:rFonts w:hint="eastAsia" w:eastAsia="方正仿宋_GBK" w:cs="方正仿宋_GBK"/>
          <w:sz w:val="32"/>
          <w:szCs w:val="32"/>
        </w:rPr>
        <w:t>全县覆盖，慢病和心脑血管疾病筛查全面开展，全县急危重症救治能力进一步提升。</w:t>
      </w:r>
    </w:p>
    <w:p w14:paraId="13E6943C">
      <w:pPr>
        <w:spacing w:line="560" w:lineRule="exact"/>
        <w:ind w:firstLine="643" w:firstLineChars="200"/>
        <w:rPr>
          <w:rFonts w:eastAsia="方正仿宋_GBK"/>
          <w:sz w:val="32"/>
          <w:szCs w:val="32"/>
        </w:rPr>
      </w:pPr>
      <w:r>
        <w:rPr>
          <w:rFonts w:hint="eastAsia" w:ascii="方正楷体_GBK" w:eastAsia="方正楷体_GBK" w:cs="方正楷体_GBK"/>
          <w:b/>
          <w:bCs/>
          <w:sz w:val="32"/>
          <w:szCs w:val="32"/>
        </w:rPr>
        <w:t>（三）实施</w:t>
      </w:r>
      <w:r>
        <w:rPr>
          <w:rFonts w:ascii="方正楷体_GBK" w:eastAsia="方正楷体_GBK"/>
          <w:b/>
          <w:bCs/>
          <w:sz w:val="32"/>
          <w:szCs w:val="32"/>
        </w:rPr>
        <w:t>“</w:t>
      </w:r>
      <w:r>
        <w:rPr>
          <w:rFonts w:hint="eastAsia" w:ascii="方正楷体_GBK" w:eastAsia="方正楷体_GBK" w:cs="方正楷体_GBK"/>
          <w:b/>
          <w:bCs/>
          <w:sz w:val="32"/>
          <w:szCs w:val="32"/>
        </w:rPr>
        <w:t>互联网</w:t>
      </w:r>
      <w:r>
        <w:rPr>
          <w:rFonts w:ascii="方正楷体_GBK" w:eastAsia="方正楷体_GBK" w:cs="方正楷体_GBK"/>
          <w:b/>
          <w:bCs/>
          <w:sz w:val="32"/>
          <w:szCs w:val="32"/>
        </w:rPr>
        <w:t>+</w:t>
      </w:r>
      <w:r>
        <w:rPr>
          <w:rFonts w:hint="eastAsia" w:ascii="方正楷体_GBK" w:eastAsia="方正楷体_GBK" w:cs="方正楷体_GBK"/>
          <w:b/>
          <w:bCs/>
          <w:sz w:val="32"/>
          <w:szCs w:val="32"/>
        </w:rPr>
        <w:t>医疗健康</w:t>
      </w:r>
      <w:r>
        <w:rPr>
          <w:rFonts w:ascii="方正楷体_GBK" w:eastAsia="方正楷体_GBK"/>
          <w:b/>
          <w:bCs/>
          <w:sz w:val="32"/>
          <w:szCs w:val="32"/>
        </w:rPr>
        <w:t>”</w:t>
      </w:r>
      <w:r>
        <w:rPr>
          <w:rFonts w:hint="eastAsia" w:ascii="方正楷体_GBK" w:eastAsia="方正楷体_GBK" w:cs="方正楷体_GBK"/>
          <w:b/>
          <w:bCs/>
          <w:sz w:val="32"/>
          <w:szCs w:val="32"/>
        </w:rPr>
        <w:t>示范工程。</w:t>
      </w:r>
      <w:r>
        <w:rPr>
          <w:rFonts w:hint="eastAsia" w:eastAsia="方正仿宋_GBK" w:cs="方正仿宋_GBK"/>
          <w:sz w:val="32"/>
          <w:szCs w:val="32"/>
        </w:rPr>
        <w:t>进一步提升医疗信息专网建设，融入</w:t>
      </w:r>
      <w:r>
        <w:rPr>
          <w:rFonts w:eastAsia="方正仿宋_GBK"/>
          <w:sz w:val="32"/>
          <w:szCs w:val="32"/>
        </w:rPr>
        <w:t>5G</w:t>
      </w:r>
      <w:r>
        <w:rPr>
          <w:rFonts w:hint="eastAsia" w:eastAsia="方正仿宋_GBK" w:cs="方正仿宋_GBK"/>
          <w:sz w:val="32"/>
          <w:szCs w:val="32"/>
        </w:rPr>
        <w:t>和卫星通信等新技术，推动各类业务系统及医院信息化应用规范化云部署，实现医疗服务、公共卫生、医保结算、健康管理等信息的互联互通和共享应用。加强食源性疾病报告管理。建设互联网医院，搭建全县一体化全民健康信息平台，</w:t>
      </w:r>
      <w:r>
        <w:rPr>
          <w:rFonts w:hint="eastAsia" w:eastAsia="方正仿宋_GBK" w:cs="方正仿宋_GBK"/>
          <w:color w:val="000000"/>
          <w:sz w:val="32"/>
          <w:szCs w:val="32"/>
        </w:rPr>
        <w:t>深化平罗县智慧健康云平台建设和应用，加快县域医疗中心、</w:t>
      </w:r>
      <w:r>
        <w:rPr>
          <w:rFonts w:hint="eastAsia" w:eastAsia="方正仿宋_GBK" w:cs="方正仿宋_GBK"/>
          <w:sz w:val="32"/>
          <w:szCs w:val="32"/>
        </w:rPr>
        <w:t>县域医共体信息平台建设，全面实现线上就医便民服务应用，推动电子健康码应用全面落地。加快远程影像、电生理、病理、超声诊断中心和人工智能诊断体系建设，提升基层医疗服务水平。支持互联网企业与二级以上医疗机构紧密对接合作，推动</w:t>
      </w:r>
      <w:r>
        <w:rPr>
          <w:rFonts w:eastAsia="方正仿宋_GBK"/>
          <w:sz w:val="32"/>
          <w:szCs w:val="32"/>
        </w:rPr>
        <w:t>5G</w:t>
      </w:r>
      <w:r>
        <w:rPr>
          <w:rFonts w:hint="eastAsia" w:eastAsia="方正仿宋_GBK" w:cs="方正仿宋_GBK"/>
          <w:sz w:val="32"/>
          <w:szCs w:val="32"/>
        </w:rPr>
        <w:t>、人工智能、</w:t>
      </w:r>
      <w:bookmarkStart w:id="34" w:name="page54"/>
      <w:bookmarkEnd w:id="34"/>
      <w:r>
        <w:rPr>
          <w:rFonts w:hint="eastAsia" w:eastAsia="方正仿宋_GBK" w:cs="方正仿宋_GBK"/>
          <w:sz w:val="32"/>
          <w:szCs w:val="32"/>
        </w:rPr>
        <w:t>物联网、区块链、大数据、云计算等新技术的广泛应用，提升医疗机构</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应用服务水平。推进健康医疗大数据产业发展和数据治理。完善</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卫生健康监管机制。加强医疗健康网络安全和基础设施安全防护体系建设，提升网络安全综合治理水平。</w:t>
      </w:r>
    </w:p>
    <w:p w14:paraId="62897844">
      <w:pPr>
        <w:spacing w:line="560" w:lineRule="exact"/>
        <w:ind w:firstLine="643" w:firstLineChars="200"/>
        <w:rPr>
          <w:rFonts w:eastAsia="方正仿宋_GBK"/>
          <w:sz w:val="32"/>
          <w:szCs w:val="32"/>
        </w:rPr>
      </w:pPr>
      <w:r>
        <w:rPr>
          <w:rFonts w:hint="eastAsia" w:ascii="方正楷体_GBK" w:eastAsia="方正楷体_GBK" w:cs="方正楷体_GBK"/>
          <w:b/>
          <w:bCs/>
          <w:sz w:val="32"/>
          <w:szCs w:val="32"/>
        </w:rPr>
        <w:t>（四）实施县域医疗卫生服务能力提升工程。</w:t>
      </w:r>
      <w:r>
        <w:rPr>
          <w:rFonts w:hint="eastAsia" w:eastAsia="方正仿宋_GBK" w:cs="方正仿宋_GBK"/>
          <w:sz w:val="32"/>
          <w:szCs w:val="32"/>
        </w:rPr>
        <w:t>加快平罗县人民医院整体迁建项目，加强医疗装备、重症急救、信息化等建设，更新换代医疗装备，提高传染病检测和重大疾病监测、诊治能力，提升县域影像、电生理（动态静态心电、胎心监护、脑电）、病理诊断、医学检验、老年医学等中心能力建设。争取上级医疗机构和县医疗健康总院内机构开展能力提升项目，根据实际需求实施卫生人员支援基层活动，增强培训工作的针对性、实效性和可持续。将部分条件较好的中心乡镇卫生院建设成县域医疗分中心（县医院分院）。实施乡镇中心卫生院传染病防控能力提升项目，</w:t>
      </w:r>
      <w:r>
        <w:rPr>
          <w:rFonts w:eastAsia="方正仿宋_GBK"/>
          <w:sz w:val="32"/>
          <w:szCs w:val="32"/>
        </w:rPr>
        <w:t xml:space="preserve">2-3 </w:t>
      </w:r>
      <w:r>
        <w:rPr>
          <w:rFonts w:hint="eastAsia" w:eastAsia="方正仿宋_GBK" w:cs="方正仿宋_GBK"/>
          <w:sz w:val="32"/>
          <w:szCs w:val="32"/>
        </w:rPr>
        <w:t>个中心卫生院建设发热门诊、隔离医学病区，确保平时医用、战时急用，提升农村、社区重大疫情防控救治能力。推进城市社区公共服务融合发展，做实做细家庭医生签约服务，提高签约服务质量。将社区康复、居家养老照护、医养结合、残疾人康复、婴幼儿托育等功能有效整合，为居民提供全方位全周期健康服务。</w:t>
      </w:r>
      <w:bookmarkStart w:id="35" w:name="page55"/>
      <w:bookmarkEnd w:id="35"/>
    </w:p>
    <w:p w14:paraId="481D6AE1">
      <w:pPr>
        <w:spacing w:line="540" w:lineRule="exact"/>
        <w:ind w:firstLine="643" w:firstLineChars="200"/>
        <w:rPr>
          <w:rFonts w:eastAsia="方正仿宋_GBK"/>
          <w:spacing w:val="-4"/>
          <w:sz w:val="32"/>
          <w:szCs w:val="32"/>
        </w:rPr>
      </w:pPr>
      <w:r>
        <w:rPr>
          <w:rFonts w:hint="eastAsia" w:ascii="方正楷体_GBK" w:eastAsia="方正楷体_GBK" w:cs="方正楷体_GBK"/>
          <w:b/>
          <w:bCs/>
          <w:sz w:val="32"/>
          <w:szCs w:val="32"/>
        </w:rPr>
        <w:t>（五）实施中医药服务能力提升工程。</w:t>
      </w:r>
      <w:r>
        <w:rPr>
          <w:rFonts w:hint="eastAsia" w:eastAsia="方正仿宋_GBK" w:cs="方正仿宋_GBK"/>
          <w:spacing w:val="-4"/>
          <w:sz w:val="32"/>
          <w:szCs w:val="32"/>
        </w:rPr>
        <w:t>推进中医药传承创新发展。打造中医药和西医药相互补充协调发展的中国特色卫生健康发展模式，加强县中医医院提标扩能建设，实施基层医疗卫生机构中医馆提档升级工程，县人民医院</w:t>
      </w:r>
      <w:r>
        <w:rPr>
          <w:rFonts w:hint="eastAsia" w:eastAsia="方正仿宋_GBK" w:cs="方正仿宋_GBK"/>
          <w:color w:val="000000"/>
          <w:spacing w:val="-4"/>
          <w:sz w:val="32"/>
          <w:szCs w:val="32"/>
        </w:rPr>
        <w:t>设立标准化中医科和中药房，妇幼保健计划生育服务中心开展中医药服务。</w:t>
      </w:r>
      <w:r>
        <w:rPr>
          <w:rFonts w:hint="eastAsia" w:eastAsia="方正仿宋_GBK" w:cs="方正仿宋_GBK"/>
          <w:spacing w:val="-4"/>
          <w:sz w:val="32"/>
          <w:szCs w:val="32"/>
        </w:rPr>
        <w:t>建设</w:t>
      </w:r>
      <w:r>
        <w:rPr>
          <w:rFonts w:eastAsia="方正仿宋_GBK"/>
          <w:spacing w:val="-4"/>
          <w:sz w:val="32"/>
          <w:szCs w:val="32"/>
        </w:rPr>
        <w:t xml:space="preserve"> 10-15 </w:t>
      </w:r>
      <w:r>
        <w:rPr>
          <w:rFonts w:hint="eastAsia" w:eastAsia="方正仿宋_GBK" w:cs="方正仿宋_GBK"/>
          <w:spacing w:val="-4"/>
          <w:sz w:val="32"/>
          <w:szCs w:val="32"/>
        </w:rPr>
        <w:t>个中医重点专科，向中医药基础类、经典类、应急类重点学科倾斜。实施</w:t>
      </w:r>
      <w:r>
        <w:rPr>
          <w:rFonts w:eastAsia="方正仿宋_GBK"/>
          <w:spacing w:val="-4"/>
          <w:sz w:val="32"/>
          <w:szCs w:val="32"/>
        </w:rPr>
        <w:t>“</w:t>
      </w:r>
      <w:r>
        <w:rPr>
          <w:rFonts w:hint="eastAsia" w:eastAsia="方正仿宋_GBK" w:cs="方正仿宋_GBK"/>
          <w:spacing w:val="-4"/>
          <w:sz w:val="32"/>
          <w:szCs w:val="32"/>
        </w:rPr>
        <w:t>中医治未病工程升级版</w:t>
      </w:r>
      <w:r>
        <w:rPr>
          <w:rFonts w:eastAsia="方正仿宋_GBK"/>
          <w:spacing w:val="-4"/>
          <w:sz w:val="32"/>
          <w:szCs w:val="32"/>
        </w:rPr>
        <w:t>”</w:t>
      </w:r>
      <w:r>
        <w:rPr>
          <w:rFonts w:hint="eastAsia" w:eastAsia="方正仿宋_GBK" w:cs="方正仿宋_GBK"/>
          <w:spacing w:val="-4"/>
          <w:sz w:val="32"/>
          <w:szCs w:val="32"/>
        </w:rPr>
        <w:t>，加强公立中医医院治未病中心建设。实施</w:t>
      </w:r>
      <w:r>
        <w:rPr>
          <w:rFonts w:eastAsia="方正仿宋_GBK"/>
          <w:spacing w:val="-4"/>
          <w:sz w:val="32"/>
          <w:szCs w:val="32"/>
        </w:rPr>
        <w:t>“</w:t>
      </w:r>
      <w:r>
        <w:rPr>
          <w:rFonts w:hint="eastAsia" w:eastAsia="方正仿宋_GBK" w:cs="方正仿宋_GBK"/>
          <w:spacing w:val="-4"/>
          <w:sz w:val="32"/>
          <w:szCs w:val="32"/>
        </w:rPr>
        <w:t>中医药康复服务能力提升工程</w:t>
      </w:r>
      <w:r>
        <w:rPr>
          <w:rFonts w:eastAsia="方正仿宋_GBK"/>
          <w:spacing w:val="-4"/>
          <w:sz w:val="32"/>
          <w:szCs w:val="32"/>
        </w:rPr>
        <w:t>”</w:t>
      </w:r>
      <w:r>
        <w:rPr>
          <w:rFonts w:hint="eastAsia" w:eastAsia="方正仿宋_GBK" w:cs="方正仿宋_GBK"/>
          <w:spacing w:val="-4"/>
          <w:sz w:val="32"/>
          <w:szCs w:val="32"/>
        </w:rPr>
        <w:t>，加强公立中医医院康复（医学）中心（科）建设，推广中医康复技术。实施中医养生保健行动。培养中医药临床人才、创新复合型人才、技术技能人才，实施中医药传承创新人才工程，加强高层次人才培养基地、重点学科（专科）、各级各类名老中医传承工作室等平台建设。促进中药饮片和中成药质量提升，推动经备案的中医药院内制剂在全区中医医疗卫生机构推广使用。</w:t>
      </w:r>
    </w:p>
    <w:p w14:paraId="52F1E4C5">
      <w:pPr>
        <w:numPr>
          <w:ilvl w:val="0"/>
          <w:numId w:val="2"/>
        </w:num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实施紧急救援和急救能力提升工程。</w:t>
      </w:r>
      <w:r>
        <w:rPr>
          <w:rFonts w:hint="eastAsia" w:eastAsia="方正仿宋_GBK" w:cs="方正仿宋_GBK"/>
          <w:sz w:val="32"/>
          <w:szCs w:val="32"/>
        </w:rPr>
        <w:t>完善院前急救体系，优化院前急救网络布局，推进急救中心（站）标准化建设，按标准配备急救车辆和装备，完善智能化调度系统、院前急救与院内救治信息交换与预警联动系统，提高转</w:t>
      </w:r>
      <w:bookmarkStart w:id="36" w:name="page56"/>
      <w:bookmarkEnd w:id="36"/>
      <w:r>
        <w:rPr>
          <w:rFonts w:hint="eastAsia" w:eastAsia="方正仿宋_GBK" w:cs="方正仿宋_GBK"/>
          <w:sz w:val="32"/>
          <w:szCs w:val="32"/>
        </w:rPr>
        <w:t>运救治能力。强化基层应急处置能力，加强紧急医学救援机构和二级以上综合医院急诊科、创伤相关学科建设，改善场所、设施、设备条件，建立机动化综合应急队伍，配备背囊化便携式设备。分级分类建设紧急医学救援队伍，组建传染病、呼吸、重症医学、院前急救、流行病学调查和实验室检测等专业医学救援队伍，提高协同和联合作战能力。到</w:t>
      </w:r>
      <w:r>
        <w:rPr>
          <w:rFonts w:eastAsia="方正仿宋_GBK"/>
          <w:sz w:val="32"/>
          <w:szCs w:val="32"/>
        </w:rPr>
        <w:t xml:space="preserve"> 2025 </w:t>
      </w:r>
      <w:r>
        <w:rPr>
          <w:rFonts w:hint="eastAsia" w:eastAsia="方正仿宋_GBK" w:cs="方正仿宋_GBK"/>
          <w:sz w:val="32"/>
          <w:szCs w:val="32"/>
        </w:rPr>
        <w:t>年，争取组建</w:t>
      </w:r>
      <w:r>
        <w:rPr>
          <w:rFonts w:eastAsia="方正仿宋_GBK"/>
          <w:sz w:val="32"/>
          <w:szCs w:val="32"/>
        </w:rPr>
        <w:t>1</w:t>
      </w:r>
      <w:r>
        <w:rPr>
          <w:rFonts w:hint="eastAsia" w:eastAsia="方正仿宋_GBK" w:cs="方正仿宋_GBK"/>
          <w:sz w:val="32"/>
          <w:szCs w:val="32"/>
        </w:rPr>
        <w:t>支县域综合应急分队。深入开展卫生应急知识宣教，提升公众预防自救互救能力。建立物资储备清单，配置满足医疗救治需要的设施设备和物资，提高突发公共卫生事件快速反应和应急处置能力。</w:t>
      </w:r>
    </w:p>
    <w:p w14:paraId="2EE9A628">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（七）实施全生命周期健康保障工程。</w:t>
      </w:r>
      <w:r>
        <w:rPr>
          <w:rFonts w:hint="eastAsia" w:eastAsia="方正仿宋_GBK" w:cs="方正仿宋_GBK"/>
          <w:sz w:val="32"/>
          <w:szCs w:val="32"/>
        </w:rPr>
        <w:t>加强妇幼保健机构能力建设，推进妇幼保健机构标准化建设。</w:t>
      </w:r>
      <w:r>
        <w:rPr>
          <w:rFonts w:hint="eastAsia" w:eastAsia="方正仿宋_GBK" w:cs="方正仿宋_GBK"/>
          <w:color w:val="000000"/>
          <w:sz w:val="32"/>
          <w:szCs w:val="32"/>
        </w:rPr>
        <w:t>加强县医疗健康总院产、儿科建设，提升妇幼健康服务能力。</w:t>
      </w:r>
      <w:r>
        <w:rPr>
          <w:rFonts w:hint="eastAsia" w:eastAsia="方正仿宋_GBK" w:cs="方正仿宋_GBK"/>
          <w:sz w:val="32"/>
          <w:szCs w:val="32"/>
        </w:rPr>
        <w:t>推进医养康养融合发展。实施社区医养结合能力提升工程。加强医疗卫生和养老服务衔接，探索开展</w:t>
      </w:r>
      <w:r>
        <w:rPr>
          <w:rFonts w:eastAsia="方正仿宋_GBK"/>
          <w:sz w:val="32"/>
          <w:szCs w:val="32"/>
        </w:rPr>
        <w:t>“</w:t>
      </w:r>
      <w:r>
        <w:rPr>
          <w:rFonts w:hint="eastAsia" w:eastAsia="方正仿宋_GBK" w:cs="方正仿宋_GBK"/>
          <w:sz w:val="32"/>
          <w:szCs w:val="32"/>
        </w:rPr>
        <w:t>医养一体，两院融合，三中心合一</w:t>
      </w:r>
      <w:r>
        <w:rPr>
          <w:rFonts w:eastAsia="方正仿宋_GBK"/>
          <w:sz w:val="32"/>
          <w:szCs w:val="32"/>
        </w:rPr>
        <w:t>”</w:t>
      </w:r>
      <w:r>
        <w:rPr>
          <w:rFonts w:hint="eastAsia" w:eastAsia="方正仿宋_GBK" w:cs="方正仿宋_GBK"/>
          <w:sz w:val="32"/>
          <w:szCs w:val="32"/>
        </w:rPr>
        <w:t>试点工作，推进敬老院（养老院、幸福院）与乡镇卫生院健康养老功能融合，城市社区卫生服务中心（站）与日间照料中心、康复中心医养一体服务。开展普惠托育服务。补齐托育服务短板，实施普惠托育</w:t>
      </w:r>
      <w:bookmarkStart w:id="37" w:name="page57"/>
      <w:bookmarkEnd w:id="37"/>
      <w:r>
        <w:rPr>
          <w:rFonts w:hint="eastAsia" w:eastAsia="方正仿宋_GBK" w:cs="方正仿宋_GBK"/>
          <w:sz w:val="32"/>
          <w:szCs w:val="32"/>
        </w:rPr>
        <w:t>服务专项行动，形成基本完善的婴幼儿托育服务网络，提供全日托、半日托、计时托、临时托等多样化的普惠托育服务，基本建立多元化、多样化、覆盖城乡的婴幼儿照护服务体系。</w:t>
      </w:r>
    </w:p>
    <w:p w14:paraId="6E33FB02">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（八）实施人才科教提升工程。</w:t>
      </w:r>
      <w:r>
        <w:rPr>
          <w:rFonts w:hint="eastAsia" w:eastAsia="方正仿宋_GBK" w:cs="方正仿宋_GBK"/>
          <w:sz w:val="32"/>
          <w:szCs w:val="32"/>
        </w:rPr>
        <w:t>实施卫生人才替代工程，推进卫生技术人员结构性更替和结构重造。实施骨干人才专项培养计划，每年遴选一批医疗卫生骨干人才到区外知名机构研修，遴选一批潜力人才在自治区医疗卫生机构研修。开展乡镇卫生院临床医师在县级医院轮训，强化村医待遇保障，加强职业化乡村医生队伍建设。实施卫生健康人才培养，推进公共卫生医师、护士规范化培训，配合教育部门组建宁夏卫生健康职业学院，培养一批应急型、实用型的公共卫生人才和高素质护理人才。建设科教研一体化平台，建立健全科技创新平台资源共享机制，发挥平台示范引领和技术支撑作用。</w:t>
      </w:r>
    </w:p>
    <w:p w14:paraId="23CD5974">
      <w:pPr>
        <w:spacing w:line="540" w:lineRule="exact"/>
        <w:ind w:firstLine="640" w:firstLineChars="200"/>
        <w:rPr>
          <w:rFonts w:ascii="方正黑体_GBK" w:eastAsia="方正黑体_GBK"/>
          <w:sz w:val="32"/>
          <w:szCs w:val="32"/>
        </w:rPr>
      </w:pPr>
      <w:r>
        <w:rPr>
          <w:rFonts w:hint="eastAsia" w:ascii="方正黑体_GBK" w:eastAsia="方正黑体_GBK" w:cs="方正黑体_GBK"/>
          <w:sz w:val="32"/>
          <w:szCs w:val="32"/>
        </w:rPr>
        <w:t>五、组织保障</w:t>
      </w:r>
    </w:p>
    <w:p w14:paraId="6B7A418E">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（一）加强组织领导。</w:t>
      </w:r>
      <w:r>
        <w:rPr>
          <w:rFonts w:hint="eastAsia" w:eastAsia="方正仿宋_GBK" w:cs="方正仿宋_GBK"/>
          <w:sz w:val="32"/>
          <w:szCs w:val="32"/>
        </w:rPr>
        <w:t>加强平罗县深化医药卫生体制改革工作领导小组机制和制度建设，建立</w:t>
      </w:r>
      <w:r>
        <w:rPr>
          <w:rFonts w:eastAsia="方正仿宋_GBK"/>
          <w:sz w:val="32"/>
          <w:szCs w:val="32"/>
        </w:rPr>
        <w:t>“</w:t>
      </w:r>
      <w:r>
        <w:rPr>
          <w:rFonts w:hint="eastAsia" w:eastAsia="方正仿宋_GBK" w:cs="方正仿宋_GBK"/>
          <w:sz w:val="32"/>
          <w:szCs w:val="32"/>
        </w:rPr>
        <w:t>党委领导、政府统筹、部门共管、社会协同、全民参与</w:t>
      </w:r>
      <w:r>
        <w:rPr>
          <w:rFonts w:eastAsia="方正仿宋_GBK"/>
          <w:sz w:val="32"/>
          <w:szCs w:val="32"/>
        </w:rPr>
        <w:t>”</w:t>
      </w:r>
      <w:r>
        <w:rPr>
          <w:rFonts w:hint="eastAsia" w:eastAsia="方正仿宋_GBK" w:cs="方正仿宋_GBK"/>
          <w:sz w:val="32"/>
          <w:szCs w:val="32"/>
        </w:rPr>
        <w:t>的大健康管理体制，明确各部门职责，统筹协调卫生健康、教体、生态环境、住房城乡建设、农业农村、市场监管、自然资源、医保等部门健康资源，做到把健康融入到各项政策之中去，形成大健康工作格局。要将卫生健康事业发展纳入政府重要</w:t>
      </w:r>
      <w:bookmarkStart w:id="38" w:name="page58"/>
      <w:bookmarkEnd w:id="38"/>
      <w:r>
        <w:rPr>
          <w:rFonts w:hint="eastAsia" w:eastAsia="方正仿宋_GBK" w:cs="方正仿宋_GBK"/>
          <w:sz w:val="32"/>
          <w:szCs w:val="32"/>
        </w:rPr>
        <w:t>议事日程，列入国民经济社会发展总体规划。将主要健康指标纳入党委、政府绩效考核指标，作为党政领导班子和领导干部综合考核评价、干部奖惩使用的重要参考。</w:t>
      </w:r>
    </w:p>
    <w:p w14:paraId="758E8297">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（二）强化协同推进。</w:t>
      </w:r>
      <w:r>
        <w:rPr>
          <w:rFonts w:hint="eastAsia" w:eastAsia="方正仿宋_GBK" w:cs="方正仿宋_GBK"/>
          <w:sz w:val="32"/>
          <w:szCs w:val="32"/>
        </w:rPr>
        <w:t>推动政府、社会和个人共同行动，坚持预防是最经济最有效的健康策略，倡导个人当好自己健康的第一责任人，增强卫生健康事业发展的整体协同，形成维护人民健康的合力。政府要健全健康服务体系，为群众提供全方位的健康服务；行业协会、学校、医院、企业、社区等发挥各自优势，开展健康科普宣传，增加健康产品和服务的供给，组织群众性体育健身活动，营造共同致力于健康促进的社会环境；养成符合家庭特点和自身实际的健康生活方式。</w:t>
      </w:r>
    </w:p>
    <w:p w14:paraId="791D508E">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（三）完善投入机制。</w:t>
      </w:r>
      <w:r>
        <w:rPr>
          <w:rFonts w:hint="eastAsia" w:eastAsia="方正仿宋_GBK" w:cs="方正仿宋_GBK"/>
          <w:sz w:val="32"/>
          <w:szCs w:val="32"/>
        </w:rPr>
        <w:t>建立维护公益性的财政投入机制。按照</w:t>
      </w:r>
      <w:r>
        <w:rPr>
          <w:rFonts w:eastAsia="方正仿宋_GBK"/>
          <w:sz w:val="32"/>
          <w:szCs w:val="32"/>
        </w:rPr>
        <w:t>“</w:t>
      </w:r>
      <w:r>
        <w:rPr>
          <w:rFonts w:hint="eastAsia" w:eastAsia="方正仿宋_GBK" w:cs="方正仿宋_GBK"/>
          <w:sz w:val="32"/>
          <w:szCs w:val="32"/>
        </w:rPr>
        <w:t>十四五</w:t>
      </w:r>
      <w:r>
        <w:rPr>
          <w:rFonts w:eastAsia="方正仿宋_GBK"/>
          <w:sz w:val="32"/>
          <w:szCs w:val="32"/>
        </w:rPr>
        <w:t>”</w:t>
      </w:r>
      <w:r>
        <w:rPr>
          <w:rFonts w:hint="eastAsia" w:eastAsia="方正仿宋_GBK" w:cs="方正仿宋_GBK"/>
          <w:sz w:val="32"/>
          <w:szCs w:val="32"/>
        </w:rPr>
        <w:t>期间卫生健康事业发展的主要任务、重点工作、重大项目，调整财政支出结构，统筹使用各类资金，保障卫生健康事业发展规划落到实处。在疾病前期因素干预、重点人群健康促进和重点疾病防治等方面加大政府投入比重。建立财政对传染病疫情和突发公共卫生事件应急储备的长效投入机制，纳入政府经常性预算安排。探索建立市场化、多元化经费投入机制，切实推动全县卫生健康事业发展。</w:t>
      </w:r>
    </w:p>
    <w:p w14:paraId="67187586">
      <w:pPr>
        <w:rPr>
          <w:sz w:val="32"/>
          <w:szCs w:val="32"/>
        </w:rPr>
      </w:pPr>
    </w:p>
    <w:sectPr>
      <w:headerReference r:id="rId3" w:type="default"/>
      <w:footerReference r:id="rId4" w:type="default"/>
      <w:pgSz w:w="11906" w:h="16838"/>
      <w:pgMar w:top="1928" w:right="1531" w:bottom="1588" w:left="1531" w:header="567" w:footer="147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DejaVu Math TeX Gyre"/>
    <w:panose1 w:val="00000000000000000000"/>
    <w:charset w:val="00"/>
    <w:family w:val="moder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93B9">
    <w:pPr>
      <w:pStyle w:val="6"/>
      <w:framePr w:wrap="auto" w:vAnchor="text" w:hAnchor="margin" w:xAlign="outside" w:y="1"/>
      <w:rPr>
        <w:rStyle w:val="11"/>
        <w:rFonts w:ascii="宋体" w:hAnsi="宋体" w:cs="宋体"/>
        <w:sz w:val="28"/>
        <w:szCs w:val="28"/>
      </w:rPr>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48</w:t>
    </w:r>
    <w:r>
      <w:rPr>
        <w:rStyle w:val="11"/>
        <w:rFonts w:ascii="宋体" w:hAnsi="宋体" w:cs="宋体"/>
        <w:sz w:val="28"/>
        <w:szCs w:val="28"/>
      </w:rPr>
      <w:fldChar w:fldCharType="end"/>
    </w:r>
    <w:r>
      <w:rPr>
        <w:rStyle w:val="11"/>
        <w:rFonts w:ascii="宋体" w:hAnsi="宋体" w:cs="宋体"/>
        <w:sz w:val="28"/>
        <w:szCs w:val="28"/>
      </w:rPr>
      <w:t xml:space="preserve"> -</w:t>
    </w:r>
  </w:p>
  <w:p w14:paraId="6B6F5006">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787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A2AE1"/>
    <w:multiLevelType w:val="singleLevel"/>
    <w:tmpl w:val="620A2AE1"/>
    <w:lvl w:ilvl="0" w:tentative="0">
      <w:start w:val="9"/>
      <w:numFmt w:val="chineseCounting"/>
      <w:suff w:val="nothing"/>
      <w:lvlText w:val="（%1）"/>
      <w:lvlJc w:val="left"/>
    </w:lvl>
  </w:abstractNum>
  <w:abstractNum w:abstractNumId="1">
    <w:nsid w:val="620A2DB4"/>
    <w:multiLevelType w:val="singleLevel"/>
    <w:tmpl w:val="620A2DB4"/>
    <w:lvl w:ilvl="0" w:tentative="0">
      <w:start w:val="6"/>
      <w:numFmt w:val="chineseCounting"/>
      <w:suff w:val="nothing"/>
      <w:lvlText w:val="（%1）"/>
      <w:lvlJc w:val="left"/>
      <w:rPr>
        <w:rFonts w:hint="eastAsia" w:ascii="方正楷体_GBK" w:eastAsia="方正楷体_GBK"/>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Y3NDQ5Y2I4ZDQ3YmNkZjQ2NjhjYzgyMzk1YWY3MmMifQ=="/>
  </w:docVars>
  <w:rsids>
    <w:rsidRoot w:val="00917C0F"/>
    <w:rsid w:val="00066B35"/>
    <w:rsid w:val="0007031A"/>
    <w:rsid w:val="000A72FA"/>
    <w:rsid w:val="000E11C1"/>
    <w:rsid w:val="00163FC6"/>
    <w:rsid w:val="001C68B9"/>
    <w:rsid w:val="001E55D2"/>
    <w:rsid w:val="00273615"/>
    <w:rsid w:val="002C6657"/>
    <w:rsid w:val="002F43FF"/>
    <w:rsid w:val="00316056"/>
    <w:rsid w:val="00355867"/>
    <w:rsid w:val="003C779A"/>
    <w:rsid w:val="00437CE0"/>
    <w:rsid w:val="00462376"/>
    <w:rsid w:val="004833DC"/>
    <w:rsid w:val="005064C6"/>
    <w:rsid w:val="005119AD"/>
    <w:rsid w:val="00564AFA"/>
    <w:rsid w:val="00574775"/>
    <w:rsid w:val="005826F8"/>
    <w:rsid w:val="005D6721"/>
    <w:rsid w:val="00643A04"/>
    <w:rsid w:val="006D4092"/>
    <w:rsid w:val="006E605B"/>
    <w:rsid w:val="0070517B"/>
    <w:rsid w:val="00720671"/>
    <w:rsid w:val="007643E7"/>
    <w:rsid w:val="0076552C"/>
    <w:rsid w:val="007840A5"/>
    <w:rsid w:val="007E548B"/>
    <w:rsid w:val="007E6282"/>
    <w:rsid w:val="008803BF"/>
    <w:rsid w:val="00881179"/>
    <w:rsid w:val="008C730A"/>
    <w:rsid w:val="00917C0F"/>
    <w:rsid w:val="00976965"/>
    <w:rsid w:val="00A65358"/>
    <w:rsid w:val="00AA70A3"/>
    <w:rsid w:val="00AA7AF8"/>
    <w:rsid w:val="00AE1B17"/>
    <w:rsid w:val="00AE59B7"/>
    <w:rsid w:val="00AF1B27"/>
    <w:rsid w:val="00B061CC"/>
    <w:rsid w:val="00BB7C89"/>
    <w:rsid w:val="00BC2977"/>
    <w:rsid w:val="00CD0966"/>
    <w:rsid w:val="00D51000"/>
    <w:rsid w:val="00D768D8"/>
    <w:rsid w:val="00DE7963"/>
    <w:rsid w:val="00DF092F"/>
    <w:rsid w:val="00E5041F"/>
    <w:rsid w:val="00E931DD"/>
    <w:rsid w:val="00EB34DB"/>
    <w:rsid w:val="00EB4ED9"/>
    <w:rsid w:val="00FD3023"/>
    <w:rsid w:val="00FE599D"/>
    <w:rsid w:val="00FF0EF1"/>
    <w:rsid w:val="3FF5167B"/>
    <w:rsid w:val="763EA381"/>
    <w:rsid w:val="BADE82D7"/>
    <w:rsid w:val="DD6A79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nhideWhenUsed="0" w:uiPriority="99"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啊"/>
    <w:basedOn w:val="1"/>
    <w:uiPriority w:val="99"/>
    <w:pPr>
      <w:spacing w:beforeLines="100" w:line="276" w:lineRule="auto"/>
      <w:ind w:left="210" w:right="210" w:firstLine="600"/>
    </w:pPr>
    <w:rPr>
      <w:rFonts w:ascii="微软雅黑" w:hAnsi="微软雅黑" w:eastAsia="微软雅黑" w:cs="微软雅黑"/>
      <w:color w:val="000000"/>
      <w:sz w:val="24"/>
      <w:szCs w:val="24"/>
    </w:rPr>
  </w:style>
  <w:style w:type="paragraph" w:styleId="3">
    <w:name w:val="Normal Indent"/>
    <w:basedOn w:val="1"/>
    <w:next w:val="1"/>
    <w:uiPriority w:val="99"/>
    <w:pPr>
      <w:spacing w:line="300" w:lineRule="auto"/>
      <w:ind w:firstLine="420"/>
    </w:pPr>
    <w:rPr>
      <w:rFonts w:ascii="Calibri" w:hAnsi="Calibri" w:cs="Calibri"/>
    </w:rPr>
  </w:style>
  <w:style w:type="paragraph" w:styleId="4">
    <w:name w:val="Body Text Indent"/>
    <w:basedOn w:val="1"/>
    <w:link w:val="12"/>
    <w:uiPriority w:val="99"/>
    <w:pPr>
      <w:spacing w:after="120"/>
      <w:ind w:left="420" w:leftChars="200"/>
    </w:pPr>
  </w:style>
  <w:style w:type="paragraph" w:styleId="5">
    <w:name w:val="Body Text Indent 2"/>
    <w:basedOn w:val="1"/>
    <w:link w:val="20"/>
    <w:locked/>
    <w:uiPriority w:val="99"/>
    <w:pPr>
      <w:spacing w:after="120" w:line="480" w:lineRule="auto"/>
      <w:ind w:left="420" w:leftChars="200"/>
    </w:p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5"/>
    <w:uiPriority w:val="99"/>
    <w:pPr>
      <w:widowControl/>
      <w:tabs>
        <w:tab w:val="left" w:pos="1260"/>
      </w:tabs>
      <w:spacing w:after="0"/>
      <w:ind w:left="0" w:leftChars="0" w:firstLine="210" w:firstLineChars="200"/>
      <w:jc w:val="left"/>
    </w:pPr>
    <w:rPr>
      <w:rFonts w:ascii="Calibri" w:hAnsi="Calibri" w:cs="Calibri"/>
      <w:kern w:val="0"/>
      <w:sz w:val="24"/>
      <w:szCs w:val="24"/>
    </w:rPr>
  </w:style>
  <w:style w:type="character" w:styleId="11">
    <w:name w:val="page number"/>
    <w:basedOn w:val="10"/>
    <w:uiPriority w:val="99"/>
  </w:style>
  <w:style w:type="character" w:customStyle="1" w:styleId="12">
    <w:name w:val="Body Text Indent Char"/>
    <w:basedOn w:val="10"/>
    <w:link w:val="4"/>
    <w:semiHidden/>
    <w:locked/>
    <w:uiPriority w:val="99"/>
    <w:rPr>
      <w:sz w:val="21"/>
      <w:szCs w:val="21"/>
    </w:rPr>
  </w:style>
  <w:style w:type="character" w:customStyle="1" w:styleId="13">
    <w:name w:val="Footer Char"/>
    <w:basedOn w:val="10"/>
    <w:link w:val="6"/>
    <w:semiHidden/>
    <w:locked/>
    <w:uiPriority w:val="99"/>
    <w:rPr>
      <w:sz w:val="18"/>
      <w:szCs w:val="18"/>
    </w:rPr>
  </w:style>
  <w:style w:type="character" w:customStyle="1" w:styleId="14">
    <w:name w:val="Header Char"/>
    <w:basedOn w:val="10"/>
    <w:link w:val="7"/>
    <w:semiHidden/>
    <w:locked/>
    <w:uiPriority w:val="99"/>
    <w:rPr>
      <w:sz w:val="18"/>
      <w:szCs w:val="18"/>
    </w:rPr>
  </w:style>
  <w:style w:type="character" w:customStyle="1" w:styleId="15">
    <w:name w:val="Body Text First Indent 2 Char"/>
    <w:basedOn w:val="12"/>
    <w:link w:val="8"/>
    <w:semiHidden/>
    <w:locked/>
    <w:uiPriority w:val="99"/>
  </w:style>
  <w:style w:type="paragraph" w:customStyle="1" w:styleId="16">
    <w:name w:val="Heading3"/>
    <w:basedOn w:val="1"/>
    <w:next w:val="1"/>
    <w:qFormat/>
    <w:uiPriority w:val="99"/>
    <w:pPr>
      <w:keepNext/>
      <w:widowControl/>
      <w:snapToGrid w:val="0"/>
      <w:spacing w:after="200" w:line="276" w:lineRule="auto"/>
      <w:ind w:left="573" w:hanging="431"/>
      <w:textAlignment w:val="baseline"/>
    </w:pPr>
    <w:rPr>
      <w:rFonts w:ascii="仿宋" w:hAnsi="仿宋" w:eastAsia="仿宋" w:cs="仿宋"/>
      <w:b/>
      <w:bCs/>
      <w:color w:val="000000"/>
    </w:rPr>
  </w:style>
  <w:style w:type="paragraph" w:customStyle="1" w:styleId="17">
    <w:name w:val="Body Text First Indent 21"/>
    <w:basedOn w:val="1"/>
    <w:uiPriority w:val="99"/>
    <w:pPr>
      <w:widowControl/>
      <w:autoSpaceDE w:val="0"/>
      <w:autoSpaceDN w:val="0"/>
      <w:adjustRightInd w:val="0"/>
      <w:spacing w:after="200" w:line="520" w:lineRule="exact"/>
      <w:ind w:left="200" w:leftChars="200" w:firstLine="420" w:firstLineChars="200"/>
      <w:jc w:val="left"/>
    </w:pPr>
    <w:rPr>
      <w:rFonts w:ascii="仿宋_GB2312" w:eastAsia="仿宋_GB2312" w:cs="仿宋_GB2312"/>
      <w:kern w:val="0"/>
      <w:sz w:val="32"/>
      <w:szCs w:val="32"/>
      <w:lang w:eastAsia="en-US"/>
    </w:rPr>
  </w:style>
  <w:style w:type="character" w:customStyle="1" w:styleId="18">
    <w:name w:val="NormalCharacter"/>
    <w:qFormat/>
    <w:uiPriority w:val="99"/>
    <w:rPr>
      <w:rFonts w:ascii="Calibri" w:hAnsi="Calibri" w:cs="Calibri"/>
      <w:sz w:val="22"/>
      <w:szCs w:val="22"/>
      <w:lang w:val="en-US" w:eastAsia="en-US"/>
    </w:rPr>
  </w:style>
  <w:style w:type="paragraph" w:customStyle="1" w:styleId="19">
    <w:name w:val="Default"/>
    <w:basedOn w:val="1"/>
    <w:qFormat/>
    <w:uiPriority w:val="99"/>
    <w:pPr>
      <w:autoSpaceDE w:val="0"/>
      <w:autoSpaceDN w:val="0"/>
      <w:adjustRightInd w:val="0"/>
      <w:jc w:val="left"/>
    </w:pPr>
    <w:rPr>
      <w:rFonts w:ascii="方正小标宋_GBK" w:hAnsi="宋体" w:eastAsia="方正小标宋_GBK" w:cs="方正小标宋_GBK"/>
      <w:color w:val="000000"/>
      <w:sz w:val="24"/>
      <w:szCs w:val="24"/>
    </w:rPr>
  </w:style>
  <w:style w:type="character" w:customStyle="1" w:styleId="20">
    <w:name w:val="Body Text Indent 2 Char"/>
    <w:basedOn w:val="10"/>
    <w:link w:val="5"/>
    <w:semiHidden/>
    <w:qFormat/>
    <w:uiPriority w:val="99"/>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47</Pages>
  <Words>27236</Words>
  <Characters>27610</Characters>
  <Lines>0</Lines>
  <Paragraphs>0</Paragraphs>
  <TotalTime>47</TotalTime>
  <ScaleCrop>false</ScaleCrop>
  <LinksUpToDate>false</LinksUpToDate>
  <CharactersWithSpaces>27663</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2022-03-26T00:24:00Z</dcterms:created>
  <dc:creator>Microsoft</dc:creator>
  <cp:lastModifiedBy>kylin</cp:lastModifiedBy>
  <cp:lastPrinted>2022-04-25T17:34:00Z</cp:lastPrinted>
  <dcterms:modified xsi:type="dcterms:W3CDTF">2025-05-29T16:38:53Z</dcterms:modified>
  <dc:title>平卫发〔2022〕1号                签发人：钱  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19AF4D0A55A14860AC5D0DA07EB7CF85</vt:lpwstr>
  </property>
</Properties>
</file>