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jc w:val="center"/>
        <w:rPr>
          <w:szCs w:val="21"/>
        </w:rPr>
      </w:pPr>
      <w:r>
        <w:rPr>
          <w:rFonts w:hint="eastAsia"/>
          <w:sz w:val="32"/>
          <w:szCs w:val="32"/>
        </w:rPr>
        <w:t>工 程 审 定 概 算 表</w:t>
      </w:r>
    </w:p>
    <w:p>
      <w:pPr>
        <w:rPr>
          <w:rFonts w:asciiTheme="minorEastAsia" w:hAnsiTheme="minorEastAsia" w:eastAsiaTheme="minorEastAsia"/>
          <w:sz w:val="28"/>
          <w:szCs w:val="28"/>
        </w:rPr>
      </w:pPr>
      <w:r>
        <w:rPr>
          <w:rFonts w:hint="eastAsia"/>
          <w:szCs w:val="21"/>
        </w:rPr>
        <w:t>工程名称：</w:t>
      </w:r>
      <w:r>
        <w:rPr>
          <w:rFonts w:hint="eastAsia"/>
          <w:szCs w:val="21"/>
          <w:lang w:val="en-US" w:eastAsia="zh-CN"/>
        </w:rPr>
        <w:t>2022年红崖子乡红翔新村标准化瓜菜基地日光温室建设项目</w:t>
      </w:r>
      <w:r>
        <w:rPr>
          <w:rFonts w:hint="eastAsia" w:asciiTheme="minorEastAsia" w:hAnsiTheme="minorEastAsia" w:eastAsiaTheme="minorEastAsia"/>
          <w:sz w:val="28"/>
          <w:szCs w:val="28"/>
        </w:rPr>
        <w:t>（</w:t>
      </w:r>
      <w:r>
        <w:rPr>
          <w:rFonts w:hint="eastAsia" w:asciiTheme="minorEastAsia" w:hAnsiTheme="minorEastAsia" w:eastAsiaTheme="minorEastAsia"/>
          <w:sz w:val="28"/>
          <w:szCs w:val="28"/>
          <w:lang w:val="en-US" w:eastAsia="zh-CN"/>
        </w:rPr>
        <w:t>初设</w:t>
      </w:r>
      <w:r>
        <w:rPr>
          <w:rFonts w:hint="eastAsia" w:asciiTheme="minorEastAsia" w:hAnsiTheme="minorEastAsia" w:eastAsiaTheme="minorEastAsia"/>
          <w:sz w:val="28"/>
          <w:szCs w:val="28"/>
        </w:rPr>
        <w:t>）</w:t>
      </w:r>
    </w:p>
    <w:tbl>
      <w:tblPr>
        <w:tblStyle w:val="5"/>
        <w:tblW w:w="10425" w:type="dxa"/>
        <w:tblInd w:w="-974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795"/>
        <w:gridCol w:w="3105"/>
        <w:gridCol w:w="1010"/>
        <w:gridCol w:w="567"/>
        <w:gridCol w:w="567"/>
        <w:gridCol w:w="850"/>
        <w:gridCol w:w="851"/>
        <w:gridCol w:w="992"/>
        <w:gridCol w:w="1688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00" w:hRule="atLeast"/>
        </w:trPr>
        <w:tc>
          <w:tcPr>
            <w:tcW w:w="795" w:type="dxa"/>
            <w:vMerge w:val="restart"/>
          </w:tcPr>
          <w:p>
            <w:pPr>
              <w:rPr>
                <w:szCs w:val="21"/>
              </w:rPr>
            </w:pPr>
            <w:r>
              <w:rPr>
                <w:rFonts w:hint="eastAsia"/>
                <w:szCs w:val="21"/>
              </w:rPr>
              <w:t>序号</w:t>
            </w:r>
          </w:p>
        </w:tc>
        <w:tc>
          <w:tcPr>
            <w:tcW w:w="3105" w:type="dxa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工程或项目名称</w:t>
            </w:r>
          </w:p>
        </w:tc>
        <w:tc>
          <w:tcPr>
            <w:tcW w:w="1010" w:type="dxa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工程量</w:t>
            </w:r>
            <w:r>
              <w:rPr>
                <w:rFonts w:hint="eastAsia" w:ascii="宋体" w:hAnsi="宋体"/>
                <w:szCs w:val="21"/>
              </w:rPr>
              <w:t>(㎡</w:t>
            </w:r>
            <w:r>
              <w:rPr>
                <w:rFonts w:hint="eastAsia"/>
                <w:szCs w:val="21"/>
              </w:rPr>
              <w:t>)</w:t>
            </w:r>
          </w:p>
        </w:tc>
        <w:tc>
          <w:tcPr>
            <w:tcW w:w="2835" w:type="dxa"/>
            <w:gridSpan w:val="4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概算价值（万元）</w:t>
            </w:r>
          </w:p>
        </w:tc>
        <w:tc>
          <w:tcPr>
            <w:tcW w:w="992" w:type="dxa"/>
            <w:vMerge w:val="restart"/>
            <w:vAlign w:val="center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合计</w:t>
            </w:r>
          </w:p>
        </w:tc>
        <w:tc>
          <w:tcPr>
            <w:tcW w:w="1688" w:type="dxa"/>
            <w:vMerge w:val="restart"/>
          </w:tcPr>
          <w:p>
            <w:pPr>
              <w:jc w:val="center"/>
              <w:rPr>
                <w:szCs w:val="21"/>
              </w:rPr>
            </w:pPr>
            <w:r>
              <w:rPr>
                <w:rFonts w:hint="eastAsia"/>
                <w:szCs w:val="21"/>
              </w:rPr>
              <w:t>备注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315" w:hRule="atLeast"/>
        </w:trPr>
        <w:tc>
          <w:tcPr>
            <w:tcW w:w="795" w:type="dxa"/>
            <w:vMerge w:val="continue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Merge w:val="continue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Merge w:val="continue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</w:tcPr>
          <w:p>
            <w:pPr>
              <w:ind w:firstLine="180" w:firstLineChars="100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土建</w:t>
            </w:r>
          </w:p>
        </w:tc>
        <w:tc>
          <w:tcPr>
            <w:tcW w:w="567" w:type="dxa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设备费</w:t>
            </w:r>
          </w:p>
        </w:tc>
        <w:tc>
          <w:tcPr>
            <w:tcW w:w="850" w:type="dxa"/>
          </w:tcPr>
          <w:p>
            <w:pPr>
              <w:jc w:val="left"/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安装工程</w:t>
            </w:r>
          </w:p>
        </w:tc>
        <w:tc>
          <w:tcPr>
            <w:tcW w:w="851" w:type="dxa"/>
          </w:tcPr>
          <w:p>
            <w:pPr>
              <w:rPr>
                <w:sz w:val="18"/>
                <w:szCs w:val="18"/>
              </w:rPr>
            </w:pPr>
            <w:r>
              <w:rPr>
                <w:rFonts w:hint="eastAsia"/>
                <w:sz w:val="18"/>
                <w:szCs w:val="18"/>
              </w:rPr>
              <w:t>其它费用</w:t>
            </w:r>
          </w:p>
        </w:tc>
        <w:tc>
          <w:tcPr>
            <w:tcW w:w="992" w:type="dxa"/>
            <w:vMerge w:val="continue"/>
          </w:tcPr>
          <w:p>
            <w:pPr>
              <w:ind w:firstLine="90" w:firstLineChars="50"/>
              <w:rPr>
                <w:sz w:val="18"/>
                <w:szCs w:val="18"/>
              </w:rPr>
            </w:pPr>
          </w:p>
        </w:tc>
        <w:tc>
          <w:tcPr>
            <w:tcW w:w="1688" w:type="dxa"/>
            <w:vMerge w:val="continue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一</w:t>
            </w: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</w:rPr>
              <w:t>工程费用</w:t>
            </w:r>
          </w:p>
        </w:tc>
        <w:tc>
          <w:tcPr>
            <w:tcW w:w="1010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hint="default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hint="default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hint="default" w:asciiTheme="minorEastAsia" w:hAnsiTheme="minorEastAsia" w:eastAsiaTheme="minorEastAsia" w:cstheme="minorEastAsia"/>
                <w:b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  <w:t>440.68</w:t>
            </w:r>
          </w:p>
        </w:tc>
        <w:tc>
          <w:tcPr>
            <w:tcW w:w="1688" w:type="dxa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sz w:val="21"/>
                <w:szCs w:val="21"/>
                <w:lang w:val="en-US" w:eastAsia="zh-CN"/>
              </w:rPr>
            </w:pPr>
            <w:bookmarkStart w:id="0" w:name="_GoBack"/>
            <w:bookmarkEnd w:id="0"/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1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9"/>
                <w:szCs w:val="19"/>
                <w:lang w:val="en-US" w:eastAsia="zh-CN" w:bidi="ar"/>
              </w:rPr>
              <w:t>84m 日光温室</w:t>
            </w:r>
          </w:p>
        </w:tc>
        <w:tc>
          <w:tcPr>
            <w:tcW w:w="1010" w:type="dxa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50" w:type="dxa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center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  <w:t>119.76</w:t>
            </w:r>
          </w:p>
        </w:tc>
        <w:tc>
          <w:tcPr>
            <w:tcW w:w="1688" w:type="dxa"/>
            <w:vAlign w:val="center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1.1</w:t>
            </w:r>
          </w:p>
        </w:tc>
        <w:tc>
          <w:tcPr>
            <w:tcW w:w="310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84m 单体大棚土建工程</w:t>
            </w: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5座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100.55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  <w:lang w:val="en-US" w:eastAsia="zh-CN"/>
              </w:rPr>
              <w:t>1.2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84m 单体大棚给排水工程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3.15</w:t>
            </w:r>
          </w:p>
        </w:tc>
        <w:tc>
          <w:tcPr>
            <w:tcW w:w="1688" w:type="dxa"/>
            <w:vAlign w:val="bottom"/>
          </w:tcPr>
          <w:p>
            <w:pPr>
              <w:tabs>
                <w:tab w:val="center" w:pos="530"/>
              </w:tabs>
              <w:rPr>
                <w:rFonts w:hint="default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1.3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sz w:val="21"/>
                <w:szCs w:val="21"/>
                <w:lang w:eastAsia="zh-CN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84m 单体大棚电气工程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7.3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1.4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配建耳房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8.85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9"/>
                <w:szCs w:val="19"/>
                <w:lang w:val="en-US" w:eastAsia="zh-CN" w:bidi="ar"/>
              </w:rPr>
              <w:t>108m 日光温室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181.22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2.1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108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m 单体大棚土建工程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  <w:lang w:val="en-US" w:eastAsia="zh-CN"/>
              </w:rPr>
              <w:t>155.84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2.2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108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m 单体大棚给排水工程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3.9</w:t>
            </w:r>
          </w:p>
        </w:tc>
        <w:tc>
          <w:tcPr>
            <w:tcW w:w="1688" w:type="dxa"/>
            <w:vAlign w:val="bottom"/>
          </w:tcPr>
          <w:p>
            <w:pPr>
              <w:jc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2.3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108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m 单体大棚电气工程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10.86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2.4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配建耳房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10.62</w:t>
            </w:r>
          </w:p>
        </w:tc>
        <w:tc>
          <w:tcPr>
            <w:tcW w:w="1688" w:type="dxa"/>
            <w:vAlign w:val="bottom"/>
          </w:tcPr>
          <w:p>
            <w:pPr>
              <w:tabs>
                <w:tab w:val="left" w:pos="575"/>
              </w:tabs>
              <w:rPr>
                <w:rFonts w:hint="default" w:asciiTheme="minorEastAsia" w:hAnsiTheme="minorEastAsia" w:eastAsiaTheme="minorEastAsia" w:cstheme="minorEastAsia"/>
                <w:b w:val="0"/>
                <w:bCs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9"/>
                <w:szCs w:val="19"/>
                <w:lang w:val="en-US" w:eastAsia="zh-CN" w:bidi="ar"/>
              </w:rPr>
              <w:t>114m 日光温室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32.02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3.1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114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m 单体大棚土建工程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27.61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3.2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114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m 单体大棚给排水工程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0.73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3.3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114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m 单体大棚电气工程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1.91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3.4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配建耳房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1.77</w:t>
            </w:r>
          </w:p>
        </w:tc>
        <w:tc>
          <w:tcPr>
            <w:tcW w:w="1688" w:type="dxa"/>
            <w:vAlign w:val="bottom"/>
          </w:tcPr>
          <w:p>
            <w:pPr>
              <w:ind w:firstLine="425" w:firstLineChars="0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9"/>
                <w:szCs w:val="19"/>
                <w:lang w:val="en-US" w:eastAsia="zh-CN" w:bidi="ar"/>
              </w:rPr>
              <w:t>室外给水工程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12.37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4.1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PEΦ63*0.4Mpa 主管及其管</w:t>
            </w:r>
            <w:r>
              <w:rPr>
                <w:rFonts w:hint="eastAsia" w:ascii="宋体" w:hAnsi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沟</w:t>
            </w: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开挖回 填土方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1387</w:t>
            </w:r>
            <w:r>
              <w:rPr>
                <w:rFonts w:ascii="Yu Gothic UI" w:hAnsi="Yu Gothic UI" w:eastAsia="Yu Gothic UI" w:cs="Yu Gothic UI"/>
                <w:color w:val="000000"/>
                <w:kern w:val="0"/>
                <w:sz w:val="19"/>
                <w:szCs w:val="19"/>
                <w:lang w:val="en-US" w:eastAsia="zh-CN" w:bidi="ar"/>
              </w:rPr>
              <w:t>㎥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4.02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4.2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砌筑φ1400 钢筋混凝土阀井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1座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0.46</w:t>
            </w:r>
          </w:p>
        </w:tc>
        <w:tc>
          <w:tcPr>
            <w:tcW w:w="1688" w:type="dxa"/>
            <w:vAlign w:val="bottom"/>
          </w:tcPr>
          <w:p>
            <w:pPr>
              <w:tabs>
                <w:tab w:val="center" w:pos="530"/>
              </w:tabs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4.3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UPVC-de110 供水支管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840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m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7.14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4.4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UPVC-de63 入户管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123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m</w:t>
            </w:r>
          </w:p>
        </w:tc>
        <w:tc>
          <w:tcPr>
            <w:tcW w:w="567" w:type="dxa"/>
            <w:tcBorders>
              <w:bottom w:val="single" w:color="auto" w:sz="4" w:space="0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0.75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5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9"/>
                <w:szCs w:val="19"/>
                <w:lang w:val="en-US" w:eastAsia="zh-CN" w:bidi="ar"/>
              </w:rPr>
              <w:t>室外电气工程</w:t>
            </w:r>
          </w:p>
        </w:tc>
        <w:tc>
          <w:tcPr>
            <w:tcW w:w="101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21.81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5.1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19"/>
                <w:szCs w:val="19"/>
                <w:lang w:val="en-US" w:eastAsia="zh-CN" w:bidi="ar"/>
              </w:rPr>
              <w:t>YJV22-0.6/1KV-4x25+1x16 电缆敷设 （变压器接线箱至一级配电箱）</w:t>
            </w:r>
          </w:p>
        </w:tc>
        <w:tc>
          <w:tcPr>
            <w:tcW w:w="101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11</w:t>
            </w: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m</w:t>
            </w: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0.1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5.2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YJV22-0.6/1KV-5*16 电缆敷设（一级 配电箱至二级配电箱）</w:t>
            </w:r>
          </w:p>
        </w:tc>
        <w:tc>
          <w:tcPr>
            <w:tcW w:w="101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1018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m</w:t>
            </w:r>
          </w:p>
        </w:tc>
        <w:tc>
          <w:tcPr>
            <w:tcW w:w="567" w:type="dxa"/>
            <w:tcBorders>
              <w:top w:val="single" w:color="auto" w:sz="4" w:space="0"/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tcBorders>
              <w:top w:val="single" w:color="auto" w:sz="4" w:space="0"/>
            </w:tcBorders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tcBorders>
              <w:top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5.6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5.3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二级配电箱至温室三级配电箱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473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m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1.89</w:t>
            </w:r>
          </w:p>
        </w:tc>
        <w:tc>
          <w:tcPr>
            <w:tcW w:w="1688" w:type="dxa"/>
            <w:vAlign w:val="bottom"/>
          </w:tcPr>
          <w:p>
            <w:pPr>
              <w:tabs>
                <w:tab w:val="left" w:pos="575"/>
              </w:tabs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5.4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电缆保护管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1491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m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2.24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5.5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温棚配电箱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12个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1.02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5.6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室外二级配电箱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4个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0.6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5.7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 w:val="0"/>
                <w:bCs w:val="0"/>
                <w:color w:val="000000"/>
                <w:kern w:val="0"/>
                <w:sz w:val="19"/>
                <w:szCs w:val="19"/>
                <w:lang w:val="en-US" w:eastAsia="zh-CN" w:bidi="ar"/>
              </w:rPr>
              <w:t>室外一级配电箱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1个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0.2</w:t>
            </w:r>
          </w:p>
        </w:tc>
        <w:tc>
          <w:tcPr>
            <w:tcW w:w="1688" w:type="dxa"/>
            <w:vAlign w:val="bottom"/>
          </w:tcPr>
          <w:p>
            <w:pPr>
              <w:ind w:firstLine="420" w:firstLineChars="200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5.8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杆上设备安装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1项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6.4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5.9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电缆敷设土方工程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3790</w:t>
            </w:r>
            <w:r>
              <w:rPr>
                <w:rFonts w:ascii="Yu Gothic UI" w:hAnsi="Yu Gothic UI" w:eastAsia="Yu Gothic UI" w:cs="Yu Gothic UI"/>
                <w:color w:val="000000"/>
                <w:kern w:val="0"/>
                <w:sz w:val="19"/>
                <w:szCs w:val="19"/>
                <w:lang w:val="en-US" w:eastAsia="zh-CN" w:bidi="ar"/>
              </w:rPr>
              <w:t>㎥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3.76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9"/>
                <w:szCs w:val="19"/>
                <w:lang w:val="en-US" w:eastAsia="zh-CN" w:bidi="ar"/>
              </w:rPr>
              <w:t>室外硬化和场平工程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64.16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6.1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道路硬化（200 厚 C25 混凝土，200 厚 砂夹石）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4120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52.68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6.2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入户路硬化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120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1.2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6.3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更换种植土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5142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10.28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7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</w:rPr>
            </w:pPr>
            <w:r>
              <w:rPr>
                <w:rFonts w:hint="eastAsia" w:ascii="宋体" w:hAnsi="宋体" w:eastAsia="宋体" w:cs="宋体"/>
                <w:b/>
                <w:bCs/>
                <w:color w:val="000000"/>
                <w:kern w:val="0"/>
                <w:sz w:val="19"/>
                <w:szCs w:val="19"/>
                <w:lang w:val="en-US" w:eastAsia="zh-CN" w:bidi="ar"/>
              </w:rPr>
              <w:t>场地平整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46804</w:t>
            </w:r>
            <w:r>
              <w:rPr>
                <w:rFonts w:hint="eastAsia" w:ascii="宋体" w:hAnsi="宋体" w:eastAsia="宋体" w:cs="宋体"/>
                <w:color w:val="000000"/>
                <w:sz w:val="21"/>
                <w:szCs w:val="21"/>
                <w:lang w:val="en-US" w:eastAsia="zh-CN"/>
              </w:rPr>
              <w:t>㎡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9.34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keepNext w:val="0"/>
              <w:keepLines w:val="0"/>
              <w:widowControl/>
              <w:suppressLineNumbers w:val="0"/>
              <w:ind w:firstLine="211" w:firstLineChars="100"/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sz w:val="21"/>
                <w:szCs w:val="21"/>
                <w:lang w:val="en-US" w:eastAsia="zh-CN"/>
              </w:rPr>
              <w:t>二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0"/>
                <w:sz w:val="21"/>
                <w:szCs w:val="21"/>
                <w:lang w:val="en-US" w:eastAsia="zh-CN" w:bidi="ar"/>
              </w:rPr>
              <w:t>其他费用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21.13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1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预算编审费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  <w:t>440.68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 w:val="0"/>
                <w:bCs w:val="0"/>
                <w:color w:val="000000"/>
                <w:kern w:val="2"/>
                <w:sz w:val="21"/>
                <w:szCs w:val="21"/>
                <w:lang w:val="en-US" w:eastAsia="zh-CN" w:bidi="ar-SA"/>
              </w:rPr>
              <w:t>2.64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2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施工图审查费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8.81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0.57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3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工程监理费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440.68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5.29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工程测量费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440.68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0.44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5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设计费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440.68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8.81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6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/>
              </w:rPr>
            </w:pPr>
            <w:r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  <w:t>招标代理费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  <w:t>440.68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sz w:val="21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sz w:val="21"/>
                <w:szCs w:val="21"/>
                <w:lang w:val="en-US" w:eastAsia="zh-CN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3.38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sz w:val="21"/>
                <w:szCs w:val="21"/>
              </w:rPr>
              <w:t>三</w:t>
            </w: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</w:rPr>
              <w:t>预备费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  <w:t>461.81</w:t>
            </w: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  <w:t>9.24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  <w:r>
              <w:rPr>
                <w:rFonts w:hint="eastAsia" w:asciiTheme="minorEastAsia" w:hAnsiTheme="minorEastAsia" w:eastAsiaTheme="minorEastAsia" w:cstheme="minorEastAsia"/>
                <w:b/>
                <w:sz w:val="21"/>
                <w:szCs w:val="21"/>
              </w:rPr>
              <w:t>合计</w:t>
            </w: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  <w:r>
              <w:rPr>
                <w:rFonts w:hint="default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eastAsia="zh-CN" w:bidi="ar-SA"/>
              </w:rPr>
              <w:t>4</w:t>
            </w:r>
            <w:r>
              <w:rPr>
                <w:rFonts w:hint="eastAsia" w:asciiTheme="minorEastAsia" w:hAnsiTheme="minorEastAsia" w:eastAsiaTheme="minorEastAsia" w:cstheme="minorEastAsia"/>
                <w:b/>
                <w:bCs/>
                <w:color w:val="000000"/>
                <w:kern w:val="2"/>
                <w:sz w:val="21"/>
                <w:szCs w:val="21"/>
                <w:lang w:val="en-US" w:eastAsia="zh-CN" w:bidi="ar-SA"/>
              </w:rPr>
              <w:t>71.05</w:t>
            </w: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="宋体" w:hAnsi="宋体" w:eastAsia="宋体" w:cs="宋体"/>
                <w:color w:val="000000"/>
                <w:kern w:val="0"/>
                <w:sz w:val="19"/>
                <w:szCs w:val="19"/>
                <w:lang w:val="en-US" w:eastAsia="zh-CN" w:bidi="ar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color w:val="000000"/>
                <w:kern w:val="0"/>
                <w:sz w:val="21"/>
                <w:szCs w:val="21"/>
                <w:lang w:val="en-US" w:eastAsia="zh-CN" w:bidi="ar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default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single" w:color="auto" w:sz="4" w:space="0"/>
            </w:tcBorders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keepNext w:val="0"/>
              <w:keepLines w:val="0"/>
              <w:widowControl/>
              <w:suppressLineNumbers w:val="0"/>
              <w:jc w:val="left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hint="eastAsia" w:asciiTheme="minorEastAsia" w:hAnsiTheme="minorEastAsia" w:eastAsiaTheme="minorEastAsia" w:cs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top w:val="single" w:color="auto" w:sz="4" w:space="0"/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top w:val="single" w:color="auto" w:sz="4" w:space="0"/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top w:val="single" w:color="auto" w:sz="4" w:space="0"/>
            </w:tcBorders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tcBorders>
              <w:top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b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hint="eastAsia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 w:cs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hint="eastAsia" w:asciiTheme="minorEastAsia" w:hAnsiTheme="minorEastAsia" w:eastAsiaTheme="minorEastAsia" w:cs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hint="eastAsia" w:cs="瀹嬩綋" w:asciiTheme="minorEastAsia" w:hAnsiTheme="minorEastAsia" w:eastAsia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kern w:val="2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cs="Times New Roman" w:asciiTheme="minorEastAsia" w:hAnsiTheme="minorEastAsia" w:eastAsiaTheme="minorEastAsia"/>
                <w:b/>
                <w:kern w:val="0"/>
                <w:sz w:val="21"/>
                <w:szCs w:val="21"/>
                <w:lang w:val="en-US" w:eastAsia="zh-CN" w:bidi="ar-SA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Times New Roman" w:asciiTheme="minorEastAsia" w:hAnsiTheme="minorEastAsia" w:eastAsiaTheme="minorEastAsia"/>
                <w:kern w:val="0"/>
                <w:sz w:val="21"/>
                <w:szCs w:val="21"/>
                <w:lang w:val="en-US" w:eastAsia="zh-CN" w:bidi="ar-SA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hint="default" w:asciiTheme="minorEastAsia" w:hAnsiTheme="minorEastAsia" w:eastAsiaTheme="minorEastAsia"/>
                <w:b/>
                <w:kern w:val="0"/>
                <w:szCs w:val="21"/>
                <w:lang w:val="en-US" w:eastAsia="zh-CN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仿宋_GB2312" w:asciiTheme="minorEastAsia" w:hAnsiTheme="minorEastAsia" w:eastAsiaTheme="minorEastAsia"/>
                <w:color w:val="000000"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tcBorders>
              <w:bottom w:val="single" w:color="auto" w:sz="4" w:space="0"/>
            </w:tcBorders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tcBorders>
              <w:bottom w:val="nil"/>
            </w:tcBorders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ascii="宋体" w:cs="宋体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center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  <w:shd w:val="pct10" w:color="auto" w:fill="FFFFFF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瀹嬩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仿宋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kern w:val="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autoSpaceDE w:val="0"/>
              <w:autoSpaceDN w:val="0"/>
              <w:adjustRightInd w:val="0"/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rFonts w:ascii="宋体" w:cs="宋体"/>
                <w:b/>
                <w:kern w:val="0"/>
                <w:sz w:val="20"/>
                <w:szCs w:val="20"/>
              </w:rPr>
            </w:pPr>
          </w:p>
        </w:tc>
        <w:tc>
          <w:tcPr>
            <w:tcW w:w="1010" w:type="dxa"/>
            <w:tcBorders>
              <w:bottom w:val="single" w:color="auto" w:sz="4" w:space="0"/>
            </w:tcBorders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tcBorders>
              <w:bottom w:val="nil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tcBorders>
              <w:top w:val="nil"/>
            </w:tcBorders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Cs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kern w:val="0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 w:themeColor="text1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cs="宋体" w:asciiTheme="minorEastAsia" w:hAnsiTheme="minorEastAsia" w:eastAsiaTheme="minorEastAsia"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cs="宋体" w:asciiTheme="minorEastAsia" w:hAnsiTheme="minorEastAsia" w:eastAsiaTheme="minorEastAsia"/>
                <w:b/>
                <w:sz w:val="18"/>
                <w:szCs w:val="18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cs="宋体" w:asciiTheme="minorEastAsia" w:hAnsiTheme="minorEastAsia" w:eastAsiaTheme="minorEastAsia"/>
                <w:b/>
                <w:color w:val="000000"/>
                <w:sz w:val="18"/>
                <w:szCs w:val="18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cs="宋体" w:asciiTheme="minorEastAsia" w:hAnsiTheme="minorEastAsia" w:eastAsiaTheme="minorEastAsia"/>
                <w:color w:val="000000"/>
                <w:sz w:val="18"/>
                <w:szCs w:val="18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b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b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b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2"/>
                <w:szCs w:val="22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b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b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2" w:hRule="atLeast"/>
        </w:trPr>
        <w:tc>
          <w:tcPr>
            <w:tcW w:w="795" w:type="dxa"/>
            <w:vAlign w:val="center"/>
          </w:tcPr>
          <w:p>
            <w:pPr>
              <w:jc w:val="center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rFonts w:ascii="宋体" w:hAnsi="宋体"/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76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59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0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630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67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210"/>
              <w:jc w:val="righ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left"/>
              <w:rPr>
                <w:rFonts w:ascii="宋体" w:hAnsi="宋体" w:cs="宋体"/>
                <w:sz w:val="24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210"/>
              <w:jc w:val="righ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ind w:right="210"/>
              <w:jc w:val="righ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righ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jc w:val="left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ind w:right="200"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widowControl/>
              <w:jc w:val="center"/>
              <w:textAlignment w:val="center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3105" w:type="dxa"/>
            <w:vAlign w:val="center"/>
          </w:tcPr>
          <w:p>
            <w:pPr>
              <w:widowControl/>
              <w:jc w:val="left"/>
              <w:textAlignment w:val="center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851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992" w:type="dxa"/>
            <w:vAlign w:val="bottom"/>
          </w:tcPr>
          <w:p>
            <w:pPr>
              <w:widowControl/>
              <w:jc w:val="lef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b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bottom"/>
          </w:tcPr>
          <w:p>
            <w:pPr>
              <w:widowControl/>
              <w:jc w:val="right"/>
              <w:textAlignment w:val="bottom"/>
              <w:rPr>
                <w:rFonts w:ascii="宋体" w:hAnsi="宋体" w:cs="宋体"/>
                <w:color w:val="000000"/>
                <w:sz w:val="20"/>
                <w:szCs w:val="20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/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b/>
                <w:szCs w:val="21"/>
                <w:vertAlign w:val="superscript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b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b/>
                <w:szCs w:val="21"/>
                <w:vertAlign w:val="superscript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b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b/>
                <w:szCs w:val="21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445" w:hRule="atLeast"/>
        </w:trPr>
        <w:tc>
          <w:tcPr>
            <w:tcW w:w="795" w:type="dxa"/>
            <w:vAlign w:val="center"/>
          </w:tcPr>
          <w:p>
            <w:pPr>
              <w:rPr>
                <w:szCs w:val="21"/>
              </w:rPr>
            </w:pPr>
          </w:p>
        </w:tc>
        <w:tc>
          <w:tcPr>
            <w:tcW w:w="3105" w:type="dxa"/>
            <w:vAlign w:val="center"/>
          </w:tcPr>
          <w:p>
            <w:pPr>
              <w:jc w:val="center"/>
              <w:rPr>
                <w:b/>
                <w:szCs w:val="21"/>
              </w:rPr>
            </w:pPr>
          </w:p>
        </w:tc>
        <w:tc>
          <w:tcPr>
            <w:tcW w:w="1010" w:type="dxa"/>
            <w:vAlign w:val="center"/>
          </w:tcPr>
          <w:p>
            <w:pPr>
              <w:rPr>
                <w:b/>
                <w:szCs w:val="21"/>
                <w:vertAlign w:val="superscript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567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850" w:type="dxa"/>
          </w:tcPr>
          <w:p>
            <w:pPr>
              <w:rPr>
                <w:b/>
                <w:szCs w:val="21"/>
              </w:rPr>
            </w:pPr>
          </w:p>
        </w:tc>
        <w:tc>
          <w:tcPr>
            <w:tcW w:w="851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992" w:type="dxa"/>
            <w:vAlign w:val="center"/>
          </w:tcPr>
          <w:p>
            <w:pPr>
              <w:rPr>
                <w:b/>
                <w:szCs w:val="21"/>
              </w:rPr>
            </w:pPr>
          </w:p>
        </w:tc>
        <w:tc>
          <w:tcPr>
            <w:tcW w:w="1688" w:type="dxa"/>
            <w:vAlign w:val="center"/>
          </w:tcPr>
          <w:p>
            <w:pPr>
              <w:rPr>
                <w:b/>
                <w:szCs w:val="21"/>
              </w:rPr>
            </w:pPr>
          </w:p>
        </w:tc>
      </w:tr>
    </w:tbl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Verdana">
    <w:panose1 w:val="020B0604030504040204"/>
    <w:charset w:val="00"/>
    <w:family w:val="swiss"/>
    <w:pitch w:val="default"/>
    <w:sig w:usb0="A00006FF" w:usb1="4000205B" w:usb2="00000010" w:usb3="00000000" w:csb0="2000019F" w:csb1="00000000"/>
  </w:font>
  <w:font w:name="Yu Gothic UI">
    <w:panose1 w:val="020B0500000000000000"/>
    <w:charset w:val="80"/>
    <w:family w:val="auto"/>
    <w:pitch w:val="default"/>
    <w:sig w:usb0="E00002FF" w:usb1="2AC7FDFF" w:usb2="00000016" w:usb3="00000000" w:csb0="2002009F" w:csb1="00000000"/>
  </w:font>
  <w:font w:name="瀹嬩綋">
    <w:altName w:val="方正粗黑宋简体"/>
    <w:panose1 w:val="00000000000000000000"/>
    <w:charset w:val="86"/>
    <w:family w:val="auto"/>
    <w:pitch w:val="default"/>
    <w:sig w:usb0="00000000" w:usb1="00000000" w:usb2="00000010" w:usb3="00000000" w:csb0="00040000" w:csb1="00000000"/>
  </w:font>
  <w:font w:name="方正粗黑宋简体">
    <w:panose1 w:val="02000000000000000000"/>
    <w:charset w:val="86"/>
    <w:family w:val="auto"/>
    <w:pitch w:val="default"/>
    <w:sig w:usb0="A00002BF" w:usb1="184F6CFA" w:usb2="00000012" w:usb3="00000000" w:csb0="00040001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doNotValidateAgainstSchema/>
  <w:doNotDemarcateInvalidXml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doNotUseIndentAsNumberingTabStop/>
    <w:compatSetting w:name="compatibilityMode" w:uri="http://schemas.microsoft.com/office/word" w:val="12"/>
  </w:compat>
  <w:rsids>
    <w:rsidRoot w:val="00172A27"/>
    <w:rsid w:val="00000249"/>
    <w:rsid w:val="000047F5"/>
    <w:rsid w:val="00006F45"/>
    <w:rsid w:val="000164D9"/>
    <w:rsid w:val="000232C6"/>
    <w:rsid w:val="00026012"/>
    <w:rsid w:val="00026A81"/>
    <w:rsid w:val="00027239"/>
    <w:rsid w:val="000309BC"/>
    <w:rsid w:val="00041998"/>
    <w:rsid w:val="00042F19"/>
    <w:rsid w:val="00046550"/>
    <w:rsid w:val="00046B87"/>
    <w:rsid w:val="00047745"/>
    <w:rsid w:val="00052F09"/>
    <w:rsid w:val="0005607C"/>
    <w:rsid w:val="0006046F"/>
    <w:rsid w:val="00060BA8"/>
    <w:rsid w:val="00065D38"/>
    <w:rsid w:val="000712D7"/>
    <w:rsid w:val="00075CF1"/>
    <w:rsid w:val="000771F4"/>
    <w:rsid w:val="0008027A"/>
    <w:rsid w:val="0008316B"/>
    <w:rsid w:val="000841C0"/>
    <w:rsid w:val="000865A4"/>
    <w:rsid w:val="00086880"/>
    <w:rsid w:val="00086C2C"/>
    <w:rsid w:val="00096357"/>
    <w:rsid w:val="000A16FF"/>
    <w:rsid w:val="000A39C7"/>
    <w:rsid w:val="000B12DF"/>
    <w:rsid w:val="000B1C26"/>
    <w:rsid w:val="000B7695"/>
    <w:rsid w:val="000C1E9A"/>
    <w:rsid w:val="000C4A08"/>
    <w:rsid w:val="000D6930"/>
    <w:rsid w:val="000D720B"/>
    <w:rsid w:val="000E1962"/>
    <w:rsid w:val="000F6990"/>
    <w:rsid w:val="000F704C"/>
    <w:rsid w:val="00101B51"/>
    <w:rsid w:val="001118AE"/>
    <w:rsid w:val="001141B5"/>
    <w:rsid w:val="0011469C"/>
    <w:rsid w:val="00125075"/>
    <w:rsid w:val="00132199"/>
    <w:rsid w:val="00133D2B"/>
    <w:rsid w:val="00135E37"/>
    <w:rsid w:val="0013643F"/>
    <w:rsid w:val="00140CB2"/>
    <w:rsid w:val="00140DC5"/>
    <w:rsid w:val="00144AA4"/>
    <w:rsid w:val="00144E28"/>
    <w:rsid w:val="001476CA"/>
    <w:rsid w:val="00151318"/>
    <w:rsid w:val="00164333"/>
    <w:rsid w:val="0016442E"/>
    <w:rsid w:val="00164753"/>
    <w:rsid w:val="00164AC0"/>
    <w:rsid w:val="00172A27"/>
    <w:rsid w:val="001736BC"/>
    <w:rsid w:val="0017695A"/>
    <w:rsid w:val="0018158D"/>
    <w:rsid w:val="00181EB0"/>
    <w:rsid w:val="00182645"/>
    <w:rsid w:val="00186D55"/>
    <w:rsid w:val="001A2A6B"/>
    <w:rsid w:val="001C0CD4"/>
    <w:rsid w:val="001D63D8"/>
    <w:rsid w:val="001D73DE"/>
    <w:rsid w:val="001D7B50"/>
    <w:rsid w:val="001F0BBE"/>
    <w:rsid w:val="001F5851"/>
    <w:rsid w:val="001F5A63"/>
    <w:rsid w:val="001F6289"/>
    <w:rsid w:val="001F6F96"/>
    <w:rsid w:val="0020222E"/>
    <w:rsid w:val="00210844"/>
    <w:rsid w:val="002129F8"/>
    <w:rsid w:val="00214BC7"/>
    <w:rsid w:val="00216AED"/>
    <w:rsid w:val="002177D0"/>
    <w:rsid w:val="002220EE"/>
    <w:rsid w:val="00225533"/>
    <w:rsid w:val="002255B8"/>
    <w:rsid w:val="002266B4"/>
    <w:rsid w:val="00227403"/>
    <w:rsid w:val="00227EF7"/>
    <w:rsid w:val="00231B6D"/>
    <w:rsid w:val="00236FAC"/>
    <w:rsid w:val="002372E7"/>
    <w:rsid w:val="0024503A"/>
    <w:rsid w:val="0026116C"/>
    <w:rsid w:val="002663E3"/>
    <w:rsid w:val="002674AC"/>
    <w:rsid w:val="00267910"/>
    <w:rsid w:val="00271DC4"/>
    <w:rsid w:val="00272CD2"/>
    <w:rsid w:val="00273377"/>
    <w:rsid w:val="002776D8"/>
    <w:rsid w:val="00282C02"/>
    <w:rsid w:val="00294D42"/>
    <w:rsid w:val="002964D3"/>
    <w:rsid w:val="00296F2B"/>
    <w:rsid w:val="002A1510"/>
    <w:rsid w:val="002A7216"/>
    <w:rsid w:val="002B1CCD"/>
    <w:rsid w:val="002B28C7"/>
    <w:rsid w:val="002C09D4"/>
    <w:rsid w:val="002C20BF"/>
    <w:rsid w:val="002C4701"/>
    <w:rsid w:val="002D3066"/>
    <w:rsid w:val="002E19AF"/>
    <w:rsid w:val="002E29B4"/>
    <w:rsid w:val="002E675C"/>
    <w:rsid w:val="002F2ABB"/>
    <w:rsid w:val="003018B3"/>
    <w:rsid w:val="00302B5C"/>
    <w:rsid w:val="003105E8"/>
    <w:rsid w:val="0032367C"/>
    <w:rsid w:val="00323C50"/>
    <w:rsid w:val="00323F72"/>
    <w:rsid w:val="0033281D"/>
    <w:rsid w:val="00336CBA"/>
    <w:rsid w:val="00345356"/>
    <w:rsid w:val="00350F6F"/>
    <w:rsid w:val="003515A3"/>
    <w:rsid w:val="0037419B"/>
    <w:rsid w:val="0037539C"/>
    <w:rsid w:val="00377195"/>
    <w:rsid w:val="003817E7"/>
    <w:rsid w:val="00387265"/>
    <w:rsid w:val="0039542A"/>
    <w:rsid w:val="00397DBD"/>
    <w:rsid w:val="003A4772"/>
    <w:rsid w:val="003A68EC"/>
    <w:rsid w:val="003B2451"/>
    <w:rsid w:val="003B7D2D"/>
    <w:rsid w:val="003C76C4"/>
    <w:rsid w:val="003D10E9"/>
    <w:rsid w:val="003E2232"/>
    <w:rsid w:val="003E45D8"/>
    <w:rsid w:val="003F101E"/>
    <w:rsid w:val="00417DD8"/>
    <w:rsid w:val="00417DE1"/>
    <w:rsid w:val="00427FE4"/>
    <w:rsid w:val="004329BF"/>
    <w:rsid w:val="00432E85"/>
    <w:rsid w:val="00433D9B"/>
    <w:rsid w:val="004348DC"/>
    <w:rsid w:val="004362E9"/>
    <w:rsid w:val="004373BB"/>
    <w:rsid w:val="0044575B"/>
    <w:rsid w:val="0044706C"/>
    <w:rsid w:val="00447634"/>
    <w:rsid w:val="00451257"/>
    <w:rsid w:val="00453247"/>
    <w:rsid w:val="00461568"/>
    <w:rsid w:val="0046349F"/>
    <w:rsid w:val="004663C1"/>
    <w:rsid w:val="0046764C"/>
    <w:rsid w:val="004768EF"/>
    <w:rsid w:val="00480200"/>
    <w:rsid w:val="00481463"/>
    <w:rsid w:val="00483714"/>
    <w:rsid w:val="00484EC8"/>
    <w:rsid w:val="00491291"/>
    <w:rsid w:val="00492312"/>
    <w:rsid w:val="0049693C"/>
    <w:rsid w:val="004A0B02"/>
    <w:rsid w:val="004B38C8"/>
    <w:rsid w:val="004C0AE5"/>
    <w:rsid w:val="004C2345"/>
    <w:rsid w:val="004C32E5"/>
    <w:rsid w:val="004C787D"/>
    <w:rsid w:val="004D1282"/>
    <w:rsid w:val="004D2DAC"/>
    <w:rsid w:val="004E1108"/>
    <w:rsid w:val="004E3165"/>
    <w:rsid w:val="004E3656"/>
    <w:rsid w:val="00515B5E"/>
    <w:rsid w:val="00515FF3"/>
    <w:rsid w:val="0051619F"/>
    <w:rsid w:val="00517EE5"/>
    <w:rsid w:val="00523B50"/>
    <w:rsid w:val="00531554"/>
    <w:rsid w:val="00532362"/>
    <w:rsid w:val="00533CD2"/>
    <w:rsid w:val="00537138"/>
    <w:rsid w:val="00541485"/>
    <w:rsid w:val="00543AF0"/>
    <w:rsid w:val="005527DF"/>
    <w:rsid w:val="00562371"/>
    <w:rsid w:val="005674E2"/>
    <w:rsid w:val="005700DE"/>
    <w:rsid w:val="00574BCD"/>
    <w:rsid w:val="0059655E"/>
    <w:rsid w:val="00596B4F"/>
    <w:rsid w:val="005A2A46"/>
    <w:rsid w:val="005A4227"/>
    <w:rsid w:val="005A63D7"/>
    <w:rsid w:val="005A761A"/>
    <w:rsid w:val="005B0895"/>
    <w:rsid w:val="005B4E5F"/>
    <w:rsid w:val="005B7B51"/>
    <w:rsid w:val="005B7FC9"/>
    <w:rsid w:val="005D7411"/>
    <w:rsid w:val="005E343C"/>
    <w:rsid w:val="005E40C8"/>
    <w:rsid w:val="005F0479"/>
    <w:rsid w:val="005F1DB3"/>
    <w:rsid w:val="005F23EB"/>
    <w:rsid w:val="005F6790"/>
    <w:rsid w:val="005F6D7B"/>
    <w:rsid w:val="00602DB4"/>
    <w:rsid w:val="00607C12"/>
    <w:rsid w:val="00613AC0"/>
    <w:rsid w:val="00614419"/>
    <w:rsid w:val="00615098"/>
    <w:rsid w:val="0061538D"/>
    <w:rsid w:val="00615723"/>
    <w:rsid w:val="006503C4"/>
    <w:rsid w:val="006509E2"/>
    <w:rsid w:val="00655F12"/>
    <w:rsid w:val="00656A22"/>
    <w:rsid w:val="00676C0D"/>
    <w:rsid w:val="00677D10"/>
    <w:rsid w:val="00682AD7"/>
    <w:rsid w:val="006856FB"/>
    <w:rsid w:val="00685937"/>
    <w:rsid w:val="0069047E"/>
    <w:rsid w:val="006910AE"/>
    <w:rsid w:val="006926B5"/>
    <w:rsid w:val="006A0101"/>
    <w:rsid w:val="006B136F"/>
    <w:rsid w:val="006B4B16"/>
    <w:rsid w:val="006C1754"/>
    <w:rsid w:val="006C2627"/>
    <w:rsid w:val="006C3A1E"/>
    <w:rsid w:val="006D6779"/>
    <w:rsid w:val="006D6BD5"/>
    <w:rsid w:val="006E01CC"/>
    <w:rsid w:val="006E2EB5"/>
    <w:rsid w:val="006E497B"/>
    <w:rsid w:val="006F0783"/>
    <w:rsid w:val="006F3890"/>
    <w:rsid w:val="006F6D7A"/>
    <w:rsid w:val="006F71FE"/>
    <w:rsid w:val="00703BA4"/>
    <w:rsid w:val="00705351"/>
    <w:rsid w:val="00724E30"/>
    <w:rsid w:val="007255E6"/>
    <w:rsid w:val="00726300"/>
    <w:rsid w:val="007358F0"/>
    <w:rsid w:val="007405A6"/>
    <w:rsid w:val="00741DFB"/>
    <w:rsid w:val="007648EE"/>
    <w:rsid w:val="00772E3B"/>
    <w:rsid w:val="007748C7"/>
    <w:rsid w:val="00775889"/>
    <w:rsid w:val="00783D09"/>
    <w:rsid w:val="0078719E"/>
    <w:rsid w:val="00787969"/>
    <w:rsid w:val="0079375A"/>
    <w:rsid w:val="007954AA"/>
    <w:rsid w:val="007A0112"/>
    <w:rsid w:val="007A309D"/>
    <w:rsid w:val="007B4BB7"/>
    <w:rsid w:val="007B5B20"/>
    <w:rsid w:val="007B6C0A"/>
    <w:rsid w:val="007B6DE2"/>
    <w:rsid w:val="007B73EE"/>
    <w:rsid w:val="007C4B2F"/>
    <w:rsid w:val="007C6D18"/>
    <w:rsid w:val="007D2930"/>
    <w:rsid w:val="007E0BBF"/>
    <w:rsid w:val="007F17BA"/>
    <w:rsid w:val="007F2E35"/>
    <w:rsid w:val="007F4658"/>
    <w:rsid w:val="008126F6"/>
    <w:rsid w:val="0082197C"/>
    <w:rsid w:val="0083432E"/>
    <w:rsid w:val="008379C6"/>
    <w:rsid w:val="00852399"/>
    <w:rsid w:val="00852726"/>
    <w:rsid w:val="00860EB5"/>
    <w:rsid w:val="0087320F"/>
    <w:rsid w:val="00883582"/>
    <w:rsid w:val="008838F9"/>
    <w:rsid w:val="00883F89"/>
    <w:rsid w:val="00885B54"/>
    <w:rsid w:val="00891F14"/>
    <w:rsid w:val="00892EB3"/>
    <w:rsid w:val="008A17E0"/>
    <w:rsid w:val="008A1DD7"/>
    <w:rsid w:val="008A2487"/>
    <w:rsid w:val="008B0D0A"/>
    <w:rsid w:val="008B2BD0"/>
    <w:rsid w:val="008C4DDB"/>
    <w:rsid w:val="008C5688"/>
    <w:rsid w:val="008D071E"/>
    <w:rsid w:val="008E1224"/>
    <w:rsid w:val="008E22BA"/>
    <w:rsid w:val="008E44F0"/>
    <w:rsid w:val="008F3114"/>
    <w:rsid w:val="008F43F7"/>
    <w:rsid w:val="009013B4"/>
    <w:rsid w:val="00906D4F"/>
    <w:rsid w:val="00907C6B"/>
    <w:rsid w:val="009153D5"/>
    <w:rsid w:val="00920FE7"/>
    <w:rsid w:val="0093372A"/>
    <w:rsid w:val="00934DBF"/>
    <w:rsid w:val="009356E0"/>
    <w:rsid w:val="009407DA"/>
    <w:rsid w:val="00940EFC"/>
    <w:rsid w:val="00942075"/>
    <w:rsid w:val="009459D3"/>
    <w:rsid w:val="009463D8"/>
    <w:rsid w:val="00953F4E"/>
    <w:rsid w:val="00961072"/>
    <w:rsid w:val="009770B7"/>
    <w:rsid w:val="0098301F"/>
    <w:rsid w:val="00984D15"/>
    <w:rsid w:val="00997332"/>
    <w:rsid w:val="00997D5E"/>
    <w:rsid w:val="009A5B68"/>
    <w:rsid w:val="009B0440"/>
    <w:rsid w:val="009B1396"/>
    <w:rsid w:val="009B1DEF"/>
    <w:rsid w:val="009B2D4F"/>
    <w:rsid w:val="009B6B1E"/>
    <w:rsid w:val="009C224C"/>
    <w:rsid w:val="009C2DA1"/>
    <w:rsid w:val="009C4B2D"/>
    <w:rsid w:val="009C52A6"/>
    <w:rsid w:val="009D0BF1"/>
    <w:rsid w:val="009D600F"/>
    <w:rsid w:val="009D659C"/>
    <w:rsid w:val="009F13D2"/>
    <w:rsid w:val="009F19FC"/>
    <w:rsid w:val="009F7A96"/>
    <w:rsid w:val="00A10F93"/>
    <w:rsid w:val="00A1148B"/>
    <w:rsid w:val="00A16249"/>
    <w:rsid w:val="00A163D9"/>
    <w:rsid w:val="00A31780"/>
    <w:rsid w:val="00A358FD"/>
    <w:rsid w:val="00A37D8C"/>
    <w:rsid w:val="00A44565"/>
    <w:rsid w:val="00A46C65"/>
    <w:rsid w:val="00A50857"/>
    <w:rsid w:val="00A51045"/>
    <w:rsid w:val="00A5134D"/>
    <w:rsid w:val="00A56BB6"/>
    <w:rsid w:val="00A6249C"/>
    <w:rsid w:val="00A7001A"/>
    <w:rsid w:val="00A80AFA"/>
    <w:rsid w:val="00A87304"/>
    <w:rsid w:val="00A87B03"/>
    <w:rsid w:val="00A92C63"/>
    <w:rsid w:val="00A9704D"/>
    <w:rsid w:val="00A97D20"/>
    <w:rsid w:val="00AC37D7"/>
    <w:rsid w:val="00AC527C"/>
    <w:rsid w:val="00AD58E6"/>
    <w:rsid w:val="00AD76AA"/>
    <w:rsid w:val="00AE0034"/>
    <w:rsid w:val="00AE00D5"/>
    <w:rsid w:val="00AE265C"/>
    <w:rsid w:val="00AF21AA"/>
    <w:rsid w:val="00AF74A0"/>
    <w:rsid w:val="00B0052E"/>
    <w:rsid w:val="00B0168C"/>
    <w:rsid w:val="00B02ED3"/>
    <w:rsid w:val="00B0636C"/>
    <w:rsid w:val="00B1329A"/>
    <w:rsid w:val="00B166D5"/>
    <w:rsid w:val="00B25B32"/>
    <w:rsid w:val="00B263B5"/>
    <w:rsid w:val="00B45F0E"/>
    <w:rsid w:val="00B4796B"/>
    <w:rsid w:val="00B62227"/>
    <w:rsid w:val="00B700C8"/>
    <w:rsid w:val="00B7016A"/>
    <w:rsid w:val="00B70452"/>
    <w:rsid w:val="00B73E75"/>
    <w:rsid w:val="00B8422F"/>
    <w:rsid w:val="00B86A2D"/>
    <w:rsid w:val="00B9329A"/>
    <w:rsid w:val="00B9417E"/>
    <w:rsid w:val="00B95A37"/>
    <w:rsid w:val="00B97ED2"/>
    <w:rsid w:val="00BA74CB"/>
    <w:rsid w:val="00BA7D4F"/>
    <w:rsid w:val="00BB19E4"/>
    <w:rsid w:val="00BB3413"/>
    <w:rsid w:val="00BB7B3E"/>
    <w:rsid w:val="00BC1543"/>
    <w:rsid w:val="00BC3E48"/>
    <w:rsid w:val="00BC741F"/>
    <w:rsid w:val="00C004F6"/>
    <w:rsid w:val="00C10B98"/>
    <w:rsid w:val="00C11A6F"/>
    <w:rsid w:val="00C315D2"/>
    <w:rsid w:val="00C40180"/>
    <w:rsid w:val="00C40BBC"/>
    <w:rsid w:val="00C421F5"/>
    <w:rsid w:val="00C5103F"/>
    <w:rsid w:val="00C61B48"/>
    <w:rsid w:val="00C633DE"/>
    <w:rsid w:val="00C643AE"/>
    <w:rsid w:val="00C6532A"/>
    <w:rsid w:val="00C6620B"/>
    <w:rsid w:val="00C74264"/>
    <w:rsid w:val="00C74F47"/>
    <w:rsid w:val="00C76E85"/>
    <w:rsid w:val="00C86BDF"/>
    <w:rsid w:val="00C87F31"/>
    <w:rsid w:val="00CA3328"/>
    <w:rsid w:val="00CA7883"/>
    <w:rsid w:val="00CB1FFC"/>
    <w:rsid w:val="00CB27F6"/>
    <w:rsid w:val="00CB53FA"/>
    <w:rsid w:val="00CC170B"/>
    <w:rsid w:val="00CC3A19"/>
    <w:rsid w:val="00CC6A51"/>
    <w:rsid w:val="00CD1CB3"/>
    <w:rsid w:val="00CD520E"/>
    <w:rsid w:val="00CE09F3"/>
    <w:rsid w:val="00CE20E6"/>
    <w:rsid w:val="00CE2397"/>
    <w:rsid w:val="00CE2F84"/>
    <w:rsid w:val="00D0155F"/>
    <w:rsid w:val="00D0351A"/>
    <w:rsid w:val="00D03D25"/>
    <w:rsid w:val="00D148AD"/>
    <w:rsid w:val="00D202A9"/>
    <w:rsid w:val="00D2435E"/>
    <w:rsid w:val="00D2691A"/>
    <w:rsid w:val="00D27F23"/>
    <w:rsid w:val="00D3416E"/>
    <w:rsid w:val="00D3502F"/>
    <w:rsid w:val="00D43A1B"/>
    <w:rsid w:val="00D468F2"/>
    <w:rsid w:val="00D52C8C"/>
    <w:rsid w:val="00D5359F"/>
    <w:rsid w:val="00D53B3B"/>
    <w:rsid w:val="00D639F2"/>
    <w:rsid w:val="00D711E2"/>
    <w:rsid w:val="00D7337C"/>
    <w:rsid w:val="00D92A6D"/>
    <w:rsid w:val="00D93C1F"/>
    <w:rsid w:val="00D97AB3"/>
    <w:rsid w:val="00DA0572"/>
    <w:rsid w:val="00DA784C"/>
    <w:rsid w:val="00DB1926"/>
    <w:rsid w:val="00DB3655"/>
    <w:rsid w:val="00DB4961"/>
    <w:rsid w:val="00DB4C1E"/>
    <w:rsid w:val="00DB4C59"/>
    <w:rsid w:val="00DC1791"/>
    <w:rsid w:val="00DC18E2"/>
    <w:rsid w:val="00DC1D1A"/>
    <w:rsid w:val="00DC525A"/>
    <w:rsid w:val="00DD39A3"/>
    <w:rsid w:val="00DF7F7D"/>
    <w:rsid w:val="00E02B23"/>
    <w:rsid w:val="00E06AB4"/>
    <w:rsid w:val="00E152D5"/>
    <w:rsid w:val="00E15744"/>
    <w:rsid w:val="00E206D0"/>
    <w:rsid w:val="00E31764"/>
    <w:rsid w:val="00E42E86"/>
    <w:rsid w:val="00E447C5"/>
    <w:rsid w:val="00E52E18"/>
    <w:rsid w:val="00E567A0"/>
    <w:rsid w:val="00E56A50"/>
    <w:rsid w:val="00E56B58"/>
    <w:rsid w:val="00E64F51"/>
    <w:rsid w:val="00E67318"/>
    <w:rsid w:val="00E678D1"/>
    <w:rsid w:val="00E71A95"/>
    <w:rsid w:val="00E770B9"/>
    <w:rsid w:val="00E77341"/>
    <w:rsid w:val="00E8023C"/>
    <w:rsid w:val="00E81C9D"/>
    <w:rsid w:val="00E905E9"/>
    <w:rsid w:val="00E93112"/>
    <w:rsid w:val="00E947E9"/>
    <w:rsid w:val="00E97F6B"/>
    <w:rsid w:val="00EA074E"/>
    <w:rsid w:val="00EA3925"/>
    <w:rsid w:val="00EA73F7"/>
    <w:rsid w:val="00EB0D79"/>
    <w:rsid w:val="00EB529A"/>
    <w:rsid w:val="00EC4C78"/>
    <w:rsid w:val="00ED00BC"/>
    <w:rsid w:val="00ED6898"/>
    <w:rsid w:val="00ED721B"/>
    <w:rsid w:val="00ED7FA3"/>
    <w:rsid w:val="00EE0C31"/>
    <w:rsid w:val="00EE75F1"/>
    <w:rsid w:val="00EF26F1"/>
    <w:rsid w:val="00EF3AC9"/>
    <w:rsid w:val="00F01DAD"/>
    <w:rsid w:val="00F073E2"/>
    <w:rsid w:val="00F07D36"/>
    <w:rsid w:val="00F143FE"/>
    <w:rsid w:val="00F1466B"/>
    <w:rsid w:val="00F16165"/>
    <w:rsid w:val="00F2342A"/>
    <w:rsid w:val="00F26413"/>
    <w:rsid w:val="00F31EE2"/>
    <w:rsid w:val="00F335B1"/>
    <w:rsid w:val="00F40E9E"/>
    <w:rsid w:val="00F54C95"/>
    <w:rsid w:val="00F54DEF"/>
    <w:rsid w:val="00F63A71"/>
    <w:rsid w:val="00F64EDE"/>
    <w:rsid w:val="00F6631D"/>
    <w:rsid w:val="00F67C56"/>
    <w:rsid w:val="00F75BA7"/>
    <w:rsid w:val="00F8150F"/>
    <w:rsid w:val="00F85421"/>
    <w:rsid w:val="00F91467"/>
    <w:rsid w:val="00F945B1"/>
    <w:rsid w:val="00FA015B"/>
    <w:rsid w:val="00FB6DD9"/>
    <w:rsid w:val="00FC2A52"/>
    <w:rsid w:val="00FC4F26"/>
    <w:rsid w:val="00FD10C1"/>
    <w:rsid w:val="00FD198D"/>
    <w:rsid w:val="00FE7693"/>
    <w:rsid w:val="00FF0774"/>
    <w:rsid w:val="00FF0E7C"/>
    <w:rsid w:val="00FF483E"/>
    <w:rsid w:val="00FF4B6D"/>
    <w:rsid w:val="02C63838"/>
    <w:rsid w:val="050452B0"/>
    <w:rsid w:val="0F1E40FE"/>
    <w:rsid w:val="32A97370"/>
    <w:rsid w:val="37EF4F2B"/>
    <w:rsid w:val="3A5A27AF"/>
    <w:rsid w:val="4C88565D"/>
    <w:rsid w:val="53301BF3"/>
    <w:rsid w:val="64571D9C"/>
    <w:rsid w:val="658607B8"/>
    <w:rsid w:val="7DC60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9" w:semiHidden="0" w:name="heading 1"/>
    <w:lsdException w:qFormat="1" w:uiPriority="9" w:name="heading 2"/>
    <w:lsdException w:qFormat="1" w:uiPriority="9" w:name="heading 3"/>
    <w:lsdException w:qFormat="1" w:uiPriority="9" w:name="heading 4"/>
    <w:lsdException w:qFormat="1" w:uiPriority="9" w:name="heading 5"/>
    <w:lsdException w:qFormat="1" w:uiPriority="9" w:name="heading 6"/>
    <w:lsdException w:qFormat="1" w:uiPriority="9" w:name="heading 7"/>
    <w:lsdException w:qFormat="1" w:uiPriority="9" w:name="heading 8"/>
    <w:lsdException w:qFormat="1" w:uiPriority="9" w:name="heading 9"/>
    <w:lsdException w:uiPriority="99" w:name="index 1"/>
    <w:lsdException w:uiPriority="99" w:name="index 2"/>
    <w:lsdException w:uiPriority="99" w:name="index 3"/>
    <w:lsdException w:uiPriority="99" w:name="index 4"/>
    <w:lsdException w:uiPriority="99" w:name="index 5"/>
    <w:lsdException w:uiPriority="99" w:name="index 6"/>
    <w:lsdException w:uiPriority="99" w:name="index 7"/>
    <w:lsdException w:uiPriority="99" w:name="index 8"/>
    <w:lsdException w:uiPriority="99" w:name="index 9"/>
    <w:lsdException w:uiPriority="39" w:name="toc 1"/>
    <w:lsdException w:uiPriority="39" w:name="toc 2"/>
    <w:lsdException w:uiPriority="39" w:name="toc 3"/>
    <w:lsdException w:uiPriority="39" w:name="toc 4"/>
    <w:lsdException w:uiPriority="39" w:name="toc 5"/>
    <w:lsdException w:uiPriority="39" w:name="toc 6"/>
    <w:lsdException w:uiPriority="39" w:name="toc 7"/>
    <w:lsdException w:uiPriority="39" w:name="toc 8"/>
    <w:lsdException w:uiPriority="39" w:name="toc 9"/>
    <w:lsdException w:uiPriority="99" w:name="Normal Indent"/>
    <w:lsdException w:uiPriority="99" w:name="footnote text"/>
    <w:lsdException w:uiPriority="99" w:name="annotation text"/>
    <w:lsdException w:qFormat="1" w:unhideWhenUsed="0" w:uiPriority="0" w:semiHidden="0" w:name="header"/>
    <w:lsdException w:qFormat="1" w:unhideWhenUsed="0" w:uiPriority="0" w:semiHidden="0" w:name="footer"/>
    <w:lsdException w:uiPriority="99" w:name="index heading"/>
    <w:lsdException w:qFormat="1" w:uiPriority="35" w:name="caption"/>
    <w:lsdException w:uiPriority="99" w:name="table of figures"/>
    <w:lsdException w:uiPriority="99" w:name="envelope address"/>
    <w:lsdException w:uiPriority="99" w:name="envelope return"/>
    <w:lsdException w:uiPriority="99" w:name="footnote reference"/>
    <w:lsdException w:uiPriority="99" w:name="annotation reference"/>
    <w:lsdException w:uiPriority="99" w:name="line number"/>
    <w:lsdException w:uiPriority="99" w:name="page number"/>
    <w:lsdException w:uiPriority="99" w:name="endnote reference"/>
    <w:lsdException w:uiPriority="99" w:name="endnote text"/>
    <w:lsdException w:uiPriority="99" w:name="table of authorities"/>
    <w:lsdException w:uiPriority="99" w:name="macro"/>
    <w:lsdException w:uiPriority="99" w:name="toa heading"/>
    <w:lsdException w:uiPriority="99" w:name="List"/>
    <w:lsdException w:uiPriority="99" w:name="List Bullet"/>
    <w:lsdException w:uiPriority="99" w:name="List Number"/>
    <w:lsdException w:uiPriority="99" w:name="List 2"/>
    <w:lsdException w:uiPriority="99" w:name="List 3"/>
    <w:lsdException w:uiPriority="99" w:name="List 4"/>
    <w:lsdException w:uiPriority="99" w:name="List 5"/>
    <w:lsdException w:uiPriority="99" w:name="List Bullet 2"/>
    <w:lsdException w:uiPriority="99" w:name="List Bullet 3"/>
    <w:lsdException w:uiPriority="99" w:name="List Bullet 4"/>
    <w:lsdException w:uiPriority="99" w:name="List Bullet 5"/>
    <w:lsdException w:uiPriority="99" w:name="List Number 2"/>
    <w:lsdException w:uiPriority="99" w:name="List Number 3"/>
    <w:lsdException w:uiPriority="99" w:name="List Number 4"/>
    <w:lsdException w:uiPriority="99" w:name="List Number 5"/>
    <w:lsdException w:qFormat="1" w:unhideWhenUsed="0" w:uiPriority="10" w:semiHidden="0" w:name="Title"/>
    <w:lsdException w:uiPriority="99" w:name="Closing"/>
    <w:lsdException w:uiPriority="99" w:name="Signature"/>
    <w:lsdException w:uiPriority="1" w:name="Default Paragraph Font"/>
    <w:lsdException w:uiPriority="99" w:name="Body Text"/>
    <w:lsdException w:uiPriority="99" w:name="Body Text Indent"/>
    <w:lsdException w:uiPriority="99" w:name="List Continue"/>
    <w:lsdException w:uiPriority="99" w:name="List Continue 2"/>
    <w:lsdException w:uiPriority="99" w:name="List Continue 3"/>
    <w:lsdException w:uiPriority="99" w:name="List Continue 4"/>
    <w:lsdException w:uiPriority="99" w:name="List Continue 5"/>
    <w:lsdException w:uiPriority="99" w:name="Message Header"/>
    <w:lsdException w:qFormat="1" w:unhideWhenUsed="0" w:uiPriority="11" w:semiHidden="0" w:name="Subtitle"/>
    <w:lsdException w:uiPriority="99" w:name="Salutation"/>
    <w:lsdException w:uiPriority="99" w:name="Date"/>
    <w:lsdException w:uiPriority="99" w:name="Body Text First Indent"/>
    <w:lsdException w:uiPriority="99" w:name="Body Text First Indent 2"/>
    <w:lsdException w:uiPriority="99" w:name="Note Heading"/>
    <w:lsdException w:uiPriority="99" w:name="Body Text 2"/>
    <w:lsdException w:uiPriority="99" w:name="Body Text 3"/>
    <w:lsdException w:uiPriority="99" w:name="Body Text Indent 2"/>
    <w:lsdException w:uiPriority="99" w:name="Body Text Indent 3"/>
    <w:lsdException w:uiPriority="99" w:name="Block Text"/>
    <w:lsdException w:uiPriority="99" w:name="Hyperlink"/>
    <w:lsdException w:uiPriority="99" w:name="FollowedHyperlink"/>
    <w:lsdException w:qFormat="1" w:unhideWhenUsed="0" w:uiPriority="22" w:semiHidden="0" w:name="Strong"/>
    <w:lsdException w:qFormat="1" w:unhideWhenUsed="0" w:uiPriority="20" w:semiHidden="0" w:name="Emphasis"/>
    <w:lsdException w:uiPriority="99" w:name="Document Map"/>
    <w:lsdException w:uiPriority="99" w:name="Plain Text"/>
    <w:lsdException w:uiPriority="99" w:name="E-mail Signature"/>
    <w:lsdException w:uiPriority="99" w:name="Normal (Web)"/>
    <w:lsdException w:uiPriority="99" w:name="HTML Acronym"/>
    <w:lsdException w:uiPriority="99" w:name="HTML Address"/>
    <w:lsdException w:uiPriority="99" w:name="HTML Cite"/>
    <w:lsdException w:uiPriority="99" w:name="HTML Code"/>
    <w:lsdException w:uiPriority="99" w:name="HTML Definition"/>
    <w:lsdException w:uiPriority="99" w:name="HTML Keyboard"/>
    <w:lsdException w:uiPriority="99" w:name="HTML Preformatted"/>
    <w:lsdException w:uiPriority="99" w:name="HTML Sample"/>
    <w:lsdException w:uiPriority="99" w:name="HTML Typewriter"/>
    <w:lsdException w:uiPriority="99" w:name="HTML Variable"/>
    <w:lsdException w:qFormat="1" w:uiPriority="99" w:name="Normal Table"/>
    <w:lsdException w:uiPriority="99" w:name="annotation subject"/>
    <w:lsdException w:uiPriority="99" w:name="Table Simple 1"/>
    <w:lsdException w:uiPriority="99" w:name="Table Simple 2"/>
    <w:lsdException w:uiPriority="99" w:name="Table Simple 3"/>
    <w:lsdException w:uiPriority="99" w:name="Table Classic 1"/>
    <w:lsdException w:uiPriority="99" w:name="Table Classic 2"/>
    <w:lsdException w:uiPriority="99" w:name="Table Classic 3"/>
    <w:lsdException w:uiPriority="99" w:name="Table Classic 4"/>
    <w:lsdException w:uiPriority="99" w:name="Table Colorful 1"/>
    <w:lsdException w:uiPriority="99" w:name="Table Colorful 2"/>
    <w:lsdException w:uiPriority="99" w:name="Table Colorful 3"/>
    <w:lsdException w:uiPriority="99" w:name="Table Columns 1"/>
    <w:lsdException w:uiPriority="99" w:name="Table Columns 2"/>
    <w:lsdException w:uiPriority="99" w:name="Table Columns 3"/>
    <w:lsdException w:uiPriority="99" w:name="Table Columns 4"/>
    <w:lsdException w:uiPriority="99" w:name="Table Columns 5"/>
    <w:lsdException w:uiPriority="99" w:name="Table Grid 1"/>
    <w:lsdException w:uiPriority="99" w:name="Table Grid 2"/>
    <w:lsdException w:uiPriority="99" w:name="Table Grid 3"/>
    <w:lsdException w:uiPriority="99" w:name="Table Grid 4"/>
    <w:lsdException w:uiPriority="99" w:name="Table Grid 5"/>
    <w:lsdException w:uiPriority="99" w:name="Table Grid 6"/>
    <w:lsdException w:uiPriority="99" w:name="Table Grid 7"/>
    <w:lsdException w:uiPriority="99" w:name="Table Grid 8"/>
    <w:lsdException w:uiPriority="99" w:name="Table List 1"/>
    <w:lsdException w:uiPriority="99" w:name="Table List 2"/>
    <w:lsdException w:uiPriority="99" w:name="Table List 3"/>
    <w:lsdException w:uiPriority="99" w:name="Table List 4"/>
    <w:lsdException w:uiPriority="99" w:name="Table List 5"/>
    <w:lsdException w:uiPriority="99" w:name="Table List 6"/>
    <w:lsdException w:uiPriority="99" w:name="Table List 7"/>
    <w:lsdException w:uiPriority="99" w:name="Table List 8"/>
    <w:lsdException w:uiPriority="99" w:name="Table 3D effects 1"/>
    <w:lsdException w:uiPriority="99" w:name="Table 3D effects 2"/>
    <w:lsdException w:uiPriority="99" w:name="Table 3D effects 3"/>
    <w:lsdException w:uiPriority="99" w:name="Table Contemporary"/>
    <w:lsdException w:uiPriority="99" w:name="Table Elegant"/>
    <w:lsdException w:uiPriority="99" w:name="Table Professional"/>
    <w:lsdException w:uiPriority="99" w:name="Table Subtle 1"/>
    <w:lsdException w:uiPriority="99" w:name="Table Subtle 2"/>
    <w:lsdException w:uiPriority="99" w:name="Table Web 1"/>
    <w:lsdException w:uiPriority="99" w:name="Table Web 2"/>
    <w:lsdException w:uiPriority="99" w:name="Table Web 3"/>
    <w:lsdException w:qFormat="1" w:unhideWhenUsed="0" w:uiPriority="0" w:semiHidden="0" w:name="Balloon Text"/>
    <w:lsdException w:unhideWhenUsed="0" w:uiPriority="59" w:semiHidden="0" w:name="Table Grid"/>
    <w:lsdException w:uiPriority="99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qFormat="1" w:unhideWhenUsed="0" w:uiPriority="34" w:semiHidden="0" w:name="List Paragraph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unhideWhenUsed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alloon Text"/>
    <w:basedOn w:val="1"/>
    <w:qFormat/>
    <w:uiPriority w:val="0"/>
    <w:rPr>
      <w:sz w:val="18"/>
      <w:szCs w:val="18"/>
    </w:rPr>
  </w:style>
  <w:style w:type="paragraph" w:styleId="3">
    <w:name w:val="footer"/>
    <w:basedOn w:val="1"/>
    <w:link w:val="8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4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7">
    <w:name w:val="页眉 Char"/>
    <w:basedOn w:val="6"/>
    <w:link w:val="4"/>
    <w:qFormat/>
    <w:uiPriority w:val="0"/>
    <w:rPr>
      <w:kern w:val="2"/>
      <w:sz w:val="18"/>
      <w:szCs w:val="18"/>
    </w:rPr>
  </w:style>
  <w:style w:type="character" w:customStyle="1" w:styleId="8">
    <w:name w:val="页脚 Char"/>
    <w:basedOn w:val="6"/>
    <w:link w:val="3"/>
    <w:qFormat/>
    <w:uiPriority w:val="0"/>
    <w:rPr>
      <w:kern w:val="2"/>
      <w:sz w:val="18"/>
      <w:szCs w:val="18"/>
    </w:rPr>
  </w:style>
  <w:style w:type="character" w:customStyle="1" w:styleId="9">
    <w:name w:val="sub_title2"/>
    <w:basedOn w:val="6"/>
    <w:qFormat/>
    <w:uiPriority w:val="0"/>
    <w:rPr>
      <w:rFonts w:hint="default" w:ascii="Verdana" w:hAnsi="Verdana"/>
      <w:b/>
      <w:bCs/>
      <w:sz w:val="21"/>
      <w:szCs w:val="21"/>
    </w:rPr>
  </w:style>
  <w:style w:type="character" w:customStyle="1" w:styleId="10">
    <w:name w:val="font91"/>
    <w:basedOn w:val="6"/>
    <w:qFormat/>
    <w:uiPriority w:val="0"/>
    <w:rPr>
      <w:rFonts w:hint="eastAsia" w:ascii="宋体" w:hAnsi="宋体" w:eastAsia="宋体" w:cs="宋体"/>
      <w:color w:val="FF0000"/>
      <w:sz w:val="20"/>
      <w:szCs w:val="20"/>
      <w:u w:val="none"/>
    </w:rPr>
  </w:style>
  <w:style w:type="character" w:customStyle="1" w:styleId="11">
    <w:name w:val="font41"/>
    <w:basedOn w:val="6"/>
    <w:qFormat/>
    <w:uiPriority w:val="0"/>
    <w:rPr>
      <w:rFonts w:hint="eastAsia" w:ascii="宋体" w:hAnsi="宋体" w:eastAsia="宋体" w:cs="宋体"/>
      <w:b/>
      <w:color w:val="000000"/>
      <w:sz w:val="20"/>
      <w:szCs w:val="20"/>
      <w:u w:val="none"/>
    </w:rPr>
  </w:style>
  <w:style w:type="paragraph" w:styleId="12">
    <w:name w:val="List Paragraph"/>
    <w:basedOn w:val="1"/>
    <w:qFormat/>
    <w:uiPriority w:val="34"/>
    <w:pPr>
      <w:ind w:firstLine="420" w:firstLineChars="200"/>
    </w:pPr>
  </w:style>
</w:styles>
</file>

<file path=word/_rels/document.xml.rels><?xml version="1.0" encoding="UTF-8" standalone="yes"?>
<Relationships xmlns="http://schemas.openxmlformats.org/package/2006/relationships"><Relationship Id="rId6" Type="http://schemas.openxmlformats.org/officeDocument/2006/relationships/fontTable" Target="fontTable.xml"/><Relationship Id="rId5" Type="http://schemas.openxmlformats.org/officeDocument/2006/relationships/customXml" Target="../customXml/item2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2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8D51BC90-54B4-42C4-9E71-AE05D511BB93}">
  <ds:schemaRefs/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Company>www.xunchi.com</Company>
  <Pages>9</Pages>
  <Words>87</Words>
  <Characters>2458</Characters>
  <Lines>20</Lines>
  <Paragraphs>5</Paragraphs>
  <TotalTime>3</TotalTime>
  <ScaleCrop>false</ScaleCrop>
  <LinksUpToDate>false</LinksUpToDate>
  <CharactersWithSpaces>2540</CharactersWithSpaces>
  <Application>WPS Office_11.1.0.11365_F1E327BC-269C-435d-A152-05C5408002CA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2012-04-09T06:45:00Z</dcterms:created>
  <dc:creator>Lenovo User</dc:creator>
  <cp:lastModifiedBy>Administrator</cp:lastModifiedBy>
  <dcterms:modified xsi:type="dcterms:W3CDTF">2022-03-15T02:37:15Z</dcterms:modified>
  <dc:title>工 程 审 定 概 算 表</dc:title>
  <cp:revision>94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2052-11.1.0.11365</vt:lpwstr>
  </property>
  <property fmtid="{D5CDD505-2E9C-101B-9397-08002B2CF9AE}" pid="3" name="ICV">
    <vt:lpwstr>79220CA8CE924DC4BCB824DECF280046</vt:lpwstr>
  </property>
</Properties>
</file>