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textAlignment w:val="center"/>
        <w:rPr>
          <w:rFonts w:hint="eastAsia" w:ascii="Times New Roman" w:hAnsi="Times New Roman" w:eastAsia="方正小标宋_GBK" w:cs="方正小标宋简体"/>
          <w:color w:val="000000"/>
          <w:kern w:val="0"/>
          <w:sz w:val="44"/>
          <w:szCs w:val="44"/>
          <w:lang w:eastAsia="zh-CN" w:bidi="ar"/>
        </w:rPr>
      </w:pPr>
      <w:bookmarkStart w:id="0" w:name="_GoBack"/>
      <w:r>
        <w:rPr>
          <w:rFonts w:hint="eastAsia" w:ascii="方正小标宋简体" w:hAnsi="方正小标宋简体" w:eastAsia="方正小标宋简体" w:cs="方正小标宋简体"/>
          <w:color w:val="000000"/>
          <w:kern w:val="0"/>
          <w:sz w:val="44"/>
          <w:szCs w:val="44"/>
          <w:lang w:val="en-US" w:eastAsia="zh-CN" w:bidi="ar"/>
        </w:rPr>
        <w:t>平罗县住建局市场监管领域</w:t>
      </w:r>
      <w:r>
        <w:rPr>
          <w:rFonts w:hint="eastAsia" w:ascii="方正小标宋简体" w:hAnsi="方正小标宋简体" w:eastAsia="方正小标宋简体" w:cs="方正小标宋简体"/>
          <w:color w:val="000000"/>
          <w:kern w:val="0"/>
          <w:sz w:val="44"/>
          <w:szCs w:val="44"/>
          <w:lang w:bidi="ar"/>
        </w:rPr>
        <w:t>随机抽查事项清单</w:t>
      </w:r>
      <w:r>
        <w:rPr>
          <w:rFonts w:hint="eastAsia" w:ascii="方正小标宋简体" w:hAnsi="方正小标宋简体" w:eastAsia="方正小标宋简体" w:cs="方正小标宋简体"/>
          <w:color w:val="000000"/>
          <w:kern w:val="0"/>
          <w:sz w:val="44"/>
          <w:szCs w:val="44"/>
          <w:lang w:eastAsia="zh-CN" w:bidi="ar"/>
        </w:rPr>
        <w:t>（</w:t>
      </w:r>
      <w:r>
        <w:rPr>
          <w:rFonts w:hint="eastAsia" w:ascii="方正小标宋简体" w:hAnsi="方正小标宋简体" w:eastAsia="方正小标宋简体" w:cs="方正小标宋简体"/>
          <w:color w:val="000000"/>
          <w:kern w:val="0"/>
          <w:sz w:val="44"/>
          <w:szCs w:val="44"/>
          <w:lang w:val="en-US" w:eastAsia="zh-CN" w:bidi="ar"/>
        </w:rPr>
        <w:t>2024年修订版</w:t>
      </w:r>
      <w:r>
        <w:rPr>
          <w:rFonts w:hint="eastAsia" w:ascii="方正小标宋简体" w:hAnsi="方正小标宋简体" w:eastAsia="方正小标宋简体" w:cs="方正小标宋简体"/>
          <w:color w:val="000000"/>
          <w:kern w:val="0"/>
          <w:sz w:val="44"/>
          <w:szCs w:val="44"/>
          <w:lang w:eastAsia="zh-CN" w:bidi="ar"/>
        </w:rPr>
        <w:t>）</w:t>
      </w:r>
    </w:p>
    <w:p>
      <w:pPr>
        <w:keepNext w:val="0"/>
        <w:keepLines w:val="0"/>
        <w:pageBreakBefore w:val="0"/>
        <w:widowControl w:val="0"/>
        <w:kinsoku/>
        <w:wordWrap/>
        <w:overflowPunct/>
        <w:topLinePunct w:val="0"/>
        <w:autoSpaceDE/>
        <w:autoSpaceDN/>
        <w:bidi w:val="0"/>
        <w:adjustRightInd/>
        <w:snapToGrid w:val="0"/>
        <w:textAlignment w:val="auto"/>
        <w:rPr>
          <w:rFonts w:ascii="Times New Roman" w:hAnsi="Times New Roman"/>
          <w:color w:val="000000"/>
        </w:rPr>
      </w:pPr>
    </w:p>
    <w:tbl>
      <w:tblPr>
        <w:tblStyle w:val="7"/>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7"/>
        <w:gridCol w:w="1124"/>
        <w:gridCol w:w="1426"/>
        <w:gridCol w:w="1739"/>
        <w:gridCol w:w="1712"/>
        <w:gridCol w:w="1026"/>
        <w:gridCol w:w="1291"/>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77"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eastAsia" w:ascii="Times New Roman" w:hAnsi="Times New Roman" w:eastAsia="CESI黑体-GB13000" w:cs="CESI黑体-GB13000"/>
                <w:color w:val="000000"/>
                <w:sz w:val="20"/>
                <w:szCs w:val="20"/>
              </w:rPr>
            </w:pPr>
            <w:r>
              <w:rPr>
                <w:rFonts w:hint="eastAsia" w:ascii="Times New Roman" w:hAnsi="Times New Roman" w:eastAsia="CESI黑体-GB13000" w:cs="CESI黑体-GB13000"/>
                <w:color w:val="000000"/>
                <w:kern w:val="0"/>
                <w:sz w:val="20"/>
                <w:szCs w:val="20"/>
                <w:lang w:bidi="ar"/>
              </w:rPr>
              <w:t>序号</w:t>
            </w:r>
          </w:p>
        </w:tc>
        <w:tc>
          <w:tcPr>
            <w:tcW w:w="2550" w:type="dxa"/>
            <w:gridSpan w:val="2"/>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eastAsia" w:ascii="Times New Roman" w:hAnsi="Times New Roman" w:eastAsia="CESI黑体-GB13000" w:cs="CESI黑体-GB13000"/>
                <w:color w:val="000000"/>
                <w:sz w:val="20"/>
                <w:szCs w:val="20"/>
              </w:rPr>
            </w:pPr>
            <w:r>
              <w:rPr>
                <w:rFonts w:hint="eastAsia" w:ascii="Times New Roman" w:hAnsi="Times New Roman" w:eastAsia="CESI黑体-GB13000" w:cs="CESI黑体-GB13000"/>
                <w:color w:val="000000"/>
                <w:kern w:val="0"/>
                <w:sz w:val="20"/>
                <w:szCs w:val="20"/>
                <w:lang w:bidi="ar"/>
              </w:rPr>
              <w:t>抽查项目</w:t>
            </w:r>
          </w:p>
        </w:tc>
        <w:tc>
          <w:tcPr>
            <w:tcW w:w="1739"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检查对象</w:t>
            </w:r>
          </w:p>
        </w:tc>
        <w:tc>
          <w:tcPr>
            <w:tcW w:w="1712"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事项类别</w:t>
            </w:r>
          </w:p>
        </w:tc>
        <w:tc>
          <w:tcPr>
            <w:tcW w:w="1026"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检查方式</w:t>
            </w:r>
          </w:p>
        </w:tc>
        <w:tc>
          <w:tcPr>
            <w:tcW w:w="1291"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检查主体</w:t>
            </w:r>
          </w:p>
        </w:tc>
        <w:tc>
          <w:tcPr>
            <w:tcW w:w="6045" w:type="dxa"/>
            <w:vMerge w:val="restart"/>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eastAsia" w:ascii="Times New Roman" w:hAnsi="Times New Roman" w:eastAsia="黑体" w:cs="黑体"/>
                <w:color w:val="000000"/>
                <w:kern w:val="0"/>
                <w:sz w:val="20"/>
                <w:szCs w:val="20"/>
                <w:lang w:bidi="ar"/>
              </w:rPr>
            </w:pPr>
            <w:r>
              <w:rPr>
                <w:rFonts w:hint="eastAsia" w:ascii="Times New Roman" w:hAnsi="Times New Roman" w:eastAsia="黑体" w:cs="黑体"/>
                <w:color w:val="000000"/>
                <w:kern w:val="0"/>
                <w:sz w:val="20"/>
                <w:szCs w:val="20"/>
                <w:lang w:bidi="ar"/>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 w:hRule="atLeast"/>
          <w:jc w:val="center"/>
        </w:trPr>
        <w:tc>
          <w:tcPr>
            <w:tcW w:w="377"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CESI黑体-GB13000" w:cs="CESI黑体-GB13000"/>
                <w:color w:val="000000"/>
                <w:sz w:val="16"/>
                <w:szCs w:val="16"/>
              </w:rPr>
            </w:pPr>
          </w:p>
        </w:tc>
        <w:tc>
          <w:tcPr>
            <w:tcW w:w="1124"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hint="eastAsia" w:ascii="Times New Roman" w:hAnsi="Times New Roman" w:eastAsia="CESI黑体-GB13000" w:cs="CESI黑体-GB13000"/>
                <w:color w:val="000000"/>
                <w:sz w:val="20"/>
                <w:szCs w:val="20"/>
              </w:rPr>
            </w:pPr>
            <w:r>
              <w:rPr>
                <w:rFonts w:hint="eastAsia" w:ascii="Times New Roman" w:hAnsi="Times New Roman" w:eastAsia="CESI黑体-GB13000" w:cs="CESI黑体-GB13000"/>
                <w:color w:val="000000"/>
                <w:kern w:val="0"/>
                <w:sz w:val="20"/>
                <w:szCs w:val="20"/>
                <w:lang w:bidi="ar"/>
              </w:rPr>
              <w:t>抽查类别</w:t>
            </w:r>
          </w:p>
        </w:tc>
        <w:tc>
          <w:tcPr>
            <w:tcW w:w="1426"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center"/>
              <w:rPr>
                <w:rFonts w:ascii="Times New Roman" w:hAnsi="Times New Roman" w:eastAsia="黑体" w:cs="黑体"/>
                <w:color w:val="000000"/>
                <w:sz w:val="20"/>
                <w:szCs w:val="20"/>
              </w:rPr>
            </w:pPr>
            <w:r>
              <w:rPr>
                <w:rFonts w:hint="eastAsia" w:ascii="Times New Roman" w:hAnsi="Times New Roman" w:eastAsia="黑体" w:cs="黑体"/>
                <w:color w:val="000000"/>
                <w:kern w:val="0"/>
                <w:sz w:val="20"/>
                <w:szCs w:val="20"/>
                <w:lang w:bidi="ar"/>
              </w:rPr>
              <w:t>抽查事项</w:t>
            </w:r>
          </w:p>
        </w:tc>
        <w:tc>
          <w:tcPr>
            <w:tcW w:w="1739"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left"/>
              <w:rPr>
                <w:rFonts w:ascii="Times New Roman" w:hAnsi="Times New Roman" w:eastAsia="仿宋_GB2312" w:cs="仿宋_GB2312"/>
                <w:color w:val="000000"/>
                <w:sz w:val="16"/>
                <w:szCs w:val="16"/>
              </w:rPr>
            </w:pPr>
          </w:p>
        </w:tc>
        <w:tc>
          <w:tcPr>
            <w:tcW w:w="1712"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ascii="Times New Roman" w:hAnsi="Times New Roman" w:eastAsia="仿宋_GB2312" w:cs="仿宋_GB2312"/>
                <w:color w:val="000000"/>
                <w:sz w:val="16"/>
                <w:szCs w:val="16"/>
              </w:rPr>
            </w:pPr>
          </w:p>
        </w:tc>
        <w:tc>
          <w:tcPr>
            <w:tcW w:w="1026"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ascii="Times New Roman" w:hAnsi="Times New Roman" w:eastAsia="仿宋_GB2312" w:cs="仿宋_GB2312"/>
                <w:color w:val="000000"/>
                <w:sz w:val="16"/>
                <w:szCs w:val="16"/>
              </w:rPr>
            </w:pPr>
          </w:p>
        </w:tc>
        <w:tc>
          <w:tcPr>
            <w:tcW w:w="1291"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ascii="Times New Roman" w:hAnsi="Times New Roman" w:eastAsia="仿宋_GB2312" w:cs="仿宋_GB2312"/>
                <w:color w:val="000000"/>
                <w:sz w:val="16"/>
                <w:szCs w:val="16"/>
              </w:rPr>
            </w:pPr>
          </w:p>
        </w:tc>
        <w:tc>
          <w:tcPr>
            <w:tcW w:w="6045"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ascii="Times New Roman" w:hAnsi="Times New Roman" w:eastAsia="仿宋_GB2312" w:cs="仿宋_GB2312"/>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77" w:type="dxa"/>
            <w:vMerge w:val="restart"/>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color w:val="000000"/>
                <w:kern w:val="0"/>
                <w:sz w:val="16"/>
                <w:szCs w:val="16"/>
                <w:lang w:val="en-US" w:eastAsia="zh-CN" w:bidi="ar"/>
              </w:rPr>
            </w:pPr>
            <w:r>
              <w:rPr>
                <w:rFonts w:hint="eastAsia" w:ascii="Times New Roman" w:hAnsi="Times New Roman" w:cs="仿宋_GB2312"/>
                <w:color w:val="000000"/>
                <w:kern w:val="0"/>
                <w:sz w:val="16"/>
                <w:szCs w:val="16"/>
                <w:lang w:val="en-US" w:eastAsia="zh-CN" w:bidi="ar"/>
              </w:rPr>
              <w:t>1</w:t>
            </w:r>
          </w:p>
        </w:tc>
        <w:tc>
          <w:tcPr>
            <w:tcW w:w="1124" w:type="dxa"/>
            <w:vMerge w:val="restart"/>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both"/>
              <w:rPr>
                <w:rFonts w:hint="eastAsia" w:ascii="Times New Roman" w:hAnsi="Times New Roman" w:eastAsia="仿宋_GB2312" w:cs="仿宋_GB2312"/>
                <w:color w:val="auto"/>
                <w:kern w:val="0"/>
                <w:sz w:val="18"/>
                <w:szCs w:val="18"/>
                <w:lang w:bidi="ar"/>
              </w:rPr>
            </w:pPr>
          </w:p>
          <w:p>
            <w:pPr>
              <w:keepNext w:val="0"/>
              <w:keepLines w:val="0"/>
              <w:pageBreakBefore w:val="0"/>
              <w:kinsoku/>
              <w:wordWrap/>
              <w:overflowPunct/>
              <w:topLinePunct w:val="0"/>
              <w:autoSpaceDE/>
              <w:autoSpaceDN/>
              <w:bidi w:val="0"/>
              <w:adjustRightInd/>
              <w:spacing w:line="180" w:lineRule="exact"/>
              <w:jc w:val="both"/>
              <w:rPr>
                <w:rFonts w:hint="eastAsia" w:ascii="Times New Roman" w:hAnsi="Times New Roman" w:eastAsia="仿宋_GB2312" w:cs="仿宋_GB2312"/>
                <w:color w:val="auto"/>
                <w:kern w:val="0"/>
                <w:sz w:val="18"/>
                <w:szCs w:val="18"/>
                <w:lang w:bidi="ar"/>
              </w:rPr>
            </w:pPr>
          </w:p>
          <w:p>
            <w:pPr>
              <w:keepNext w:val="0"/>
              <w:keepLines w:val="0"/>
              <w:pageBreakBefore w:val="0"/>
              <w:kinsoku/>
              <w:wordWrap/>
              <w:overflowPunct/>
              <w:topLinePunct w:val="0"/>
              <w:autoSpaceDE/>
              <w:autoSpaceDN/>
              <w:bidi w:val="0"/>
              <w:adjustRightInd/>
              <w:spacing w:line="180" w:lineRule="exact"/>
              <w:jc w:val="both"/>
              <w:rPr>
                <w:rFonts w:ascii="Times New Roman" w:hAnsi="Times New Roman" w:eastAsia="仿宋_GB2312" w:cs="仿宋_GB2312"/>
                <w:color w:val="auto"/>
                <w:kern w:val="0"/>
                <w:sz w:val="18"/>
                <w:szCs w:val="18"/>
                <w:lang w:bidi="ar"/>
              </w:rPr>
            </w:pPr>
            <w:r>
              <w:rPr>
                <w:rFonts w:hint="eastAsia" w:ascii="Times New Roman" w:hAnsi="Times New Roman" w:eastAsia="仿宋_GB2312" w:cs="仿宋_GB2312"/>
                <w:color w:val="auto"/>
                <w:kern w:val="0"/>
                <w:sz w:val="18"/>
                <w:szCs w:val="18"/>
                <w:lang w:bidi="ar"/>
              </w:rPr>
              <w:t>房屋建筑与市政工程</w:t>
            </w:r>
          </w:p>
          <w:p>
            <w:pPr>
              <w:keepNext w:val="0"/>
              <w:keepLines w:val="0"/>
              <w:pageBreakBefore w:val="0"/>
              <w:kinsoku/>
              <w:wordWrap/>
              <w:overflowPunct/>
              <w:topLinePunct w:val="0"/>
              <w:autoSpaceDE/>
              <w:autoSpaceDN/>
              <w:bidi w:val="0"/>
              <w:adjustRightInd/>
              <w:spacing w:line="180" w:lineRule="exact"/>
              <w:jc w:val="both"/>
              <w:rPr>
                <w:rFonts w:ascii="Times New Roman" w:hAnsi="Times New Roman" w:eastAsia="仿宋_GB2312" w:cs="仿宋_GB2312"/>
                <w:color w:val="auto"/>
                <w:kern w:val="0"/>
                <w:sz w:val="18"/>
                <w:szCs w:val="18"/>
                <w:lang w:bidi="ar"/>
              </w:rPr>
            </w:pPr>
          </w:p>
          <w:p>
            <w:pPr>
              <w:pStyle w:val="6"/>
              <w:keepNext w:val="0"/>
              <w:keepLines w:val="0"/>
              <w:pageBreakBefore w:val="0"/>
              <w:kinsoku/>
              <w:wordWrap/>
              <w:overflowPunct/>
              <w:topLinePunct w:val="0"/>
              <w:autoSpaceDE/>
              <w:autoSpaceDN/>
              <w:bidi w:val="0"/>
              <w:adjustRightInd/>
              <w:spacing w:after="0" w:line="180" w:lineRule="exact"/>
              <w:ind w:firstLine="0" w:firstLineChars="0"/>
              <w:jc w:val="both"/>
              <w:rPr>
                <w:rFonts w:hint="eastAsia" w:ascii="Times New Roman" w:hAnsi="Times New Roman" w:eastAsia="仿宋_GB2312" w:cs="仿宋_GB2312"/>
                <w:color w:val="auto"/>
                <w:sz w:val="18"/>
                <w:szCs w:val="18"/>
              </w:rPr>
            </w:pPr>
          </w:p>
        </w:tc>
        <w:tc>
          <w:tcPr>
            <w:tcW w:w="1426"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春季复工建筑施工大检查</w:t>
            </w:r>
          </w:p>
        </w:tc>
        <w:tc>
          <w:tcPr>
            <w:tcW w:w="1739"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建设、施工、监理企业及项目</w:t>
            </w:r>
          </w:p>
        </w:tc>
        <w:tc>
          <w:tcPr>
            <w:tcW w:w="1712"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重点检查事项</w:t>
            </w:r>
          </w:p>
        </w:tc>
        <w:tc>
          <w:tcPr>
            <w:tcW w:w="1026"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现场检查</w:t>
            </w:r>
          </w:p>
        </w:tc>
        <w:tc>
          <w:tcPr>
            <w:tcW w:w="1291"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eastAsia="zh-CN" w:bidi="ar"/>
              </w:rPr>
              <w:t>各级</w:t>
            </w:r>
            <w:r>
              <w:rPr>
                <w:rFonts w:hint="eastAsia" w:ascii="Times New Roman" w:hAnsi="Times New Roman" w:eastAsia="仿宋_GB2312" w:cs="仿宋_GB2312"/>
                <w:color w:val="auto"/>
                <w:kern w:val="0"/>
                <w:sz w:val="18"/>
                <w:szCs w:val="18"/>
                <w:lang w:bidi="ar"/>
              </w:rPr>
              <w:t>住房城乡建设</w:t>
            </w:r>
            <w:r>
              <w:rPr>
                <w:rFonts w:hint="eastAsia" w:ascii="Times New Roman" w:hAnsi="Times New Roman" w:eastAsia="仿宋_GB2312" w:cs="仿宋_GB2312"/>
                <w:color w:val="auto"/>
                <w:kern w:val="0"/>
                <w:sz w:val="18"/>
                <w:szCs w:val="18"/>
                <w:lang w:eastAsia="zh-CN" w:bidi="ar"/>
              </w:rPr>
              <w:t>主管部门</w:t>
            </w:r>
          </w:p>
        </w:tc>
        <w:tc>
          <w:tcPr>
            <w:tcW w:w="6045"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both"/>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《建设工程安全生产管理条例》（2003年国务院令第393号）《建设工程质量管理条例》（2000年国务院令第279号）《安全生产法》《建筑起重机械安全监督管理规定》（建设部令第166号)《消防法》《建筑法》</w:t>
            </w:r>
            <w:r>
              <w:rPr>
                <w:rFonts w:hint="eastAsia" w:ascii="Times New Roman" w:hAnsi="Times New Roman" w:cs="仿宋_GB2312"/>
                <w:color w:val="auto"/>
                <w:kern w:val="0"/>
                <w:sz w:val="18"/>
                <w:szCs w:val="18"/>
                <w:lang w:eastAsia="zh-CN" w:bidi="ar"/>
              </w:rPr>
              <w:t>《中华人民共和国招标投标法》</w:t>
            </w:r>
            <w:r>
              <w:rPr>
                <w:rFonts w:hint="eastAsia" w:ascii="Times New Roman" w:hAnsi="Times New Roman" w:eastAsia="仿宋_GB2312" w:cs="仿宋_GB2312"/>
                <w:color w:val="auto"/>
                <w:kern w:val="0"/>
                <w:sz w:val="18"/>
                <w:szCs w:val="18"/>
                <w:lang w:bidi="ar"/>
              </w:rPr>
              <w:t>《宁夏回族自治区大气污染防治条例》《宁夏回族自治区建筑管理条例》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77"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color w:val="000000"/>
                <w:kern w:val="0"/>
                <w:sz w:val="16"/>
                <w:szCs w:val="16"/>
                <w:lang w:bidi="ar"/>
              </w:rPr>
            </w:pPr>
          </w:p>
        </w:tc>
        <w:tc>
          <w:tcPr>
            <w:tcW w:w="112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both"/>
              <w:rPr>
                <w:rFonts w:hint="eastAsia" w:ascii="Times New Roman" w:hAnsi="Times New Roman" w:eastAsia="仿宋_GB2312" w:cs="仿宋_GB2312"/>
                <w:color w:val="auto"/>
                <w:sz w:val="18"/>
                <w:szCs w:val="18"/>
              </w:rPr>
            </w:pPr>
          </w:p>
        </w:tc>
        <w:tc>
          <w:tcPr>
            <w:tcW w:w="1426"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暑期汛期建筑施工大检查</w:t>
            </w:r>
          </w:p>
        </w:tc>
        <w:tc>
          <w:tcPr>
            <w:tcW w:w="1739"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建设、施工、监理企业及项目</w:t>
            </w:r>
          </w:p>
        </w:tc>
        <w:tc>
          <w:tcPr>
            <w:tcW w:w="1712"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重点检查事项</w:t>
            </w:r>
          </w:p>
        </w:tc>
        <w:tc>
          <w:tcPr>
            <w:tcW w:w="1026"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现场检查</w:t>
            </w:r>
          </w:p>
        </w:tc>
        <w:tc>
          <w:tcPr>
            <w:tcW w:w="1291"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eastAsia="zh-CN" w:bidi="ar"/>
              </w:rPr>
              <w:t>各级</w:t>
            </w:r>
            <w:r>
              <w:rPr>
                <w:rFonts w:hint="eastAsia" w:ascii="Times New Roman" w:hAnsi="Times New Roman" w:eastAsia="仿宋_GB2312" w:cs="仿宋_GB2312"/>
                <w:color w:val="auto"/>
                <w:kern w:val="0"/>
                <w:sz w:val="18"/>
                <w:szCs w:val="18"/>
                <w:lang w:bidi="ar"/>
              </w:rPr>
              <w:t>住房城乡建设</w:t>
            </w:r>
            <w:r>
              <w:rPr>
                <w:rFonts w:hint="eastAsia" w:ascii="Times New Roman" w:hAnsi="Times New Roman" w:eastAsia="仿宋_GB2312" w:cs="仿宋_GB2312"/>
                <w:color w:val="auto"/>
                <w:kern w:val="0"/>
                <w:sz w:val="18"/>
                <w:szCs w:val="18"/>
                <w:lang w:eastAsia="zh-CN" w:bidi="ar"/>
              </w:rPr>
              <w:t>主管部门</w:t>
            </w:r>
          </w:p>
        </w:tc>
        <w:tc>
          <w:tcPr>
            <w:tcW w:w="6045"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both"/>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《建设工程安全生产管理条例》（2003年国务院令第393号）《建设工程质量管理条例》（2000年国务院令第279号）《安全生产法》《建筑起重机械安全监督管理规定》（建设部令第166号)《消防法》《建筑法》</w:t>
            </w:r>
            <w:r>
              <w:rPr>
                <w:rFonts w:hint="eastAsia" w:ascii="Times New Roman" w:hAnsi="Times New Roman" w:cs="仿宋_GB2312"/>
                <w:color w:val="auto"/>
                <w:kern w:val="0"/>
                <w:sz w:val="18"/>
                <w:szCs w:val="18"/>
                <w:lang w:eastAsia="zh-CN" w:bidi="ar"/>
              </w:rPr>
              <w:t>《中华人民共和国招标投标法》</w:t>
            </w:r>
            <w:r>
              <w:rPr>
                <w:rFonts w:hint="eastAsia" w:ascii="Times New Roman" w:hAnsi="Times New Roman" w:eastAsia="仿宋_GB2312" w:cs="仿宋_GB2312"/>
                <w:color w:val="auto"/>
                <w:kern w:val="0"/>
                <w:sz w:val="18"/>
                <w:szCs w:val="18"/>
                <w:lang w:bidi="ar"/>
              </w:rPr>
              <w:t>《宁夏回族自治区大气污染防治条例》《宁夏回族自治区建筑管理条例》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2" w:hRule="atLeast"/>
          <w:jc w:val="center"/>
        </w:trPr>
        <w:tc>
          <w:tcPr>
            <w:tcW w:w="377"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color w:val="000000"/>
                <w:kern w:val="0"/>
                <w:sz w:val="16"/>
                <w:szCs w:val="16"/>
                <w:lang w:bidi="ar"/>
              </w:rPr>
            </w:pPr>
          </w:p>
        </w:tc>
        <w:tc>
          <w:tcPr>
            <w:tcW w:w="112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both"/>
              <w:rPr>
                <w:rFonts w:hint="eastAsia" w:ascii="Times New Roman" w:hAnsi="Times New Roman" w:eastAsia="仿宋_GB2312" w:cs="仿宋_GB2312"/>
                <w:color w:val="auto"/>
                <w:sz w:val="18"/>
                <w:szCs w:val="18"/>
              </w:rPr>
            </w:pPr>
          </w:p>
        </w:tc>
        <w:tc>
          <w:tcPr>
            <w:tcW w:w="1426"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冬季建筑施工大检查</w:t>
            </w:r>
          </w:p>
        </w:tc>
        <w:tc>
          <w:tcPr>
            <w:tcW w:w="1739"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建设、施工、监理企业及项目</w:t>
            </w:r>
          </w:p>
        </w:tc>
        <w:tc>
          <w:tcPr>
            <w:tcW w:w="1712"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重点检查事项</w:t>
            </w:r>
          </w:p>
        </w:tc>
        <w:tc>
          <w:tcPr>
            <w:tcW w:w="1026"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现场检查</w:t>
            </w:r>
          </w:p>
        </w:tc>
        <w:tc>
          <w:tcPr>
            <w:tcW w:w="1291"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eastAsia="zh-CN" w:bidi="ar"/>
              </w:rPr>
              <w:t>各级</w:t>
            </w:r>
            <w:r>
              <w:rPr>
                <w:rFonts w:hint="eastAsia" w:ascii="Times New Roman" w:hAnsi="Times New Roman" w:eastAsia="仿宋_GB2312" w:cs="仿宋_GB2312"/>
                <w:color w:val="auto"/>
                <w:kern w:val="0"/>
                <w:sz w:val="18"/>
                <w:szCs w:val="18"/>
                <w:lang w:bidi="ar"/>
              </w:rPr>
              <w:t>住房城乡建设</w:t>
            </w:r>
            <w:r>
              <w:rPr>
                <w:rFonts w:hint="eastAsia" w:ascii="Times New Roman" w:hAnsi="Times New Roman" w:eastAsia="仿宋_GB2312" w:cs="仿宋_GB2312"/>
                <w:color w:val="auto"/>
                <w:kern w:val="0"/>
                <w:sz w:val="18"/>
                <w:szCs w:val="18"/>
                <w:lang w:eastAsia="zh-CN" w:bidi="ar"/>
              </w:rPr>
              <w:t>主管部门</w:t>
            </w:r>
          </w:p>
        </w:tc>
        <w:tc>
          <w:tcPr>
            <w:tcW w:w="6045"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both"/>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《建设工程安全生产管理条例》（2003年国务院令第393号）《建设工程质量管理条例》（2000年国务院令第279号）《安全生产法》《建筑起重机械安全监督管理规定》（建设部令第166号)《消防法》《建筑法》</w:t>
            </w:r>
            <w:r>
              <w:rPr>
                <w:rFonts w:hint="eastAsia" w:ascii="Times New Roman" w:hAnsi="Times New Roman" w:cs="仿宋_GB2312"/>
                <w:color w:val="auto"/>
                <w:kern w:val="0"/>
                <w:sz w:val="18"/>
                <w:szCs w:val="18"/>
                <w:lang w:eastAsia="zh-CN" w:bidi="ar"/>
              </w:rPr>
              <w:t>《中华人民共和国招标投标法》</w:t>
            </w:r>
            <w:r>
              <w:rPr>
                <w:rFonts w:hint="eastAsia" w:ascii="Times New Roman" w:hAnsi="Times New Roman" w:eastAsia="仿宋_GB2312" w:cs="仿宋_GB2312"/>
                <w:color w:val="auto"/>
                <w:kern w:val="0"/>
                <w:sz w:val="18"/>
                <w:szCs w:val="18"/>
                <w:lang w:bidi="ar"/>
              </w:rPr>
              <w:t>《宁夏回族自治区大气污染防治条例》《宁夏回族自治区建筑管理条例》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77"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color w:val="000000"/>
                <w:kern w:val="0"/>
                <w:sz w:val="16"/>
                <w:szCs w:val="16"/>
                <w:lang w:bidi="ar"/>
              </w:rPr>
            </w:pPr>
          </w:p>
        </w:tc>
        <w:tc>
          <w:tcPr>
            <w:tcW w:w="112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both"/>
              <w:rPr>
                <w:rFonts w:hint="eastAsia" w:ascii="Times New Roman" w:hAnsi="Times New Roman" w:eastAsia="仿宋_GB2312" w:cs="仿宋_GB2312"/>
                <w:color w:val="auto"/>
                <w:sz w:val="18"/>
                <w:szCs w:val="18"/>
              </w:rPr>
            </w:pPr>
          </w:p>
        </w:tc>
        <w:tc>
          <w:tcPr>
            <w:tcW w:w="1426"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检测机构专项检查</w:t>
            </w:r>
          </w:p>
        </w:tc>
        <w:tc>
          <w:tcPr>
            <w:tcW w:w="1739"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检测机构、建设、施工、监理企业及项目</w:t>
            </w:r>
          </w:p>
        </w:tc>
        <w:tc>
          <w:tcPr>
            <w:tcW w:w="1712"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重点检查事项</w:t>
            </w:r>
          </w:p>
        </w:tc>
        <w:tc>
          <w:tcPr>
            <w:tcW w:w="1026"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现场检查</w:t>
            </w:r>
          </w:p>
        </w:tc>
        <w:tc>
          <w:tcPr>
            <w:tcW w:w="1291"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eastAsia="zh-CN" w:bidi="ar"/>
              </w:rPr>
              <w:t>各级</w:t>
            </w:r>
            <w:r>
              <w:rPr>
                <w:rFonts w:hint="eastAsia" w:ascii="Times New Roman" w:hAnsi="Times New Roman" w:eastAsia="仿宋_GB2312" w:cs="仿宋_GB2312"/>
                <w:color w:val="auto"/>
                <w:kern w:val="0"/>
                <w:sz w:val="18"/>
                <w:szCs w:val="18"/>
                <w:lang w:bidi="ar"/>
              </w:rPr>
              <w:t>住房城乡建设</w:t>
            </w:r>
            <w:r>
              <w:rPr>
                <w:rFonts w:hint="eastAsia" w:ascii="Times New Roman" w:hAnsi="Times New Roman" w:eastAsia="仿宋_GB2312" w:cs="仿宋_GB2312"/>
                <w:color w:val="auto"/>
                <w:kern w:val="0"/>
                <w:sz w:val="18"/>
                <w:szCs w:val="18"/>
                <w:lang w:eastAsia="zh-CN" w:bidi="ar"/>
              </w:rPr>
              <w:t>主管部门</w:t>
            </w:r>
          </w:p>
        </w:tc>
        <w:tc>
          <w:tcPr>
            <w:tcW w:w="6045"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both"/>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建设工程质量检测管理办法》（住建部141号部令）《宁夏回族自治区建设工程质量检测管理实施细则（试行）》（宁建规发〔2021〕3号）《关于加强全区检测机构和预拌混凝土企业质量提升工作的通知》《关于开展建设工程质量检测综合报告制度试点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 w:hRule="atLeast"/>
          <w:jc w:val="center"/>
        </w:trPr>
        <w:tc>
          <w:tcPr>
            <w:tcW w:w="377"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color w:val="000000"/>
                <w:kern w:val="0"/>
                <w:sz w:val="16"/>
                <w:szCs w:val="16"/>
                <w:lang w:bidi="ar"/>
              </w:rPr>
            </w:pPr>
          </w:p>
        </w:tc>
        <w:tc>
          <w:tcPr>
            <w:tcW w:w="112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both"/>
              <w:rPr>
                <w:rFonts w:hint="eastAsia" w:ascii="Times New Roman" w:hAnsi="Times New Roman" w:eastAsia="仿宋_GB2312" w:cs="仿宋_GB2312"/>
                <w:color w:val="auto"/>
                <w:sz w:val="18"/>
                <w:szCs w:val="18"/>
              </w:rPr>
            </w:pPr>
          </w:p>
        </w:tc>
        <w:tc>
          <w:tcPr>
            <w:tcW w:w="1426"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预拌混凝土专项检查</w:t>
            </w:r>
          </w:p>
        </w:tc>
        <w:tc>
          <w:tcPr>
            <w:tcW w:w="1739"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left"/>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预拌混凝土企业</w:t>
            </w:r>
          </w:p>
        </w:tc>
        <w:tc>
          <w:tcPr>
            <w:tcW w:w="1712"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重点检查事项</w:t>
            </w:r>
          </w:p>
        </w:tc>
        <w:tc>
          <w:tcPr>
            <w:tcW w:w="1026"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现场检查</w:t>
            </w:r>
          </w:p>
        </w:tc>
        <w:tc>
          <w:tcPr>
            <w:tcW w:w="1291"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eastAsia="zh-CN" w:bidi="ar"/>
              </w:rPr>
              <w:t>各级</w:t>
            </w:r>
            <w:r>
              <w:rPr>
                <w:rFonts w:hint="eastAsia" w:ascii="Times New Roman" w:hAnsi="Times New Roman" w:eastAsia="仿宋_GB2312" w:cs="仿宋_GB2312"/>
                <w:color w:val="auto"/>
                <w:kern w:val="0"/>
                <w:sz w:val="18"/>
                <w:szCs w:val="18"/>
                <w:lang w:bidi="ar"/>
              </w:rPr>
              <w:t>住房城乡建设</w:t>
            </w:r>
            <w:r>
              <w:rPr>
                <w:rFonts w:hint="eastAsia" w:ascii="Times New Roman" w:hAnsi="Times New Roman" w:eastAsia="仿宋_GB2312" w:cs="仿宋_GB2312"/>
                <w:color w:val="auto"/>
                <w:kern w:val="0"/>
                <w:sz w:val="18"/>
                <w:szCs w:val="18"/>
                <w:lang w:eastAsia="zh-CN" w:bidi="ar"/>
              </w:rPr>
              <w:t>主管部门</w:t>
            </w:r>
          </w:p>
        </w:tc>
        <w:tc>
          <w:tcPr>
            <w:tcW w:w="6045"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both"/>
              <w:textAlignment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0"/>
                <w:sz w:val="18"/>
                <w:szCs w:val="18"/>
                <w:lang w:bidi="ar"/>
              </w:rPr>
              <w:t>《宁夏回族自治区预拌商品混凝土管理办法》（宁建发〔2011〕142号）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 w:hRule="atLeast"/>
          <w:jc w:val="center"/>
        </w:trPr>
        <w:tc>
          <w:tcPr>
            <w:tcW w:w="377"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color w:val="000000"/>
                <w:kern w:val="0"/>
                <w:sz w:val="16"/>
                <w:szCs w:val="16"/>
                <w:lang w:bidi="ar"/>
              </w:rPr>
            </w:pPr>
          </w:p>
        </w:tc>
        <w:tc>
          <w:tcPr>
            <w:tcW w:w="1124" w:type="dxa"/>
            <w:vMerge w:val="continue"/>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both"/>
              <w:textAlignment w:val="center"/>
              <w:rPr>
                <w:rFonts w:hint="eastAsia" w:ascii="Times New Roman" w:hAnsi="Times New Roman" w:eastAsia="仿宋_GB2312" w:cs="仿宋_GB2312"/>
                <w:color w:val="auto"/>
                <w:sz w:val="18"/>
                <w:szCs w:val="18"/>
              </w:rPr>
            </w:pPr>
          </w:p>
        </w:tc>
        <w:tc>
          <w:tcPr>
            <w:tcW w:w="1426"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left"/>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全区勘察设计企业市场质量执法检查</w:t>
            </w:r>
          </w:p>
        </w:tc>
        <w:tc>
          <w:tcPr>
            <w:tcW w:w="1739"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left"/>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勘察设计企业</w:t>
            </w:r>
          </w:p>
        </w:tc>
        <w:tc>
          <w:tcPr>
            <w:tcW w:w="1712"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一般检查事项</w:t>
            </w:r>
          </w:p>
        </w:tc>
        <w:tc>
          <w:tcPr>
            <w:tcW w:w="1026"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现场检查</w:t>
            </w:r>
            <w:r>
              <w:rPr>
                <w:rFonts w:hint="eastAsia" w:ascii="Times New Roman" w:hAnsi="Times New Roman" w:eastAsia="仿宋_GB2312" w:cs="仿宋_GB2312"/>
                <w:color w:val="auto"/>
                <w:sz w:val="18"/>
                <w:szCs w:val="18"/>
                <w:lang w:eastAsia="zh-CN"/>
              </w:rPr>
              <w:t>、</w:t>
            </w:r>
            <w:r>
              <w:rPr>
                <w:rFonts w:hint="eastAsia" w:ascii="Times New Roman" w:hAnsi="Times New Roman" w:eastAsia="仿宋_GB2312" w:cs="仿宋_GB2312"/>
                <w:color w:val="auto"/>
                <w:sz w:val="18"/>
                <w:szCs w:val="18"/>
              </w:rPr>
              <w:t>书面检查</w:t>
            </w:r>
          </w:p>
        </w:tc>
        <w:tc>
          <w:tcPr>
            <w:tcW w:w="1291"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center"/>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各级住房城乡建设主管部门</w:t>
            </w:r>
          </w:p>
        </w:tc>
        <w:tc>
          <w:tcPr>
            <w:tcW w:w="6045"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both"/>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建设工程安全生产管理条例》《建设工程质量管理条例》《建设工程勘察设计管理条例》《建设工程勘察质量管理办法》《宁夏回族自治区建设工程勘察设计管理条例》《关于开展施工图设计文件免审试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77"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color w:val="000000"/>
                <w:kern w:val="0"/>
                <w:sz w:val="16"/>
                <w:szCs w:val="16"/>
                <w:lang w:bidi="ar"/>
              </w:rPr>
            </w:pPr>
          </w:p>
        </w:tc>
        <w:tc>
          <w:tcPr>
            <w:tcW w:w="1124" w:type="dxa"/>
            <w:vMerge w:val="continue"/>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both"/>
              <w:rPr>
                <w:rFonts w:hint="eastAsia" w:ascii="Times New Roman" w:hAnsi="Times New Roman" w:eastAsia="仿宋_GB2312" w:cs="仿宋_GB2312"/>
                <w:color w:val="auto"/>
                <w:sz w:val="18"/>
                <w:szCs w:val="18"/>
              </w:rPr>
            </w:pPr>
          </w:p>
        </w:tc>
        <w:tc>
          <w:tcPr>
            <w:tcW w:w="1426"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left"/>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lang w:val="en-US" w:eastAsia="zh-CN"/>
              </w:rPr>
              <w:t>“三包一挂”违法行为</w:t>
            </w:r>
          </w:p>
        </w:tc>
        <w:tc>
          <w:tcPr>
            <w:tcW w:w="1739"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left"/>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建设、施工、监理</w:t>
            </w:r>
            <w:r>
              <w:rPr>
                <w:rFonts w:hint="eastAsia" w:ascii="Times New Roman" w:hAnsi="Times New Roman" w:eastAsia="仿宋_GB2312" w:cs="仿宋_GB2312"/>
                <w:color w:val="auto"/>
                <w:sz w:val="18"/>
                <w:szCs w:val="18"/>
                <w:lang w:eastAsia="zh-CN"/>
              </w:rPr>
              <w:t>、招标代理企</w:t>
            </w:r>
            <w:r>
              <w:rPr>
                <w:rFonts w:hint="eastAsia" w:ascii="Times New Roman" w:hAnsi="Times New Roman" w:eastAsia="仿宋_GB2312" w:cs="仿宋_GB2312"/>
                <w:color w:val="auto"/>
                <w:sz w:val="18"/>
                <w:szCs w:val="18"/>
              </w:rPr>
              <w:t>业及</w:t>
            </w:r>
            <w:r>
              <w:rPr>
                <w:rFonts w:hint="eastAsia" w:ascii="Times New Roman" w:hAnsi="Times New Roman" w:eastAsia="仿宋_GB2312" w:cs="仿宋_GB2312"/>
                <w:color w:val="auto"/>
                <w:sz w:val="18"/>
                <w:szCs w:val="18"/>
                <w:lang w:eastAsia="zh-CN"/>
              </w:rPr>
              <w:t>在建</w:t>
            </w:r>
            <w:r>
              <w:rPr>
                <w:rFonts w:hint="eastAsia" w:ascii="Times New Roman" w:hAnsi="Times New Roman" w:eastAsia="仿宋_GB2312" w:cs="仿宋_GB2312"/>
                <w:color w:val="auto"/>
                <w:sz w:val="18"/>
                <w:szCs w:val="18"/>
              </w:rPr>
              <w:t>项目</w:t>
            </w:r>
          </w:p>
        </w:tc>
        <w:tc>
          <w:tcPr>
            <w:tcW w:w="1712"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center"/>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重点检查事项</w:t>
            </w:r>
          </w:p>
        </w:tc>
        <w:tc>
          <w:tcPr>
            <w:tcW w:w="1026"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center"/>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现场检查</w:t>
            </w:r>
          </w:p>
        </w:tc>
        <w:tc>
          <w:tcPr>
            <w:tcW w:w="1291"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center"/>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各级住房城乡建设主管部门</w:t>
            </w:r>
          </w:p>
        </w:tc>
        <w:tc>
          <w:tcPr>
            <w:tcW w:w="6045"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lang w:eastAsia="zh-CN"/>
              </w:rPr>
              <w:t>《建筑法》</w:t>
            </w:r>
            <w:r>
              <w:rPr>
                <w:rFonts w:hint="eastAsia" w:eastAsia="仿宋_GB2312" w:cs="仿宋_GB2312"/>
                <w:color w:val="auto"/>
                <w:sz w:val="18"/>
                <w:szCs w:val="18"/>
                <w:lang w:eastAsia="zh-CN"/>
              </w:rPr>
              <w:t>《中华人民共和国招标投标法》</w:t>
            </w:r>
            <w:r>
              <w:rPr>
                <w:rFonts w:hint="eastAsia" w:ascii="Times New Roman" w:hAnsi="Times New Roman" w:eastAsia="仿宋_GB2312" w:cs="仿宋_GB2312"/>
                <w:color w:val="auto"/>
                <w:sz w:val="18"/>
                <w:szCs w:val="18"/>
                <w:lang w:eastAsia="zh-CN"/>
              </w:rPr>
              <w:t>《建设工程质量管理条例</w:t>
            </w:r>
            <w:r>
              <w:rPr>
                <w:rFonts w:hint="eastAsia" w:ascii="Times New Roman" w:hAnsi="Times New Roman" w:eastAsia="仿宋_GB2312" w:cs="仿宋_GB2312"/>
                <w:color w:val="auto"/>
                <w:sz w:val="18"/>
                <w:szCs w:val="18"/>
              </w:rPr>
              <w:t>》</w:t>
            </w:r>
            <w:r>
              <w:rPr>
                <w:rFonts w:hint="eastAsia" w:ascii="Times New Roman" w:hAnsi="Times New Roman" w:eastAsia="仿宋_GB2312" w:cs="仿宋_GB2312"/>
                <w:color w:val="auto"/>
                <w:sz w:val="18"/>
                <w:szCs w:val="18"/>
                <w:lang w:val="en-US" w:eastAsia="zh-CN"/>
              </w:rPr>
              <w:t>《住房和城乡建设部关于印发建筑工程施工发包和承包违法行为认定查处管理办法的通知》（建市规〔2019〕1号）《宁夏回族自治区工程建设项目招标代理管理办法》（宁建规发[2020]6号）</w:t>
            </w:r>
            <w:r>
              <w:rPr>
                <w:rFonts w:hint="eastAsia" w:ascii="Times New Roman" w:hAnsi="Times New Roman" w:eastAsia="仿宋_GB2312" w:cs="仿宋_GB2312"/>
                <w:color w:val="auto"/>
                <w:sz w:val="18"/>
                <w:szCs w:val="18"/>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77"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color w:val="000000"/>
                <w:kern w:val="0"/>
                <w:sz w:val="16"/>
                <w:szCs w:val="16"/>
                <w:lang w:bidi="ar"/>
              </w:rPr>
            </w:pPr>
          </w:p>
        </w:tc>
        <w:tc>
          <w:tcPr>
            <w:tcW w:w="1124" w:type="dxa"/>
            <w:vMerge w:val="continue"/>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both"/>
              <w:rPr>
                <w:rFonts w:hint="eastAsia" w:ascii="Times New Roman" w:hAnsi="Times New Roman" w:eastAsia="仿宋_GB2312" w:cs="仿宋_GB2312"/>
                <w:color w:val="auto"/>
                <w:sz w:val="18"/>
                <w:szCs w:val="18"/>
              </w:rPr>
            </w:pPr>
          </w:p>
        </w:tc>
        <w:tc>
          <w:tcPr>
            <w:tcW w:w="1426"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left"/>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lang w:val="en-US" w:eastAsia="zh-CN"/>
              </w:rPr>
              <w:t>企业资质动态核查</w:t>
            </w:r>
          </w:p>
        </w:tc>
        <w:tc>
          <w:tcPr>
            <w:tcW w:w="1739"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left"/>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lang w:eastAsia="zh-CN"/>
              </w:rPr>
              <w:t>施工、监理企业</w:t>
            </w:r>
          </w:p>
        </w:tc>
        <w:tc>
          <w:tcPr>
            <w:tcW w:w="1712"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center"/>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重点检查事项</w:t>
            </w:r>
          </w:p>
        </w:tc>
        <w:tc>
          <w:tcPr>
            <w:tcW w:w="1026"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center"/>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现场检查</w:t>
            </w:r>
          </w:p>
        </w:tc>
        <w:tc>
          <w:tcPr>
            <w:tcW w:w="1291"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center"/>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各级住房城乡建设主管部门</w:t>
            </w:r>
          </w:p>
        </w:tc>
        <w:tc>
          <w:tcPr>
            <w:tcW w:w="6045"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lang w:eastAsia="zh-CN"/>
              </w:rPr>
              <w:t>《</w:t>
            </w:r>
            <w:r>
              <w:rPr>
                <w:rFonts w:hint="eastAsia" w:ascii="Times New Roman" w:hAnsi="Times New Roman" w:eastAsia="仿宋_GB2312" w:cs="仿宋_GB2312"/>
                <w:color w:val="auto"/>
                <w:sz w:val="18"/>
                <w:szCs w:val="18"/>
                <w:lang w:val="en-US" w:eastAsia="zh-CN"/>
              </w:rPr>
              <w:t>建筑业企业资质管理规定</w:t>
            </w:r>
            <w:r>
              <w:rPr>
                <w:rFonts w:hint="eastAsia" w:ascii="Times New Roman" w:hAnsi="Times New Roman" w:eastAsia="仿宋_GB2312" w:cs="仿宋_GB2312"/>
                <w:color w:val="auto"/>
                <w:sz w:val="18"/>
                <w:szCs w:val="18"/>
                <w:lang w:eastAsia="zh-CN"/>
              </w:rPr>
              <w:t>》（</w:t>
            </w:r>
            <w:r>
              <w:rPr>
                <w:rFonts w:hint="eastAsia" w:ascii="Times New Roman" w:hAnsi="Times New Roman" w:eastAsia="仿宋_GB2312" w:cs="仿宋_GB2312"/>
                <w:color w:val="auto"/>
                <w:sz w:val="18"/>
                <w:szCs w:val="18"/>
                <w:lang w:val="en-US" w:eastAsia="zh-CN"/>
              </w:rPr>
              <w:t>中华人民共和国住房和城乡建设部令第22号</w:t>
            </w:r>
            <w:r>
              <w:rPr>
                <w:rFonts w:hint="eastAsia" w:ascii="Times New Roman" w:hAnsi="Times New Roman" w:eastAsia="仿宋_GB2312" w:cs="仿宋_GB2312"/>
                <w:color w:val="auto"/>
                <w:sz w:val="18"/>
                <w:szCs w:val="18"/>
                <w:lang w:eastAsia="zh-CN"/>
              </w:rPr>
              <w:t>）《工程监理企业资质管理规定》（建设部令第158号）《关于印发〈关于加强建筑市场资质资格动态监管完善企业和人员准入清出制度的指导意见〉的通知》（</w:t>
            </w:r>
            <w:r>
              <w:rPr>
                <w:rFonts w:hint="eastAsia" w:ascii="Times New Roman" w:hAnsi="Times New Roman" w:eastAsia="仿宋_GB2312" w:cs="仿宋_GB2312"/>
                <w:color w:val="auto"/>
                <w:sz w:val="18"/>
                <w:szCs w:val="18"/>
                <w:lang w:val="en-US" w:eastAsia="zh-CN"/>
              </w:rPr>
              <w:t>建市[2010]128号</w:t>
            </w:r>
            <w:r>
              <w:rPr>
                <w:rFonts w:hint="eastAsia" w:ascii="Times New Roman" w:hAnsi="Times New Roman" w:eastAsia="仿宋_GB2312" w:cs="仿宋_GB2312"/>
                <w:color w:val="auto"/>
                <w:sz w:val="18"/>
                <w:szCs w:val="18"/>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77"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color w:val="000000"/>
                <w:kern w:val="0"/>
                <w:sz w:val="16"/>
                <w:szCs w:val="16"/>
                <w:lang w:bidi="ar"/>
              </w:rPr>
            </w:pPr>
          </w:p>
        </w:tc>
        <w:tc>
          <w:tcPr>
            <w:tcW w:w="1124" w:type="dxa"/>
            <w:vMerge w:val="continue"/>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both"/>
              <w:rPr>
                <w:rFonts w:hint="eastAsia" w:ascii="Times New Roman" w:hAnsi="Times New Roman" w:eastAsia="仿宋_GB2312" w:cs="仿宋_GB2312"/>
                <w:color w:val="auto"/>
                <w:sz w:val="18"/>
                <w:szCs w:val="18"/>
              </w:rPr>
            </w:pPr>
          </w:p>
        </w:tc>
        <w:tc>
          <w:tcPr>
            <w:tcW w:w="1426"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both"/>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lang w:val="en-US" w:eastAsia="zh-CN"/>
              </w:rPr>
              <w:t>智慧工地建设和应用落实情况</w:t>
            </w:r>
          </w:p>
        </w:tc>
        <w:tc>
          <w:tcPr>
            <w:tcW w:w="1739"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建设、施工、监理企业及</w:t>
            </w:r>
            <w:r>
              <w:rPr>
                <w:rFonts w:hint="eastAsia" w:ascii="Times New Roman" w:hAnsi="Times New Roman" w:eastAsia="仿宋_GB2312" w:cs="仿宋_GB2312"/>
                <w:color w:val="auto"/>
                <w:sz w:val="18"/>
                <w:szCs w:val="18"/>
                <w:lang w:eastAsia="zh-CN"/>
              </w:rPr>
              <w:t>在建</w:t>
            </w:r>
            <w:r>
              <w:rPr>
                <w:rFonts w:hint="eastAsia" w:ascii="Times New Roman" w:hAnsi="Times New Roman" w:eastAsia="仿宋_GB2312" w:cs="仿宋_GB2312"/>
                <w:color w:val="auto"/>
                <w:sz w:val="18"/>
                <w:szCs w:val="18"/>
              </w:rPr>
              <w:t>项目</w:t>
            </w:r>
          </w:p>
        </w:tc>
        <w:tc>
          <w:tcPr>
            <w:tcW w:w="1712"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重点检查事项</w:t>
            </w:r>
          </w:p>
        </w:tc>
        <w:tc>
          <w:tcPr>
            <w:tcW w:w="1026"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现场检查</w:t>
            </w:r>
          </w:p>
        </w:tc>
        <w:tc>
          <w:tcPr>
            <w:tcW w:w="1291"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center"/>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各级住房城乡建设主管部门</w:t>
            </w:r>
          </w:p>
        </w:tc>
        <w:tc>
          <w:tcPr>
            <w:tcW w:w="6045"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sz w:val="18"/>
                <w:szCs w:val="18"/>
              </w:rPr>
              <w:t>《建筑法》《安全生产法》《建设工程质量管理条例》《建筑工人实名制管理办法（试行）》《保障农民工工资支付条例》</w:t>
            </w:r>
            <w:r>
              <w:rPr>
                <w:rFonts w:hint="eastAsia" w:ascii="Times New Roman" w:hAnsi="Times New Roman" w:eastAsia="仿宋_GB2312" w:cs="仿宋_GB2312"/>
                <w:color w:val="auto"/>
                <w:sz w:val="18"/>
                <w:szCs w:val="18"/>
                <w:lang w:val="en-US" w:eastAsia="zh-CN"/>
              </w:rPr>
              <w:t>《智慧工地建设技术标准》（DB 64/T1684—2020）、《建设工程费用定额（2019版）》</w:t>
            </w:r>
            <w:r>
              <w:rPr>
                <w:rFonts w:hint="eastAsia" w:ascii="Times New Roman" w:hAnsi="Times New Roman" w:eastAsia="仿宋_GB2312" w:cs="仿宋_GB2312"/>
                <w:color w:val="auto"/>
                <w:sz w:val="18"/>
                <w:szCs w:val="18"/>
                <w:lang w:eastAsia="zh-CN"/>
              </w:rPr>
              <w:t>《自治区住房和城乡建设厅关于全面推进</w:t>
            </w:r>
            <w:r>
              <w:rPr>
                <w:rFonts w:hint="eastAsia" w:ascii="Times New Roman" w:hAnsi="Times New Roman" w:eastAsia="仿宋_GB2312" w:cs="仿宋_GB2312"/>
                <w:color w:val="auto"/>
                <w:sz w:val="18"/>
                <w:szCs w:val="18"/>
                <w:lang w:val="en-US" w:eastAsia="zh-CN"/>
              </w:rPr>
              <w:t>房屋市政工程建设项目智慧工地建设和</w:t>
            </w:r>
            <w:r>
              <w:rPr>
                <w:rFonts w:hint="eastAsia" w:ascii="Times New Roman" w:hAnsi="Times New Roman" w:eastAsia="仿宋_GB2312" w:cs="仿宋_GB2312"/>
                <w:color w:val="auto"/>
                <w:sz w:val="18"/>
                <w:szCs w:val="18"/>
                <w:lang w:eastAsia="zh-CN"/>
              </w:rPr>
              <w:t>应用的通知》（宁建（建）发〔2024〕9号）等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77" w:type="dxa"/>
            <w:vMerge w:val="continue"/>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color w:val="000000"/>
                <w:kern w:val="0"/>
                <w:sz w:val="16"/>
                <w:szCs w:val="16"/>
                <w:lang w:bidi="ar"/>
              </w:rPr>
            </w:pPr>
          </w:p>
        </w:tc>
        <w:tc>
          <w:tcPr>
            <w:tcW w:w="1124" w:type="dxa"/>
            <w:vMerge w:val="continue"/>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both"/>
              <w:rPr>
                <w:rFonts w:hint="eastAsia" w:ascii="Times New Roman" w:hAnsi="Times New Roman" w:eastAsia="仿宋_GB2312" w:cs="仿宋_GB2312"/>
                <w:color w:val="auto"/>
                <w:sz w:val="18"/>
                <w:szCs w:val="18"/>
              </w:rPr>
            </w:pPr>
          </w:p>
        </w:tc>
        <w:tc>
          <w:tcPr>
            <w:tcW w:w="1426" w:type="dxa"/>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both"/>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2"/>
                <w:sz w:val="18"/>
                <w:szCs w:val="18"/>
                <w:lang w:val="en-US" w:eastAsia="zh-CN" w:bidi="ar-SA"/>
              </w:rPr>
              <w:t>建筑节能与墙材革新的监督检查</w:t>
            </w:r>
          </w:p>
        </w:tc>
        <w:tc>
          <w:tcPr>
            <w:tcW w:w="1739" w:type="dxa"/>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2"/>
                <w:sz w:val="18"/>
                <w:szCs w:val="18"/>
                <w:lang w:val="en-US" w:eastAsia="zh-CN" w:bidi="ar-SA"/>
              </w:rPr>
              <w:t>工程建设企业及参与项目的实施单位</w:t>
            </w:r>
          </w:p>
        </w:tc>
        <w:tc>
          <w:tcPr>
            <w:tcW w:w="1712" w:type="dxa"/>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both"/>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2"/>
                <w:sz w:val="18"/>
                <w:szCs w:val="18"/>
                <w:lang w:val="en-US" w:eastAsia="zh-CN" w:bidi="ar-SA"/>
              </w:rPr>
              <w:t>一般检查事项</w:t>
            </w:r>
          </w:p>
        </w:tc>
        <w:tc>
          <w:tcPr>
            <w:tcW w:w="1026" w:type="dxa"/>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2"/>
                <w:sz w:val="18"/>
                <w:szCs w:val="18"/>
                <w:lang w:val="en-US" w:eastAsia="zh-CN" w:bidi="ar-SA"/>
              </w:rPr>
              <w:t>现场检查、书面检查、实地核查等</w:t>
            </w:r>
          </w:p>
        </w:tc>
        <w:tc>
          <w:tcPr>
            <w:tcW w:w="1291" w:type="dxa"/>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jc w:val="left"/>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2"/>
                <w:sz w:val="18"/>
                <w:szCs w:val="18"/>
                <w:lang w:val="en-US" w:eastAsia="zh-CN" w:bidi="ar-SA"/>
              </w:rPr>
              <w:t>县级以上住房城乡建设主管部门</w:t>
            </w:r>
          </w:p>
        </w:tc>
        <w:tc>
          <w:tcPr>
            <w:tcW w:w="6045" w:type="dxa"/>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imes New Roman" w:hAnsi="Times New Roman" w:eastAsia="仿宋_GB2312" w:cs="仿宋_GB2312"/>
                <w:color w:val="auto"/>
                <w:sz w:val="18"/>
                <w:szCs w:val="18"/>
                <w:lang w:val="en-US" w:eastAsia="zh-CN"/>
              </w:rPr>
            </w:pPr>
            <w:r>
              <w:rPr>
                <w:rFonts w:hint="eastAsia" w:ascii="Times New Roman" w:hAnsi="Times New Roman" w:eastAsia="仿宋_GB2312" w:cs="仿宋_GB2312"/>
                <w:color w:val="auto"/>
                <w:kern w:val="2"/>
                <w:sz w:val="18"/>
                <w:szCs w:val="18"/>
                <w:lang w:val="en-US" w:eastAsia="zh-CN" w:bidi="ar-SA"/>
              </w:rPr>
              <w:t>《民用建筑节能条例》《宁夏回族自治区民用建筑节能办法》（2010年6月28日宁夏回族自治区人民政府令第22号）《宁夏回族自治区新型墙体材料推广应用管理规定》（2013年3月30日宁夏回族自治区人民政府令第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77"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center"/>
              <w:rPr>
                <w:rFonts w:hint="eastAsia" w:ascii="Times New Roman" w:hAnsi="Times New Roman" w:eastAsia="仿宋_GB2312" w:cs="仿宋_GB2312"/>
                <w:color w:val="000000"/>
                <w:kern w:val="0"/>
                <w:sz w:val="18"/>
                <w:szCs w:val="18"/>
                <w:lang w:val="en-US" w:eastAsia="zh-CN" w:bidi="ar"/>
              </w:rPr>
            </w:pPr>
            <w:r>
              <w:rPr>
                <w:rFonts w:hint="eastAsia" w:eastAsia="仿宋_GB2312" w:cs="仿宋_GB2312"/>
                <w:color w:val="000000"/>
                <w:kern w:val="0"/>
                <w:sz w:val="18"/>
                <w:szCs w:val="18"/>
                <w:lang w:val="en-US" w:eastAsia="zh-CN" w:bidi="ar"/>
              </w:rPr>
              <w:t>2</w:t>
            </w:r>
          </w:p>
        </w:tc>
        <w:tc>
          <w:tcPr>
            <w:tcW w:w="1124"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both"/>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sz w:val="18"/>
                <w:szCs w:val="18"/>
                <w:lang w:eastAsia="zh-CN"/>
              </w:rPr>
              <w:t>房地产销售项目检查</w:t>
            </w:r>
          </w:p>
        </w:tc>
        <w:tc>
          <w:tcPr>
            <w:tcW w:w="1426"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both"/>
              <w:textAlignment w:val="center"/>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sz w:val="18"/>
                <w:szCs w:val="18"/>
                <w:lang w:eastAsia="zh-CN"/>
              </w:rPr>
              <w:t>商品房预售资金监管检查</w:t>
            </w:r>
          </w:p>
        </w:tc>
        <w:tc>
          <w:tcPr>
            <w:tcW w:w="1739"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180" w:lineRule="exact"/>
              <w:jc w:val="left"/>
              <w:textAlignment w:val="center"/>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sz w:val="18"/>
                <w:szCs w:val="18"/>
                <w:lang w:eastAsia="zh-CN"/>
              </w:rPr>
              <w:t>在售房地产开发项目</w:t>
            </w:r>
          </w:p>
        </w:tc>
        <w:tc>
          <w:tcPr>
            <w:tcW w:w="1712" w:type="dxa"/>
            <w:noWrap w:val="0"/>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sz w:val="18"/>
                <w:szCs w:val="18"/>
              </w:rPr>
              <w:t>一般检查事项</w:t>
            </w:r>
          </w:p>
        </w:tc>
        <w:tc>
          <w:tcPr>
            <w:tcW w:w="1026"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left"/>
              <w:textAlignment w:val="auto"/>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sz w:val="18"/>
                <w:szCs w:val="18"/>
              </w:rPr>
              <w:t>现场检查</w:t>
            </w:r>
          </w:p>
        </w:tc>
        <w:tc>
          <w:tcPr>
            <w:tcW w:w="1291" w:type="dxa"/>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pacing w:line="180" w:lineRule="exact"/>
              <w:jc w:val="center"/>
              <w:rPr>
                <w:rFonts w:hint="eastAsia" w:ascii="Times New Roman" w:hAnsi="Times New Roman" w:eastAsia="仿宋_GB2312" w:cs="仿宋_GB2312"/>
                <w:color w:val="auto"/>
                <w:kern w:val="0"/>
                <w:sz w:val="18"/>
                <w:szCs w:val="18"/>
                <w:lang w:val="en-US" w:eastAsia="zh-CN" w:bidi="ar"/>
              </w:rPr>
            </w:pPr>
            <w:r>
              <w:rPr>
                <w:rFonts w:hint="eastAsia" w:ascii="Times New Roman" w:hAnsi="Times New Roman" w:eastAsia="仿宋_GB2312" w:cs="仿宋_GB2312"/>
                <w:color w:val="auto"/>
                <w:sz w:val="18"/>
                <w:szCs w:val="18"/>
              </w:rPr>
              <w:t>各级住房城乡建设主管部门</w:t>
            </w:r>
          </w:p>
        </w:tc>
        <w:tc>
          <w:tcPr>
            <w:tcW w:w="6045" w:type="dxa"/>
            <w:noWrap w:val="0"/>
            <w:tcMar>
              <w:top w:w="12" w:type="dxa"/>
              <w:left w:w="12" w:type="dxa"/>
              <w:right w:w="12" w:type="dxa"/>
            </w:tcMar>
            <w:vAlign w:val="center"/>
          </w:tcPr>
          <w:p>
            <w:pPr>
              <w:pStyle w:val="6"/>
              <w:keepNext w:val="0"/>
              <w:keepLines w:val="0"/>
              <w:pageBreakBefore w:val="0"/>
              <w:kinsoku/>
              <w:wordWrap/>
              <w:overflowPunct/>
              <w:topLinePunct w:val="0"/>
              <w:autoSpaceDE/>
              <w:autoSpaceDN/>
              <w:bidi w:val="0"/>
              <w:adjustRightInd/>
              <w:spacing w:after="0" w:line="180" w:lineRule="exact"/>
              <w:ind w:firstLine="0" w:firstLineChars="0"/>
              <w:jc w:val="both"/>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sz w:val="18"/>
                <w:szCs w:val="18"/>
                <w:lang w:eastAsia="zh-CN"/>
              </w:rPr>
              <w:t>《中华人民共和国城市房地产管理法》《城市商品房预售管理办法》《住房和城乡建设部</w:t>
            </w:r>
            <w:r>
              <w:rPr>
                <w:rFonts w:hint="eastAsia" w:ascii="Times New Roman" w:hAnsi="Times New Roman" w:eastAsia="仿宋_GB2312" w:cs="仿宋_GB2312"/>
                <w:color w:val="auto"/>
                <w:sz w:val="18"/>
                <w:szCs w:val="18"/>
                <w:lang w:val="en-US" w:eastAsia="zh-CN"/>
              </w:rPr>
              <w:t xml:space="preserve"> 人民银行 银保监会关于规范商品房预售资金监管的意见</w:t>
            </w:r>
            <w:r>
              <w:rPr>
                <w:rFonts w:hint="eastAsia" w:ascii="Times New Roman" w:hAnsi="Times New Roman" w:eastAsia="仿宋_GB2312" w:cs="仿宋_GB2312"/>
                <w:color w:val="auto"/>
                <w:sz w:val="18"/>
                <w:szCs w:val="18"/>
                <w:lang w:eastAsia="zh-CN"/>
              </w:rPr>
              <w:t>》《宁夏回族自治区商品房预售资金监管办法》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77" w:type="dxa"/>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pacing w:line="180" w:lineRule="exact"/>
              <w:jc w:val="center"/>
              <w:textAlignment w:val="top"/>
              <w:rPr>
                <w:rFonts w:hint="eastAsia" w:ascii="Times New Roman" w:hAnsi="Times New Roman" w:eastAsia="仿宋_GB2312" w:cs="仿宋_GB2312"/>
                <w:color w:val="000000"/>
                <w:kern w:val="0"/>
                <w:sz w:val="18"/>
                <w:szCs w:val="18"/>
                <w:lang w:val="en-US" w:eastAsia="zh-CN" w:bidi="ar"/>
              </w:rPr>
            </w:pPr>
            <w:r>
              <w:rPr>
                <w:rFonts w:hint="eastAsia" w:ascii="Times New Roman" w:hAnsi="Times New Roman" w:cs="仿宋_GB2312"/>
                <w:color w:val="000000"/>
                <w:kern w:val="0"/>
                <w:sz w:val="18"/>
                <w:szCs w:val="18"/>
                <w:lang w:val="en-US" w:eastAsia="zh-CN" w:bidi="ar"/>
              </w:rPr>
              <w:t>3</w:t>
            </w:r>
          </w:p>
        </w:tc>
        <w:tc>
          <w:tcPr>
            <w:tcW w:w="1124"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both"/>
              <w:textAlignment w:val="auto"/>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kern w:val="2"/>
                <w:sz w:val="18"/>
                <w:szCs w:val="18"/>
                <w:lang w:val="en-US" w:eastAsia="zh-CN" w:bidi="ar-SA"/>
              </w:rPr>
              <w:t>环卫企业监督检查</w:t>
            </w:r>
          </w:p>
        </w:tc>
        <w:tc>
          <w:tcPr>
            <w:tcW w:w="1426" w:type="dxa"/>
            <w:noWrap w:val="0"/>
            <w:tcMar>
              <w:top w:w="12" w:type="dxa"/>
              <w:left w:w="12" w:type="dxa"/>
              <w:right w:w="12" w:type="dxa"/>
            </w:tcMar>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180" w:lineRule="exact"/>
              <w:ind w:left="0" w:leftChars="0" w:firstLine="0" w:firstLineChars="0"/>
              <w:jc w:val="both"/>
              <w:textAlignment w:val="auto"/>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kern w:val="2"/>
                <w:sz w:val="18"/>
                <w:szCs w:val="18"/>
                <w:lang w:val="en-US" w:eastAsia="zh-CN" w:bidi="ar-SA"/>
              </w:rPr>
              <w:t>环境卫生清扫保洁企业、生活垃圾处理企业监督执法检查</w:t>
            </w:r>
          </w:p>
        </w:tc>
        <w:tc>
          <w:tcPr>
            <w:tcW w:w="1739"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center"/>
              <w:textAlignment w:val="auto"/>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kern w:val="2"/>
                <w:sz w:val="18"/>
                <w:szCs w:val="18"/>
                <w:lang w:val="en-US" w:eastAsia="zh-CN" w:bidi="ar-SA"/>
              </w:rPr>
              <w:t>环境卫生清扫保洁企业、生活垃圾处理企业</w:t>
            </w:r>
            <w:r>
              <w:rPr>
                <w:rFonts w:hint="eastAsia" w:ascii="Times New Roman" w:hAnsi="Times New Roman" w:eastAsia="仿宋_GB2312" w:cs="仿宋_GB2312"/>
                <w:color w:val="auto"/>
                <w:kern w:val="2"/>
                <w:sz w:val="18"/>
                <w:szCs w:val="18"/>
                <w:lang w:val="en-US" w:eastAsia="zh-CN" w:bidi="ar-SA"/>
              </w:rPr>
              <w:tab/>
            </w:r>
          </w:p>
        </w:tc>
        <w:tc>
          <w:tcPr>
            <w:tcW w:w="1712"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both"/>
              <w:textAlignment w:val="auto"/>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kern w:val="2"/>
                <w:sz w:val="18"/>
                <w:szCs w:val="18"/>
                <w:lang w:val="en-US" w:eastAsia="zh-CN" w:bidi="ar-SA"/>
              </w:rPr>
              <w:t>一般检查事项</w:t>
            </w:r>
          </w:p>
        </w:tc>
        <w:tc>
          <w:tcPr>
            <w:tcW w:w="1026"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both"/>
              <w:textAlignment w:val="auto"/>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kern w:val="2"/>
                <w:sz w:val="18"/>
                <w:szCs w:val="18"/>
                <w:lang w:val="en-US" w:eastAsia="zh-CN" w:bidi="ar-SA"/>
              </w:rPr>
              <w:t>现场检查</w:t>
            </w:r>
          </w:p>
        </w:tc>
        <w:tc>
          <w:tcPr>
            <w:tcW w:w="1291" w:type="dxa"/>
            <w:noWrap w:val="0"/>
            <w:tcMar>
              <w:top w:w="12" w:type="dxa"/>
              <w:left w:w="12" w:type="dxa"/>
              <w:right w:w="12" w:type="dxa"/>
            </w:tcMar>
            <w:vAlign w:val="center"/>
          </w:tcPr>
          <w:p>
            <w:pPr>
              <w:pStyle w:val="6"/>
              <w:keepNext w:val="0"/>
              <w:keepLines w:val="0"/>
              <w:pageBreakBefore w:val="0"/>
              <w:widowControl w:val="0"/>
              <w:kinsoku/>
              <w:wordWrap/>
              <w:overflowPunct/>
              <w:topLinePunct w:val="0"/>
              <w:autoSpaceDE/>
              <w:autoSpaceDN/>
              <w:bidi w:val="0"/>
              <w:adjustRightInd/>
              <w:snapToGrid/>
              <w:spacing w:after="0" w:line="180" w:lineRule="exact"/>
              <w:ind w:firstLine="0" w:firstLineChars="0"/>
              <w:jc w:val="center"/>
              <w:textAlignment w:val="auto"/>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kern w:val="2"/>
                <w:sz w:val="18"/>
                <w:szCs w:val="18"/>
                <w:lang w:val="en-US" w:eastAsia="zh-CN" w:bidi="ar-SA"/>
              </w:rPr>
              <w:t>自治区住房城乡建设厅</w:t>
            </w:r>
          </w:p>
        </w:tc>
        <w:tc>
          <w:tcPr>
            <w:tcW w:w="6045" w:type="dxa"/>
            <w:noWrap w:val="0"/>
            <w:tcMar>
              <w:top w:w="12" w:type="dxa"/>
              <w:left w:w="12" w:type="dxa"/>
              <w:right w:w="12" w:type="dxa"/>
            </w:tcMar>
            <w:vAlign w:val="center"/>
          </w:tcPr>
          <w:p>
            <w:pPr>
              <w:keepNext w:val="0"/>
              <w:keepLines w:val="0"/>
              <w:pageBreakBefore w:val="0"/>
              <w:widowControl w:val="0"/>
              <w:shd w:val="clear" w:color="auto" w:fill="FFFFFF"/>
              <w:kinsoku/>
              <w:wordWrap/>
              <w:overflowPunct/>
              <w:topLinePunct w:val="0"/>
              <w:autoSpaceDE/>
              <w:autoSpaceDN/>
              <w:bidi w:val="0"/>
              <w:adjustRightInd w:val="0"/>
              <w:snapToGrid w:val="0"/>
              <w:spacing w:line="180" w:lineRule="exact"/>
              <w:jc w:val="left"/>
              <w:textAlignment w:val="auto"/>
              <w:rPr>
                <w:rFonts w:hint="eastAsia" w:ascii="Times New Roman" w:hAnsi="Times New Roman" w:eastAsia="仿宋_GB2312" w:cs="仿宋_GB2312"/>
                <w:color w:val="auto"/>
                <w:kern w:val="2"/>
                <w:sz w:val="18"/>
                <w:szCs w:val="18"/>
                <w:lang w:val="en-US" w:eastAsia="zh-CN" w:bidi="ar-SA"/>
              </w:rPr>
            </w:pPr>
            <w:r>
              <w:rPr>
                <w:rFonts w:hint="eastAsia" w:ascii="Times New Roman" w:hAnsi="Times New Roman" w:eastAsia="仿宋_GB2312" w:cs="仿宋_GB2312"/>
                <w:color w:val="auto"/>
                <w:kern w:val="2"/>
                <w:sz w:val="18"/>
                <w:szCs w:val="18"/>
                <w:lang w:val="en-US" w:eastAsia="zh-CN" w:bidi="ar-SA"/>
              </w:rPr>
              <w:t>《城市市容和环境卫生管理条例》《宁夏回族自治区市容环境卫生管理条例》《中华人民共和国固体废物污染环境防治法》《宁夏回族自治区固体废物污染环境防治条例》</w:t>
            </w:r>
          </w:p>
        </w:tc>
      </w:tr>
    </w:tbl>
    <w:p/>
    <w:bookmarkEnd w:id="0"/>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方正小标宋简体" w:hAnsi="方正小标宋简体" w:eastAsia="方正小标宋简体" w:cs="方正小标宋简体"/>
        <w:sz w:val="21"/>
        <w:szCs w:val="21"/>
        <w:lang w:val="en-US" w:eastAsia="zh-CN"/>
      </w:rPr>
    </w:pPr>
    <w:r>
      <w:rPr>
        <w:rFonts w:hint="eastAsia" w:ascii="方正小标宋简体" w:hAnsi="方正小标宋简体" w:eastAsia="方正小标宋简体" w:cs="方正小标宋简体"/>
        <w:sz w:val="21"/>
        <w:szCs w:val="21"/>
        <w:lang w:eastAsia="zh-CN"/>
      </w:rPr>
      <w:t>附件</w:t>
    </w:r>
    <w:r>
      <w:rPr>
        <w:rFonts w:hint="eastAsia" w:ascii="方正小标宋简体" w:hAnsi="方正小标宋简体" w:eastAsia="方正小标宋简体" w:cs="方正小标宋简体"/>
        <w:sz w:val="21"/>
        <w:szCs w:val="21"/>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YjM1M2U4ZDk0MDc4YzMwNjI1OWEwZmZkMDE3ZWYifQ=="/>
  </w:docVars>
  <w:rsids>
    <w:rsidRoot w:val="29C15ADF"/>
    <w:rsid w:val="08CE7E05"/>
    <w:rsid w:val="09E7414B"/>
    <w:rsid w:val="29C15ADF"/>
    <w:rsid w:val="2B5D5060"/>
    <w:rsid w:val="36E55D90"/>
    <w:rsid w:val="55E43C9F"/>
    <w:rsid w:val="57B45B76"/>
    <w:rsid w:val="5A27776A"/>
    <w:rsid w:val="633603DD"/>
    <w:rsid w:val="66035BCC"/>
    <w:rsid w:val="73E86727"/>
    <w:rsid w:val="754F3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next w:val="1"/>
    <w:autoRedefine/>
    <w:qFormat/>
    <w:uiPriority w:val="0"/>
    <w:pPr>
      <w:jc w:val="center"/>
    </w:pPr>
    <w:rPr>
      <w:rFonts w:eastAsia="华文中宋"/>
      <w:sz w:val="36"/>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next w:val="3"/>
    <w:autoRedefine/>
    <w:qFormat/>
    <w:uiPriority w:val="0"/>
    <w:pPr>
      <w:spacing w:after="120"/>
      <w:ind w:firstLine="420" w:firstLineChars="100"/>
      <w:jc w:val="both"/>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2024-04-23T02:10:00Z</dcterms:created>
  <dc:creator>@小马</dc:creator>
  <cp:lastModifiedBy>老蛋</cp:lastModifiedBy>
  <cp:lastPrinted>2024-05-14T07:38:00Z</cp:lastPrinted>
  <dcterms:modified xsi:type="dcterms:W3CDTF">2024-07-15T01:44:23Z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572895E94D984B9E81566AEE8F7ABBD5_13</vt:lpwstr>
  </property>
</Properties>
</file>