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平罗县突发事件信息报送范围和时限</w:t>
      </w:r>
    </w:p>
    <w:p>
      <w:pPr>
        <w:pStyle w:val="5"/>
        <w:rPr>
          <w:rFonts w:hint="eastAsia"/>
          <w:lang w:val="en-US" w:eastAsia="zh-CN"/>
        </w:rPr>
      </w:pPr>
    </w:p>
    <w:tbl>
      <w:tblPr>
        <w:tblStyle w:val="9"/>
        <w:tblW w:w="945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45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报送范围</w:t>
            </w:r>
          </w:p>
        </w:tc>
        <w:tc>
          <w:tcPr>
            <w:tcW w:w="799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黑体" w:hAnsi="黑体" w:eastAsia="黑体" w:cs="黑体"/>
                <w:sz w:val="28"/>
                <w:szCs w:val="28"/>
                <w:lang w:val="en-US" w:eastAsia="zh-CN"/>
              </w:rPr>
              <w:t>事件类别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79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事故灾难类：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1.一次死亡1人（含失踪）、重伤2人（含死亡人数）以上或者直接经济损失在100万元的交通、安全、中毒、火灾事故。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2.因危险化学品生产、经营、贮运中发生的泄漏、扩散，对群众生产生活造成一定影响的事故。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79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自然灾害类</w:t>
            </w:r>
            <w:r>
              <w:rPr>
                <w:rFonts w:hint="eastAsia" w:ascii="仿宋_GB2312" w:hAnsi="仿宋_GB2312" w:cs="仿宋_GB2312"/>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1.有震感或者造成人员伤亡和财产损失的地震、震情，邻近地区震情对本区域造成影响的灾害。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2.因山体崩塌、滑坡、泥石流、地面塌陷、地裂缝等，或威胁群众生命财产安全、有重大的社会影响的地质灾害。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3.重要河流、渠系堤防发生险情，或可能出现对流域内人员造成直接影响的险情。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4.因水旱灾害、森林草原火灾等造成人员伤亡和经济损失的灾害。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一次灾害造成下列后果之一的：1人以上死亡或2人以上重伤的；损毁房屋20间以上的；农作物受灾面积100公顷（1500亩）以上且减产3成以上；绝收面积在100公顷（1500亩）以上；直接经济损失300万元以上；造成养殖业严重受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6.灾害造成交通、通讯、供水、供气、供电中断。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5" w:type="dxa"/>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sz w:val="28"/>
                <w:szCs w:val="28"/>
                <w:vertAlign w:val="baseline"/>
                <w:lang w:val="en-US" w:eastAsia="zh-CN"/>
              </w:rPr>
              <w:t>报送时限</w:t>
            </w:r>
          </w:p>
        </w:tc>
        <w:tc>
          <w:tcPr>
            <w:tcW w:w="7995" w:type="dxa"/>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各乡镇和各成员单位</w:t>
            </w:r>
            <w:r>
              <w:rPr>
                <w:rFonts w:hint="default"/>
                <w:sz w:val="24"/>
                <w:szCs w:val="24"/>
                <w:lang w:val="en-US" w:eastAsia="zh-CN"/>
              </w:rPr>
              <w:t>在事发后30分钟内电话向</w:t>
            </w:r>
            <w:r>
              <w:rPr>
                <w:rFonts w:hint="eastAsia"/>
                <w:sz w:val="24"/>
                <w:szCs w:val="24"/>
                <w:lang w:val="en-US" w:eastAsia="zh-CN"/>
              </w:rPr>
              <w:t>县</w:t>
            </w:r>
            <w:r>
              <w:rPr>
                <w:rFonts w:hint="default"/>
                <w:sz w:val="24"/>
                <w:szCs w:val="24"/>
                <w:lang w:val="en-US" w:eastAsia="zh-CN"/>
              </w:rPr>
              <w:t>应急管理局值班室（24小时值班电话及传真：</w:t>
            </w:r>
            <w:r>
              <w:rPr>
                <w:rFonts w:hint="eastAsia"/>
                <w:sz w:val="24"/>
                <w:szCs w:val="24"/>
                <w:lang w:val="en-US" w:eastAsia="zh-CN"/>
              </w:rPr>
              <w:t>6095159</w:t>
            </w:r>
            <w:r>
              <w:rPr>
                <w:rFonts w:hint="default"/>
                <w:sz w:val="24"/>
                <w:szCs w:val="24"/>
                <w:lang w:val="en-US" w:eastAsia="zh-CN"/>
              </w:rPr>
              <w:t>）报告。1小时内书面报告。因特殊情况，确实无法在1小时内书面报告的，事发地</w:t>
            </w:r>
            <w:r>
              <w:rPr>
                <w:rFonts w:hint="eastAsia"/>
                <w:sz w:val="24"/>
                <w:szCs w:val="24"/>
                <w:lang w:val="en-US" w:eastAsia="zh-CN"/>
              </w:rPr>
              <w:t>乡镇</w:t>
            </w:r>
            <w:r>
              <w:rPr>
                <w:rFonts w:hint="default"/>
                <w:sz w:val="24"/>
                <w:szCs w:val="24"/>
                <w:lang w:val="en-US" w:eastAsia="zh-CN"/>
              </w:rPr>
              <w:t>和</w:t>
            </w:r>
            <w:r>
              <w:rPr>
                <w:rFonts w:hint="eastAsia"/>
                <w:sz w:val="24"/>
                <w:szCs w:val="24"/>
                <w:lang w:val="en-US" w:eastAsia="zh-CN"/>
              </w:rPr>
              <w:t>各成员单位</w:t>
            </w:r>
            <w:r>
              <w:rPr>
                <w:rFonts w:hint="default"/>
                <w:sz w:val="24"/>
                <w:szCs w:val="24"/>
                <w:lang w:val="en-US" w:eastAsia="zh-CN"/>
              </w:rPr>
              <w:t>接到事件报告后，必须在30分钟内说明原因。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default"/>
                <w:sz w:val="24"/>
                <w:szCs w:val="24"/>
                <w:lang w:val="en-US" w:eastAsia="zh-CN"/>
              </w:rPr>
              <w:t>2.各成员单位在向</w:t>
            </w:r>
            <w:r>
              <w:rPr>
                <w:rFonts w:hint="eastAsia"/>
                <w:sz w:val="24"/>
                <w:szCs w:val="24"/>
                <w:lang w:val="en-US" w:eastAsia="zh-CN"/>
              </w:rPr>
              <w:t>县</w:t>
            </w:r>
            <w:r>
              <w:rPr>
                <w:rFonts w:hint="default"/>
                <w:sz w:val="24"/>
                <w:szCs w:val="24"/>
                <w:lang w:val="en-US" w:eastAsia="zh-CN"/>
              </w:rPr>
              <w:t>委办和政府办值班室报送信息的同时向</w:t>
            </w:r>
            <w:r>
              <w:rPr>
                <w:rFonts w:hint="eastAsia"/>
                <w:sz w:val="24"/>
                <w:szCs w:val="24"/>
                <w:lang w:val="en-US" w:eastAsia="zh-CN"/>
              </w:rPr>
              <w:t>县</w:t>
            </w:r>
            <w:r>
              <w:rPr>
                <w:rFonts w:hint="default"/>
                <w:sz w:val="24"/>
                <w:szCs w:val="24"/>
                <w:lang w:val="en-US" w:eastAsia="zh-CN"/>
              </w:rPr>
              <w:t>安委会和应急管理指挥部办公室（24小时值班电话及传真：</w:t>
            </w:r>
            <w:r>
              <w:rPr>
                <w:rFonts w:hint="eastAsia"/>
                <w:sz w:val="24"/>
                <w:szCs w:val="24"/>
                <w:lang w:val="en-US" w:eastAsia="zh-CN"/>
              </w:rPr>
              <w:t>6095159</w:t>
            </w:r>
            <w:r>
              <w:rPr>
                <w:rFonts w:hint="default"/>
                <w:sz w:val="24"/>
                <w:szCs w:val="24"/>
                <w:lang w:val="en-US" w:eastAsia="zh-CN"/>
              </w:rPr>
              <w:t>）报告。报告时限按照</w:t>
            </w:r>
            <w:r>
              <w:rPr>
                <w:rFonts w:hint="eastAsia"/>
                <w:sz w:val="24"/>
                <w:szCs w:val="24"/>
                <w:lang w:val="en-US" w:eastAsia="zh-CN"/>
              </w:rPr>
              <w:t>县政府办</w:t>
            </w:r>
            <w:r>
              <w:rPr>
                <w:rFonts w:hint="default"/>
                <w:sz w:val="24"/>
                <w:szCs w:val="24"/>
                <w:lang w:val="en-US" w:eastAsia="zh-CN"/>
              </w:rPr>
              <w:t>《县人民政府办公室关于进一步加强应急值守及突发事件信息报送工作的通知》（平政办发〔2018〕23号）要求执行。一般事件发生2小时后报送相关情况的，视为迟报；较大以上突发事件或敏感性事件发生1小时后报送相关情况的，视为迟报。</w:t>
            </w:r>
          </w:p>
        </w:tc>
      </w:tr>
    </w:tbl>
    <w:p>
      <w:pPr>
        <w:rPr>
          <w:rFonts w:hint="default"/>
        </w:rPr>
        <w:sectPr>
          <w:footerReference r:id="rId3" w:type="default"/>
          <w:pgSz w:w="11906" w:h="16838"/>
          <w:pgMar w:top="1984" w:right="1587" w:bottom="1814" w:left="1587" w:header="851" w:footer="1134" w:gutter="0"/>
          <w:pgNumType w:fmt="numberInDash"/>
          <w:cols w:space="425" w:num="1"/>
          <w:docGrid w:type="lines" w:linePitch="312" w:charSpace="0"/>
        </w:sectPr>
      </w:pPr>
    </w:p>
    <w:p>
      <w:pPr>
        <w:rPr>
          <w:rFonts w:hint="eastAsia" w:ascii="黑体" w:hAnsi="黑体" w:eastAsia="黑体" w:cs="黑体"/>
          <w:lang w:val="en-US" w:eastAsia="zh-CN"/>
        </w:rPr>
      </w:pPr>
      <w:r>
        <w:rPr>
          <w:rFonts w:hint="eastAsia" w:ascii="黑体" w:hAnsi="黑体" w:eastAsia="黑体" w:cs="黑体"/>
          <w:lang w:val="en-US" w:eastAsia="zh-CN"/>
        </w:rPr>
        <w:t>附件2：</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kern w:val="0"/>
          <w:sz w:val="44"/>
          <w:szCs w:val="44"/>
        </w:rPr>
      </w:pPr>
      <w:r>
        <w:rPr>
          <w:rFonts w:hint="eastAsia" w:eastAsia="方正小标宋_GBK" w:cs="Times New Roman"/>
          <w:bCs/>
          <w:spacing w:val="-20"/>
          <w:kern w:val="0"/>
          <w:sz w:val="44"/>
          <w:szCs w:val="44"/>
          <w:lang w:eastAsia="zh-CN"/>
        </w:rPr>
        <w:t>平罗县</w:t>
      </w:r>
      <w:r>
        <w:rPr>
          <w:rFonts w:hint="default" w:ascii="Times New Roman" w:hAnsi="Times New Roman" w:eastAsia="方正小标宋_GBK" w:cs="Times New Roman"/>
          <w:bCs/>
          <w:spacing w:val="-20"/>
          <w:kern w:val="0"/>
          <w:sz w:val="44"/>
          <w:szCs w:val="44"/>
        </w:rPr>
        <w:t>突发事件信息报送</w:t>
      </w:r>
      <w:r>
        <w:rPr>
          <w:rFonts w:hint="default" w:ascii="Times New Roman" w:hAnsi="Times New Roman" w:eastAsia="方正小标宋_GBK" w:cs="Times New Roman"/>
          <w:bCs/>
          <w:spacing w:val="-20"/>
          <w:kern w:val="0"/>
          <w:sz w:val="44"/>
          <w:szCs w:val="44"/>
          <w:lang w:eastAsia="zh-CN"/>
        </w:rPr>
        <w:t>联络</w:t>
      </w:r>
      <w:r>
        <w:rPr>
          <w:rFonts w:hint="default" w:ascii="Times New Roman" w:hAnsi="Times New Roman" w:eastAsia="方正小标宋_GBK" w:cs="Times New Roman"/>
          <w:bCs/>
          <w:spacing w:val="-20"/>
          <w:kern w:val="0"/>
          <w:sz w:val="44"/>
          <w:szCs w:val="44"/>
        </w:rPr>
        <w:t>人员采集表</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default" w:ascii="Times New Roman" w:hAnsi="Times New Roman" w:cs="Times New Roman"/>
          <w:kern w:val="0"/>
        </w:rPr>
      </w:pPr>
    </w:p>
    <w:p>
      <w:pPr>
        <w:keepNext w:val="0"/>
        <w:keepLines w:val="0"/>
        <w:pageBreakBefore w:val="0"/>
        <w:widowControl/>
        <w:kinsoku/>
        <w:wordWrap/>
        <w:overflowPunct/>
        <w:topLinePunct w:val="0"/>
        <w:autoSpaceDE/>
        <w:autoSpaceDN/>
        <w:bidi w:val="0"/>
        <w:adjustRightInd/>
        <w:snapToGrid w:val="0"/>
        <w:spacing w:line="560" w:lineRule="exact"/>
        <w:ind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单位（盖章）：   </w:t>
      </w: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值班电话：        </w:t>
      </w: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传真： </w:t>
      </w:r>
    </w:p>
    <w:tbl>
      <w:tblPr>
        <w:tblStyle w:val="8"/>
        <w:tblW w:w="14070" w:type="dxa"/>
        <w:jc w:val="center"/>
        <w:tblInd w:w="0" w:type="dxa"/>
        <w:tblLayout w:type="fixed"/>
        <w:tblCellMar>
          <w:top w:w="0" w:type="dxa"/>
          <w:left w:w="0" w:type="dxa"/>
          <w:bottom w:w="0" w:type="dxa"/>
          <w:right w:w="0" w:type="dxa"/>
        </w:tblCellMar>
      </w:tblPr>
      <w:tblGrid>
        <w:gridCol w:w="2486"/>
        <w:gridCol w:w="3527"/>
        <w:gridCol w:w="1574"/>
        <w:gridCol w:w="2204"/>
        <w:gridCol w:w="1917"/>
        <w:gridCol w:w="2362"/>
      </w:tblGrid>
      <w:tr>
        <w:tblPrEx>
          <w:tblLayout w:type="fixed"/>
          <w:tblCellMar>
            <w:top w:w="0" w:type="dxa"/>
            <w:left w:w="0" w:type="dxa"/>
            <w:bottom w:w="0" w:type="dxa"/>
            <w:right w:w="0" w:type="dxa"/>
          </w:tblCellMar>
        </w:tblPrEx>
        <w:trPr>
          <w:trHeight w:val="632" w:hRule="atLeast"/>
          <w:jc w:val="center"/>
        </w:trPr>
        <w:tc>
          <w:tcPr>
            <w:tcW w:w="6013" w:type="dxa"/>
            <w:gridSpan w:val="2"/>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人员信息</w:t>
            </w:r>
          </w:p>
        </w:tc>
        <w:tc>
          <w:tcPr>
            <w:tcW w:w="157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  名</w:t>
            </w:r>
          </w:p>
        </w:tc>
        <w:tc>
          <w:tcPr>
            <w:tcW w:w="22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  务</w:t>
            </w:r>
          </w:p>
        </w:tc>
        <w:tc>
          <w:tcPr>
            <w:tcW w:w="4279"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p>
        </w:tc>
      </w:tr>
      <w:tr>
        <w:tblPrEx>
          <w:tblLayout w:type="fixed"/>
          <w:tblCellMar>
            <w:top w:w="0" w:type="dxa"/>
            <w:left w:w="0" w:type="dxa"/>
            <w:bottom w:w="0" w:type="dxa"/>
            <w:right w:w="0" w:type="dxa"/>
          </w:tblCellMar>
        </w:tblPrEx>
        <w:trPr>
          <w:trHeight w:val="643" w:hRule="atLeast"/>
          <w:jc w:val="center"/>
        </w:trPr>
        <w:tc>
          <w:tcPr>
            <w:tcW w:w="6013" w:type="dxa"/>
            <w:gridSpan w:val="2"/>
            <w:vMerge w:val="continue"/>
            <w:tcBorders>
              <w:top w:val="single" w:color="auto" w:sz="12"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1574" w:type="dxa"/>
            <w:vMerge w:val="continue"/>
            <w:tcBorders>
              <w:top w:val="single" w:color="auto" w:sz="12"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204" w:type="dxa"/>
            <w:vMerge w:val="continue"/>
            <w:tcBorders>
              <w:top w:val="single" w:color="auto" w:sz="12"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19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办公电话</w:t>
            </w:r>
          </w:p>
        </w:tc>
        <w:tc>
          <w:tcPr>
            <w:tcW w:w="236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手  机</w:t>
            </w:r>
          </w:p>
        </w:tc>
      </w:tr>
      <w:tr>
        <w:tblPrEx>
          <w:tblLayout w:type="fixed"/>
          <w:tblCellMar>
            <w:top w:w="0" w:type="dxa"/>
            <w:left w:w="0" w:type="dxa"/>
            <w:bottom w:w="0" w:type="dxa"/>
            <w:right w:w="0" w:type="dxa"/>
          </w:tblCellMar>
        </w:tblPrEx>
        <w:trPr>
          <w:trHeight w:val="632" w:hRule="atLeast"/>
          <w:jc w:val="center"/>
        </w:trPr>
        <w:tc>
          <w:tcPr>
            <w:tcW w:w="2486" w:type="dxa"/>
            <w:vMerge w:val="restart"/>
            <w:tcBorders>
              <w:top w:val="single" w:color="auto" w:sz="8" w:space="0"/>
              <w:left w:val="single" w:color="auto" w:sz="8" w:space="0"/>
              <w:bottom w:val="single" w:color="auto" w:sz="12"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各</w:t>
            </w:r>
            <w:r>
              <w:rPr>
                <w:rFonts w:hint="eastAsia" w:ascii="仿宋_GB2312" w:hAnsi="仿宋_GB2312" w:eastAsia="仿宋_GB2312" w:cs="仿宋_GB2312"/>
                <w:kern w:val="0"/>
                <w:sz w:val="32"/>
                <w:szCs w:val="32"/>
                <w:lang w:eastAsia="zh-CN"/>
              </w:rPr>
              <w:t>成员</w:t>
            </w:r>
            <w:r>
              <w:rPr>
                <w:rFonts w:hint="eastAsia" w:ascii="仿宋_GB2312" w:hAnsi="仿宋_GB2312" w:eastAsia="仿宋_GB2312" w:cs="仿宋_GB2312"/>
                <w:kern w:val="0"/>
                <w:sz w:val="32"/>
                <w:szCs w:val="32"/>
              </w:rPr>
              <w:t>单位</w:t>
            </w:r>
          </w:p>
        </w:tc>
        <w:tc>
          <w:tcPr>
            <w:tcW w:w="3527"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主要领导</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2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19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36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r>
      <w:tr>
        <w:tblPrEx>
          <w:tblLayout w:type="fixed"/>
          <w:tblCellMar>
            <w:top w:w="0" w:type="dxa"/>
            <w:left w:w="0" w:type="dxa"/>
            <w:bottom w:w="0" w:type="dxa"/>
            <w:right w:w="0" w:type="dxa"/>
          </w:tblCellMar>
        </w:tblPrEx>
        <w:trPr>
          <w:trHeight w:val="643" w:hRule="atLeast"/>
          <w:jc w:val="center"/>
        </w:trPr>
        <w:tc>
          <w:tcPr>
            <w:tcW w:w="2486" w:type="dxa"/>
            <w:vMerge w:val="continue"/>
            <w:tcBorders>
              <w:top w:val="nil"/>
              <w:left w:val="single" w:color="auto" w:sz="8" w:space="0"/>
              <w:bottom w:val="single" w:color="auto" w:sz="12"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352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分管领导</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2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19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36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r>
      <w:tr>
        <w:tblPrEx>
          <w:tblLayout w:type="fixed"/>
          <w:tblCellMar>
            <w:top w:w="0" w:type="dxa"/>
            <w:left w:w="0" w:type="dxa"/>
            <w:bottom w:w="0" w:type="dxa"/>
            <w:right w:w="0" w:type="dxa"/>
          </w:tblCellMar>
        </w:tblPrEx>
        <w:trPr>
          <w:trHeight w:val="643" w:hRule="atLeast"/>
          <w:jc w:val="center"/>
        </w:trPr>
        <w:tc>
          <w:tcPr>
            <w:tcW w:w="2486" w:type="dxa"/>
            <w:vMerge w:val="continue"/>
            <w:tcBorders>
              <w:top w:val="nil"/>
              <w:left w:val="single" w:color="auto" w:sz="8" w:space="0"/>
              <w:bottom w:val="single" w:color="auto" w:sz="12"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352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办公室主任</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2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19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36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r>
      <w:tr>
        <w:tblPrEx>
          <w:tblLayout w:type="fixed"/>
          <w:tblCellMar>
            <w:top w:w="0" w:type="dxa"/>
            <w:left w:w="0" w:type="dxa"/>
            <w:bottom w:w="0" w:type="dxa"/>
            <w:right w:w="0" w:type="dxa"/>
          </w:tblCellMar>
        </w:tblPrEx>
        <w:trPr>
          <w:trHeight w:val="643" w:hRule="atLeast"/>
          <w:jc w:val="center"/>
        </w:trPr>
        <w:tc>
          <w:tcPr>
            <w:tcW w:w="2486" w:type="dxa"/>
            <w:vMerge w:val="continue"/>
            <w:tcBorders>
              <w:top w:val="nil"/>
              <w:left w:val="single" w:color="auto" w:sz="8" w:space="0"/>
              <w:bottom w:val="single" w:color="auto" w:sz="12"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352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业务科室</w:t>
            </w:r>
            <w:r>
              <w:rPr>
                <w:rFonts w:hint="eastAsia" w:ascii="仿宋_GB2312" w:hAnsi="仿宋_GB2312" w:eastAsia="仿宋_GB2312" w:cs="仿宋_GB2312"/>
                <w:kern w:val="0"/>
                <w:sz w:val="32"/>
                <w:szCs w:val="32"/>
              </w:rPr>
              <w:t>负责人</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2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19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36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r>
      <w:tr>
        <w:tblPrEx>
          <w:tblLayout w:type="fixed"/>
          <w:tblCellMar>
            <w:top w:w="0" w:type="dxa"/>
            <w:left w:w="0" w:type="dxa"/>
            <w:bottom w:w="0" w:type="dxa"/>
            <w:right w:w="0" w:type="dxa"/>
          </w:tblCellMar>
        </w:tblPrEx>
        <w:trPr>
          <w:trHeight w:val="665" w:hRule="atLeast"/>
          <w:jc w:val="center"/>
        </w:trPr>
        <w:tc>
          <w:tcPr>
            <w:tcW w:w="2486"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3527"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值班室电话及传真</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2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191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c>
          <w:tcPr>
            <w:tcW w:w="236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p>
        </w:tc>
      </w:tr>
    </w:tbl>
    <w:p>
      <w:pPr>
        <w:rPr>
          <w:rFonts w:hint="default"/>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县应急管理指挥部成员单位名单</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b/>
          <w:bCs/>
          <w:lang w:val="en-US" w:eastAsia="zh-CN"/>
        </w:rPr>
        <w:t>县</w:t>
      </w:r>
      <w:r>
        <w:rPr>
          <w:rFonts w:hint="default"/>
          <w:b/>
          <w:bCs/>
          <w:lang w:val="en-US" w:eastAsia="zh-CN"/>
        </w:rPr>
        <w:t>应急管理</w:t>
      </w:r>
      <w:r>
        <w:rPr>
          <w:rFonts w:hint="eastAsia"/>
          <w:b/>
          <w:bCs/>
          <w:lang w:val="en-US" w:eastAsia="zh-CN"/>
        </w:rPr>
        <w:t>指挥</w:t>
      </w:r>
      <w:r>
        <w:rPr>
          <w:rFonts w:hint="default"/>
          <w:b/>
          <w:bCs/>
          <w:lang w:val="en-US" w:eastAsia="zh-CN"/>
        </w:rPr>
        <w:t>部成员单位：</w:t>
      </w:r>
      <w:r>
        <w:rPr>
          <w:rFonts w:hint="eastAsia"/>
          <w:lang w:val="en-US" w:eastAsia="zh-CN"/>
        </w:rPr>
        <w:t>县政府办、县委宣传部、网信办、县人武部、消防救援大队、发改局、教体局、科技局、工信局、公安局、民政局、财政局、自然资源局、市生态环境局 平罗分局、住建局、交通局、水务局、农业农村局、商务局、文广局、卫生健康局、应急管理局、审计局、市场监管局、统计局、供销社、气象局、供电公司、电信公司、移动公司、联通公司、德渊集团、各乡镇</w:t>
      </w:r>
    </w:p>
    <w:p>
      <w:pPr>
        <w:pStyle w:val="5"/>
        <w:ind w:left="0" w:leftChars="0" w:firstLine="0" w:firstLineChars="0"/>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D58B3"/>
    <w:rsid w:val="002C477F"/>
    <w:rsid w:val="07D267D8"/>
    <w:rsid w:val="0805659E"/>
    <w:rsid w:val="0D695863"/>
    <w:rsid w:val="13302AA4"/>
    <w:rsid w:val="13342BA5"/>
    <w:rsid w:val="137755D8"/>
    <w:rsid w:val="16E32D9E"/>
    <w:rsid w:val="1E326A26"/>
    <w:rsid w:val="1F4C13C2"/>
    <w:rsid w:val="23850EB5"/>
    <w:rsid w:val="24F07EE9"/>
    <w:rsid w:val="2578005B"/>
    <w:rsid w:val="259044A0"/>
    <w:rsid w:val="28DD58B3"/>
    <w:rsid w:val="2BCB1CA3"/>
    <w:rsid w:val="313273C0"/>
    <w:rsid w:val="41952CB6"/>
    <w:rsid w:val="461C4F79"/>
    <w:rsid w:val="49330D8B"/>
    <w:rsid w:val="498C07E5"/>
    <w:rsid w:val="502C5F1F"/>
    <w:rsid w:val="5AB16277"/>
    <w:rsid w:val="5C4C5AFB"/>
    <w:rsid w:val="5E482495"/>
    <w:rsid w:val="67A802C7"/>
    <w:rsid w:val="68160792"/>
    <w:rsid w:val="72ED5419"/>
    <w:rsid w:val="78A33C71"/>
    <w:rsid w:val="7BEA1F9A"/>
    <w:rsid w:val="7EC50357"/>
    <w:rsid w:val="7F82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HTML Address"/>
    <w:basedOn w:val="1"/>
    <w:qFormat/>
    <w:uiPriority w:val="0"/>
    <w:rPr>
      <w:rFonts w:ascii="Times New Roman" w:hAnsi="Times New Roman"/>
    </w:rPr>
  </w:style>
  <w:style w:type="paragraph" w:styleId="3">
    <w:name w:val="Body Text Indent"/>
    <w:basedOn w:val="1"/>
    <w:qFormat/>
    <w:uiPriority w:val="0"/>
    <w:pPr>
      <w:ind w:firstLine="540" w:firstLineChars="18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1"/>
    <w:qFormat/>
    <w:uiPriority w:val="99"/>
    <w:pPr>
      <w:ind w:left="200" w:firstLine="420" w:firstLineChars="200"/>
    </w:pPr>
    <w:rPr>
      <w:rFonts w:ascii="Times New Roman" w:eastAsia="仿宋_GB2312" w:cs="Times New Roman"/>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1514</Words>
  <Characters>1590</Characters>
  <Lines>0</Lines>
  <Paragraphs>0</Paragraphs>
  <TotalTime>11</TotalTime>
  <ScaleCrop>false</ScaleCrop>
  <LinksUpToDate>false</LinksUpToDate>
  <CharactersWithSpaces>1681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2020-04-24T10:09:00Z</dcterms:created>
  <dc:creator>yoyo</dc:creator>
  <cp:lastModifiedBy>Administrator</cp:lastModifiedBy>
  <cp:lastPrinted>2020-05-11T10:18:00Z</cp:lastPrinted>
  <dcterms:modified xsi:type="dcterms:W3CDTF">2020-05-21T07:52:20Z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