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both"/>
        <w:rPr>
          <w:rFonts w:hint="eastAsia" w:ascii="黑体" w:hAnsi="黑体" w:eastAsia="黑体" w:cs="黑体"/>
          <w:sz w:val="32"/>
          <w:szCs w:val="32"/>
          <w:lang w:eastAsia="zh-CN"/>
        </w:rPr>
      </w:pPr>
      <w:bookmarkStart w:id="0" w:name="_Toc17033"/>
      <w:r>
        <w:rPr>
          <w:rFonts w:hint="eastAsia" w:ascii="黑体" w:hAnsi="黑体" w:eastAsia="黑体" w:cs="黑体"/>
          <w:sz w:val="32"/>
          <w:szCs w:val="32"/>
          <w:lang w:eastAsia="zh-CN"/>
        </w:rPr>
        <w:t>附件：</w:t>
      </w: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eastAsia="方正小标宋简体"/>
          <w:color w:val="auto"/>
          <w:sz w:val="44"/>
          <w:szCs w:val="44"/>
          <w:highlight w:val="none"/>
          <w:lang w:eastAsia="zh-CN"/>
        </w:rPr>
        <w:t>平罗县宁夏正东贸易</w:t>
      </w:r>
      <w:r>
        <w:rPr>
          <w:rFonts w:hint="eastAsia" w:ascii="方正小标宋简体" w:hAnsi="Times New Roman" w:eastAsia="方正小标宋简体"/>
          <w:color w:val="auto"/>
          <w:sz w:val="44"/>
          <w:szCs w:val="44"/>
          <w:highlight w:val="none"/>
          <w:lang w:eastAsia="zh-CN"/>
        </w:rPr>
        <w:t>有限公司</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9</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lang w:eastAsia="zh-CN"/>
        </w:rPr>
        <w:t>”一般</w:t>
      </w:r>
    </w:p>
    <w:p>
      <w:pPr>
        <w:pStyle w:val="30"/>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起重伤害生产安全事故</w:t>
      </w:r>
      <w:r>
        <w:rPr>
          <w:rFonts w:hint="eastAsia" w:ascii="方正小标宋简体" w:hAnsi="Times New Roman" w:eastAsia="方正小标宋简体"/>
          <w:color w:val="auto"/>
          <w:sz w:val="44"/>
          <w:szCs w:val="44"/>
          <w:highlight w:val="none"/>
          <w:lang w:eastAsia="zh-CN"/>
        </w:rPr>
        <w:t>案</w:t>
      </w:r>
      <w:r>
        <w:rPr>
          <w:rFonts w:hint="eastAsia" w:ascii="方正小标宋简体" w:hAnsi="Calibri" w:eastAsia="方正小标宋简体" w:cs="黑体"/>
          <w:color w:val="auto"/>
          <w:sz w:val="44"/>
          <w:szCs w:val="44"/>
          <w:highlight w:val="none"/>
          <w:lang w:eastAsia="zh-CN"/>
        </w:rPr>
        <w:t>调查报告</w:t>
      </w: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30"/>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rPr>
      </w:pPr>
    </w:p>
    <w:p>
      <w:pPr>
        <w:pStyle w:val="2"/>
        <w:ind w:left="0" w:leftChars="0" w:firstLine="0" w:firstLineChars="0"/>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平罗县宁夏正东贸易有限公司“</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lang w:eastAsia="zh-CN"/>
        </w:rPr>
        <w:t>”一般</w:t>
      </w:r>
    </w:p>
    <w:p>
      <w:pPr>
        <w:spacing w:before="0" w:beforeLines="0" w:after="0" w:afterLines="0" w:line="240" w:lineRule="auto"/>
        <w:ind w:left="0" w:leftChars="0" w:right="0" w:rightChars="0" w:firstLine="0" w:firstLineChars="0"/>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起重伤害生产安全事故案调查组</w:t>
      </w:r>
    </w:p>
    <w:p>
      <w:pPr>
        <w:pStyle w:val="2"/>
        <w:ind w:left="0" w:leftChars="0" w:firstLine="0" w:firstLineChars="0"/>
        <w:jc w:val="center"/>
        <w:rPr>
          <w:rFonts w:hint="eastAsia" w:ascii="方正小标宋_GBK" w:hAnsi="方正小标宋_GBK" w:eastAsia="方正小标宋_GBK" w:cs="方正小标宋_GBK"/>
          <w:sz w:val="44"/>
          <w:szCs w:val="44"/>
        </w:rPr>
      </w:pPr>
      <w:r>
        <w:rPr>
          <w:rFonts w:hint="eastAsia" w:ascii="微软雅黑" w:hAnsi="微软雅黑" w:eastAsia="微软雅黑" w:cs="微软雅黑"/>
          <w:sz w:val="32"/>
          <w:szCs w:val="32"/>
          <w:lang w:val="en-US" w:eastAsia="zh-CN"/>
        </w:rPr>
        <w:t>2025年10月10日</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p>
    <w:p>
      <w:pPr>
        <w:pStyle w:val="27"/>
        <w:tabs>
          <w:tab w:val="right" w:leader="dot" w:pos="8845"/>
        </w:tabs>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pPr>
        <w:pStyle w:val="27"/>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黑体" w:hAnsi="黑体" w:eastAsia="黑体" w:cs="黑体"/>
          <w:b/>
          <w:kern w:val="2"/>
          <w:sz w:val="24"/>
          <w:szCs w:val="24"/>
          <w:highlight w:val="none"/>
          <w:lang w:val="en-US" w:eastAsia="zh-CN"/>
        </w:rPr>
      </w:pPr>
      <w:r>
        <w:rPr>
          <w:rFonts w:hint="eastAsia" w:ascii="黑体" w:hAnsi="黑体" w:eastAsia="黑体" w:cs="黑体"/>
          <w:b/>
          <w:kern w:val="2"/>
          <w:sz w:val="24"/>
          <w:szCs w:val="24"/>
          <w:highlight w:val="none"/>
          <w:lang w:val="en-US" w:eastAsia="zh-CN"/>
        </w:rPr>
        <w:t>平罗县宁夏正东贸易有限公司“9·1”一般起重伤害生产安全事故案调查报告</w:t>
      </w:r>
      <w:r>
        <w:rPr>
          <w:rFonts w:hint="eastAsia" w:ascii="楷体_GB2312" w:hAnsi="楷体_GB2312" w:eastAsia="楷体_GB2312" w:cs="楷体_GB2312"/>
          <w:bCs/>
          <w:sz w:val="24"/>
          <w:szCs w:val="24"/>
          <w:highlight w:val="none"/>
          <w:lang w:val="en-US" w:eastAsia="zh-CN"/>
        </w:rPr>
        <w:tab/>
      </w:r>
      <w:r>
        <w:rPr>
          <w:rFonts w:hint="eastAsia" w:ascii="黑体" w:hAnsi="黑体" w:eastAsia="黑体" w:cs="黑体"/>
          <w:b/>
          <w:kern w:val="2"/>
          <w:sz w:val="24"/>
          <w:szCs w:val="24"/>
          <w:highlight w:val="none"/>
          <w:lang w:val="en-US" w:eastAsia="zh-CN"/>
        </w:rPr>
        <w:t xml:space="preserve"> </w:t>
      </w:r>
      <w:r>
        <w:rPr>
          <w:rFonts w:hint="eastAsia" w:ascii="楷体_GB2312" w:hAnsi="楷体_GB2312" w:eastAsia="楷体_GB2312" w:cs="楷体_GB2312"/>
          <w:bCs/>
          <w:sz w:val="24"/>
          <w:szCs w:val="24"/>
          <w:highlight w:val="none"/>
          <w:lang w:val="en-US" w:eastAsia="zh-CN"/>
        </w:rPr>
        <w:t>1</w:t>
      </w:r>
    </w:p>
    <w:p>
      <w:pPr>
        <w:pStyle w:val="27"/>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eastAsia="宋体"/>
          <w:b/>
          <w:sz w:val="24"/>
          <w:szCs w:val="24"/>
          <w:lang w:val="en-US" w:eastAsia="zh-CN"/>
        </w:rPr>
      </w:pPr>
      <w:r>
        <w:rPr>
          <w:b/>
          <w:sz w:val="24"/>
          <w:szCs w:val="24"/>
        </w:rPr>
        <w:fldChar w:fldCharType="begin"/>
      </w:r>
      <w:r>
        <w:rPr>
          <w:b/>
          <w:sz w:val="24"/>
          <w:szCs w:val="24"/>
        </w:rPr>
        <w:instrText xml:space="preserve"> HYPERLINK \l _Toc19838 </w:instrText>
      </w:r>
      <w:r>
        <w:rPr>
          <w:b/>
          <w:sz w:val="24"/>
          <w:szCs w:val="24"/>
        </w:rPr>
        <w:fldChar w:fldCharType="separate"/>
      </w:r>
      <w:r>
        <w:rPr>
          <w:rFonts w:hint="eastAsia" w:ascii="黑体" w:hAnsi="黑体" w:eastAsia="黑体" w:cs="黑体"/>
          <w:b/>
          <w:kern w:val="2"/>
          <w:sz w:val="24"/>
          <w:szCs w:val="24"/>
          <w:highlight w:val="none"/>
          <w:lang w:val="en-US" w:eastAsia="zh-CN"/>
        </w:rPr>
        <w:t>一、基本情况</w:t>
      </w:r>
      <w:r>
        <w:rPr>
          <w:b/>
          <w:sz w:val="24"/>
          <w:szCs w:val="24"/>
        </w:rPr>
        <w:fldChar w:fldCharType="end"/>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2</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fldChar w:fldCharType="begin"/>
      </w:r>
      <w:r>
        <w:rPr>
          <w:rFonts w:hint="eastAsia" w:ascii="楷体_GB2312" w:hAnsi="楷体_GB2312" w:eastAsia="楷体_GB2312" w:cs="楷体_GB2312"/>
          <w:bCs/>
          <w:sz w:val="24"/>
          <w:szCs w:val="24"/>
          <w:highlight w:val="none"/>
          <w:lang w:val="en-US" w:eastAsia="zh-CN"/>
        </w:rPr>
        <w:instrText xml:space="preserve"> HYPERLINK \l _Toc15279 </w:instrText>
      </w:r>
      <w:r>
        <w:rPr>
          <w:rFonts w:hint="eastAsia" w:ascii="楷体_GB2312" w:hAnsi="楷体_GB2312" w:eastAsia="楷体_GB2312" w:cs="楷体_GB2312"/>
          <w:bCs/>
          <w:sz w:val="24"/>
          <w:szCs w:val="24"/>
          <w:highlight w:val="none"/>
          <w:lang w:val="en-US" w:eastAsia="zh-CN"/>
        </w:rPr>
        <w:fldChar w:fldCharType="separate"/>
      </w:r>
      <w:r>
        <w:rPr>
          <w:rFonts w:hint="eastAsia" w:ascii="楷体_GB2312" w:hAnsi="楷体_GB2312" w:eastAsia="楷体_GB2312" w:cs="楷体_GB2312"/>
          <w:bCs/>
          <w:sz w:val="24"/>
          <w:szCs w:val="24"/>
          <w:highlight w:val="none"/>
          <w:lang w:val="en-US" w:eastAsia="zh-CN"/>
        </w:rPr>
        <w:t>（一）事故发生单位基本情况</w:t>
      </w:r>
      <w:r>
        <w:rPr>
          <w:rFonts w:hint="eastAsia" w:ascii="楷体_GB2312" w:hAnsi="楷体_GB2312" w:eastAsia="楷体_GB2312" w:cs="楷体_GB2312"/>
          <w:bCs/>
          <w:sz w:val="24"/>
          <w:szCs w:val="24"/>
          <w:highlight w:val="none"/>
          <w:lang w:val="en-US" w:eastAsia="zh-CN"/>
        </w:rPr>
        <w:fldChar w:fldCharType="end"/>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2</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（二）事故发生经过及救援情况</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3</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（三）事故现场勘查情况</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4</w:t>
      </w:r>
    </w:p>
    <w:p>
      <w:pPr>
        <w:keepNext w:val="0"/>
        <w:keepLines w:val="0"/>
        <w:pageBreakBefore w:val="0"/>
        <w:tabs>
          <w:tab w:val="right" w:leader="dot" w:pos="8845"/>
        </w:tabs>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kern w:val="0"/>
          <w:sz w:val="24"/>
          <w:szCs w:val="24"/>
          <w:highlight w:val="none"/>
          <w:lang w:val="en-US" w:eastAsia="zh-CN"/>
        </w:rPr>
        <w:t>（四）事故应急处置评估</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 xml:space="preserve">7 </w:t>
      </w:r>
    </w:p>
    <w:p>
      <w:pPr>
        <w:pStyle w:val="27"/>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黑体" w:hAnsi="黑体" w:eastAsia="黑体" w:cs="黑体"/>
          <w:b/>
          <w:kern w:val="2"/>
          <w:sz w:val="24"/>
          <w:szCs w:val="24"/>
          <w:highlight w:val="none"/>
          <w:lang w:val="en-US" w:eastAsia="zh-CN"/>
        </w:rPr>
      </w:pPr>
      <w:r>
        <w:rPr>
          <w:rFonts w:hint="eastAsia" w:ascii="黑体" w:hAnsi="黑体" w:eastAsia="黑体" w:cs="黑体"/>
          <w:b/>
          <w:kern w:val="2"/>
          <w:sz w:val="24"/>
          <w:szCs w:val="24"/>
          <w:highlight w:val="none"/>
          <w:lang w:val="en-US" w:eastAsia="zh-CN"/>
        </w:rPr>
        <w:t>二、事故造成人员伤亡和直接经济损失</w:t>
      </w:r>
      <w:r>
        <w:rPr>
          <w:rFonts w:hint="eastAsia" w:ascii="楷体_GB2312" w:hAnsi="楷体_GB2312" w:eastAsia="楷体_GB2312" w:cs="楷体_GB2312"/>
          <w:bCs/>
          <w:kern w:val="0"/>
          <w:sz w:val="24"/>
          <w:szCs w:val="24"/>
          <w:highlight w:val="none"/>
          <w:lang w:val="en-US" w:eastAsia="zh-CN" w:bidi="ar-SA"/>
        </w:rPr>
        <w:tab/>
      </w:r>
      <w:r>
        <w:rPr>
          <w:rFonts w:hint="eastAsia" w:ascii="楷体_GB2312" w:hAnsi="楷体_GB2312" w:eastAsia="楷体_GB2312" w:cs="楷体_GB2312"/>
          <w:bCs/>
          <w:sz w:val="24"/>
          <w:szCs w:val="24"/>
          <w:highlight w:val="none"/>
          <w:lang w:val="en-US" w:eastAsia="zh-CN"/>
        </w:rPr>
        <w:t>7</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（一）死亡人员基本情况</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7</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（二）善后处理情况</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7</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Cs/>
          <w:sz w:val="24"/>
          <w:szCs w:val="24"/>
          <w:highlight w:val="none"/>
          <w:lang w:val="en-US" w:eastAsia="zh-CN"/>
        </w:rPr>
        <w:t>（三）直接经济损失</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7</w:t>
      </w:r>
    </w:p>
    <w:p>
      <w:pPr>
        <w:pStyle w:val="27"/>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黑体" w:hAnsi="黑体" w:eastAsia="黑体" w:cs="黑体"/>
          <w:b/>
          <w:kern w:val="2"/>
          <w:sz w:val="24"/>
          <w:szCs w:val="24"/>
          <w:highlight w:val="none"/>
          <w:lang w:val="en-US" w:eastAsia="zh-CN"/>
        </w:rPr>
      </w:pPr>
      <w:r>
        <w:rPr>
          <w:rFonts w:hint="eastAsia" w:ascii="黑体" w:hAnsi="黑体" w:eastAsia="黑体" w:cs="黑体"/>
          <w:b/>
          <w:kern w:val="2"/>
          <w:sz w:val="24"/>
          <w:szCs w:val="24"/>
          <w:highlight w:val="none"/>
          <w:lang w:val="en-US" w:eastAsia="zh-CN"/>
        </w:rPr>
        <w:t>三、事故发生原因和性质</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7</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default" w:ascii="楷体_GB2312" w:hAnsi="楷体_GB2312" w:eastAsia="楷体_GB2312" w:cs="楷体_GB2312"/>
          <w:bCs/>
          <w:sz w:val="24"/>
          <w:szCs w:val="24"/>
          <w:highlight w:val="none"/>
          <w:lang w:val="en-US" w:eastAsia="zh-CN"/>
        </w:rPr>
        <w:t>（一）直接原因</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7</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（二）</w:t>
      </w:r>
      <w:r>
        <w:rPr>
          <w:rFonts w:hint="default" w:ascii="楷体_GB2312" w:hAnsi="楷体_GB2312" w:eastAsia="楷体_GB2312" w:cs="楷体_GB2312"/>
          <w:bCs/>
          <w:sz w:val="24"/>
          <w:szCs w:val="24"/>
          <w:highlight w:val="none"/>
          <w:lang w:val="en-US" w:eastAsia="zh-CN"/>
        </w:rPr>
        <w:t>间接原因</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8</w:t>
      </w:r>
    </w:p>
    <w:p>
      <w:pPr>
        <w:pStyle w:val="27"/>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黑体" w:hAnsi="黑体" w:eastAsia="黑体" w:cs="黑体"/>
          <w:b/>
          <w:kern w:val="2"/>
          <w:sz w:val="24"/>
          <w:szCs w:val="24"/>
          <w:highlight w:val="none"/>
          <w:lang w:val="en-US" w:eastAsia="zh-CN"/>
        </w:rPr>
      </w:pPr>
      <w:r>
        <w:rPr>
          <w:rFonts w:hint="eastAsia" w:ascii="黑体" w:hAnsi="黑体" w:eastAsia="黑体" w:cs="黑体"/>
          <w:b/>
          <w:kern w:val="2"/>
          <w:sz w:val="24"/>
          <w:szCs w:val="24"/>
          <w:highlight w:val="none"/>
          <w:lang w:val="en-US" w:eastAsia="zh-CN"/>
        </w:rPr>
        <w:t>四、事故责任认定及处理建议</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8</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（一）因在事故中死亡免予或不子追究责任人员</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9</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（二）对事故有关责任人员和责任单位的行政处罚建议</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9</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黑体" w:eastAsia="楷体_GB2312" w:cs="Times New Roman"/>
          <w:b/>
          <w:color w:val="auto"/>
          <w:sz w:val="32"/>
          <w:szCs w:val="32"/>
          <w:highlight w:val="none"/>
          <w:lang w:val="en-US" w:eastAsia="zh-CN"/>
        </w:rPr>
      </w:pPr>
      <w:r>
        <w:rPr>
          <w:rFonts w:hint="eastAsia" w:ascii="楷体_GB2312" w:hAnsi="楷体_GB2312" w:eastAsia="楷体_GB2312" w:cs="楷体_GB2312"/>
          <w:bCs/>
          <w:sz w:val="24"/>
          <w:szCs w:val="24"/>
          <w:highlight w:val="none"/>
          <w:lang w:val="en-US" w:eastAsia="zh-CN"/>
        </w:rPr>
        <w:t>（</w:t>
      </w:r>
      <w:r>
        <w:rPr>
          <w:rFonts w:hint="default" w:ascii="楷体_GB2312" w:hAnsi="楷体_GB2312" w:eastAsia="楷体_GB2312" w:cs="楷体_GB2312"/>
          <w:bCs/>
          <w:sz w:val="24"/>
          <w:szCs w:val="24"/>
          <w:highlight w:val="none"/>
          <w:lang w:val="en-US" w:eastAsia="zh-CN"/>
        </w:rPr>
        <w:t>三）</w:t>
      </w:r>
      <w:r>
        <w:rPr>
          <w:rFonts w:hint="eastAsia" w:ascii="楷体_GB2312" w:hAnsi="楷体_GB2312" w:eastAsia="楷体_GB2312" w:cs="楷体_GB2312"/>
          <w:bCs/>
          <w:sz w:val="24"/>
          <w:szCs w:val="24"/>
          <w:highlight w:val="none"/>
          <w:lang w:val="en-US" w:eastAsia="zh-CN"/>
        </w:rPr>
        <w:t>相关部门监管责任及处理建议</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12</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default" w:ascii="黑体" w:hAnsi="黑体" w:eastAsia="黑体" w:cs="黑体"/>
          <w:b/>
          <w:kern w:val="2"/>
          <w:sz w:val="24"/>
          <w:szCs w:val="24"/>
          <w:highlight w:val="none"/>
          <w:lang w:val="en-US" w:eastAsia="zh-CN"/>
        </w:rPr>
      </w:pPr>
      <w:r>
        <w:rPr>
          <w:rFonts w:hint="eastAsia" w:ascii="黑体" w:hAnsi="黑体" w:eastAsia="黑体" w:cs="黑体"/>
          <w:b/>
          <w:kern w:val="2"/>
          <w:sz w:val="24"/>
          <w:szCs w:val="24"/>
          <w:highlight w:val="none"/>
          <w:lang w:val="en-US" w:eastAsia="zh-CN"/>
        </w:rPr>
        <w:t>五、事故主要教训</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12</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ind w:left="0" w:leftChars="0" w:firstLine="0" w:firstLineChars="0"/>
        <w:textAlignment w:val="auto"/>
        <w:rPr>
          <w:rFonts w:hint="default" w:ascii="黑体" w:hAnsi="黑体" w:eastAsia="黑体" w:cs="黑体"/>
          <w:b/>
          <w:kern w:val="2"/>
          <w:sz w:val="24"/>
          <w:szCs w:val="24"/>
          <w:highlight w:val="none"/>
          <w:lang w:val="en-US" w:eastAsia="zh-CN"/>
        </w:rPr>
      </w:pPr>
      <w:r>
        <w:rPr>
          <w:rFonts w:hint="eastAsia" w:ascii="黑体" w:hAnsi="黑体" w:eastAsia="黑体" w:cs="黑体"/>
          <w:b/>
          <w:kern w:val="2"/>
          <w:sz w:val="24"/>
          <w:szCs w:val="24"/>
          <w:highlight w:val="none"/>
          <w:lang w:val="en-US" w:eastAsia="zh-CN"/>
        </w:rPr>
        <w:t>六、事故防范和整改措施</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13</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（一）落实主体责任，加强安全管理</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13</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（二）吸取事故教训，剖析事故原因</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13</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（三）定期隐患排查，确保设施安全</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14</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default" w:ascii="楷体_GB2312" w:hAnsi="楷体_GB2312" w:eastAsia="楷体_GB2312" w:cs="楷体_GB2312"/>
          <w:bCs/>
          <w:sz w:val="24"/>
          <w:szCs w:val="24"/>
          <w:highlight w:val="none"/>
          <w:lang w:val="en-US" w:eastAsia="zh-CN"/>
        </w:rPr>
      </w:pPr>
      <w:r>
        <w:rPr>
          <w:rFonts w:hint="eastAsia" w:ascii="楷体_GB2312" w:hAnsi="楷体_GB2312" w:eastAsia="楷体_GB2312" w:cs="楷体_GB2312"/>
          <w:bCs/>
          <w:sz w:val="24"/>
          <w:szCs w:val="24"/>
          <w:highlight w:val="none"/>
          <w:lang w:val="en-US" w:eastAsia="zh-CN"/>
        </w:rPr>
        <w:t>（四）加强教育培训，提高安全意识</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14</w:t>
      </w:r>
    </w:p>
    <w:p>
      <w:pPr>
        <w:pStyle w:val="28"/>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lang w:val="en-US" w:eastAsia="zh-CN"/>
        </w:rPr>
      </w:pPr>
      <w:r>
        <w:rPr>
          <w:rFonts w:hint="eastAsia" w:ascii="楷体_GB2312" w:hAnsi="楷体_GB2312" w:eastAsia="楷体_GB2312" w:cs="楷体_GB2312"/>
          <w:bCs/>
          <w:sz w:val="24"/>
          <w:szCs w:val="24"/>
          <w:highlight w:val="none"/>
          <w:lang w:val="en-US" w:eastAsia="zh-CN"/>
        </w:rPr>
        <w:t>（五）强化监管责任，整治监管盲区</w:t>
      </w:r>
      <w:r>
        <w:rPr>
          <w:rFonts w:hint="eastAsia" w:ascii="楷体_GB2312" w:hAnsi="楷体_GB2312" w:eastAsia="楷体_GB2312" w:cs="楷体_GB2312"/>
          <w:bCs/>
          <w:sz w:val="24"/>
          <w:szCs w:val="24"/>
          <w:highlight w:val="none"/>
          <w:lang w:val="en-US" w:eastAsia="zh-CN"/>
        </w:rPr>
        <w:tab/>
      </w:r>
      <w:r>
        <w:rPr>
          <w:rFonts w:hint="eastAsia" w:ascii="楷体_GB2312" w:hAnsi="楷体_GB2312" w:eastAsia="楷体_GB2312" w:cs="楷体_GB2312"/>
          <w:bCs/>
          <w:sz w:val="24"/>
          <w:szCs w:val="24"/>
          <w:highlight w:val="none"/>
          <w:lang w:val="en-US" w:eastAsia="zh-CN"/>
        </w:rPr>
        <w:t>14</w:t>
      </w: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Pr>
        <w:pStyle w:val="30"/>
        <w:keepNext w:val="0"/>
        <w:keepLines w:val="0"/>
        <w:pageBreakBefore w:val="0"/>
        <w:widowControl w:val="0"/>
        <w:kinsoku/>
        <w:wordWrap/>
        <w:overflowPunct/>
        <w:topLinePunct w:val="0"/>
        <w:bidi w:val="0"/>
        <w:snapToGrid/>
        <w:spacing w:beforeAutospacing="0" w:line="560" w:lineRule="exact"/>
        <w:jc w:val="center"/>
        <w:textAlignment w:val="auto"/>
        <w:rPr>
          <w:rFonts w:hint="eastAsia" w:ascii="方正小标宋简体" w:eastAsia="方正小标宋简体"/>
          <w:color w:val="auto"/>
          <w:sz w:val="44"/>
          <w:szCs w:val="44"/>
          <w:highlight w:val="none"/>
          <w:lang w:eastAsia="zh-CN"/>
        </w:rPr>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highlight w:val="none"/>
          <w:lang w:eastAsia="zh-CN"/>
        </w:rPr>
        <w:sectPr>
          <w:headerReference r:id="rId4" w:type="first"/>
          <w:footerReference r:id="rId6" w:type="first"/>
          <w:footerReference r:id="rId5" w:type="default"/>
          <w:pgSz w:w="11906" w:h="16838"/>
          <w:pgMar w:top="2098" w:right="1474" w:bottom="1984" w:left="1587"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eastAsia="方正小标宋简体"/>
          <w:color w:val="auto"/>
          <w:sz w:val="44"/>
          <w:szCs w:val="44"/>
          <w:highlight w:val="none"/>
          <w:lang w:eastAsia="zh-CN"/>
        </w:rPr>
        <w:t>平罗县宁夏正东贸易</w:t>
      </w:r>
      <w:r>
        <w:rPr>
          <w:rFonts w:hint="eastAsia" w:ascii="方正小标宋简体" w:hAnsi="Times New Roman" w:eastAsia="方正小标宋简体"/>
          <w:color w:val="auto"/>
          <w:sz w:val="44"/>
          <w:szCs w:val="44"/>
          <w:highlight w:val="none"/>
          <w:lang w:eastAsia="zh-CN"/>
        </w:rPr>
        <w:t>有限公司</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9</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lang w:eastAsia="zh-CN"/>
        </w:rPr>
        <w:t>”一般起重伤害生产安全事故</w:t>
      </w:r>
      <w:r>
        <w:rPr>
          <w:rFonts w:hint="eastAsia" w:ascii="方正小标宋简体" w:hAnsi="Times New Roman" w:eastAsia="方正小标宋简体"/>
          <w:color w:val="auto"/>
          <w:sz w:val="44"/>
          <w:szCs w:val="44"/>
          <w:highlight w:val="none"/>
          <w:lang w:eastAsia="zh-CN"/>
        </w:rPr>
        <w:t>案</w:t>
      </w:r>
      <w:r>
        <w:rPr>
          <w:rFonts w:hint="eastAsia" w:ascii="方正小标宋简体" w:hAnsi="Calibri" w:eastAsia="方正小标宋简体" w:cs="黑体"/>
          <w:color w:val="auto"/>
          <w:sz w:val="44"/>
          <w:szCs w:val="44"/>
          <w:highlight w:val="none"/>
          <w:lang w:eastAsia="zh-CN"/>
        </w:rPr>
        <w:t>调查报告</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Calibri" w:eastAsia="方正小标宋简体" w:cs="黑体"/>
          <w:color w:val="auto"/>
          <w:sz w:val="44"/>
          <w:szCs w:val="44"/>
          <w:highlight w:val="none"/>
          <w:lang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lang w:val="en-US" w:eastAsia="zh-CN"/>
        </w:rPr>
        <w:t>2025年9月1日15时30分</w:t>
      </w:r>
      <w:r>
        <w:rPr>
          <w:rFonts w:hint="eastAsia" w:ascii="仿宋_GB2312" w:hAnsi="仿宋_GB2312" w:eastAsia="仿宋_GB2312" w:cs="仿宋_GB2312"/>
          <w:color w:val="auto"/>
          <w:sz w:val="32"/>
          <w:szCs w:val="32"/>
          <w:highlight w:val="none"/>
          <w:lang w:val="en-US" w:eastAsia="zh-CN"/>
        </w:rPr>
        <w:t>许，位于宁夏平罗工业园区崇岗园的</w:t>
      </w:r>
      <w:r>
        <w:rPr>
          <w:rFonts w:hint="eastAsia" w:ascii="仿宋_GB2312" w:eastAsia="仿宋_GB2312"/>
          <w:color w:val="auto"/>
          <w:sz w:val="32"/>
          <w:szCs w:val="32"/>
          <w:lang w:val="en-US" w:eastAsia="zh-CN"/>
        </w:rPr>
        <w:t>宁夏正东贸易有限公司2#活化炉炉顶发生一起起重伤害事故，造成1人受伤，</w:t>
      </w:r>
      <w:r>
        <w:rPr>
          <w:rFonts w:hint="eastAsia" w:ascii="仿宋_GB2312" w:eastAsia="仿宋_GB2312"/>
          <w:color w:val="auto"/>
          <w:sz w:val="32"/>
          <w:szCs w:val="32"/>
          <w:highlight w:val="none"/>
          <w:lang w:val="en-US" w:eastAsia="zh-CN"/>
        </w:rPr>
        <w:t>经抢救无效死亡，直接经济损失约140万元。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color w:val="auto"/>
          <w:sz w:val="32"/>
          <w:szCs w:val="32"/>
          <w:highlight w:val="none"/>
          <w:lang w:val="en-US" w:eastAsia="zh-CN"/>
        </w:rPr>
      </w:pPr>
      <w:r>
        <w:rPr>
          <w:rFonts w:hint="eastAsia" w:ascii="仿宋_GB2312" w:hAnsi="黑体" w:eastAsia="仿宋_GB2312" w:cs="Times New Roman"/>
          <w:color w:val="auto"/>
          <w:sz w:val="32"/>
          <w:szCs w:val="32"/>
          <w:highlight w:val="none"/>
        </w:rPr>
        <w:t>根据《中华人民共和国安全生产法》第八十</w:t>
      </w:r>
      <w:r>
        <w:rPr>
          <w:rFonts w:hint="eastAsia" w:ascii="仿宋_GB2312" w:hAnsi="黑体" w:eastAsia="仿宋_GB2312" w:cs="Times New Roman"/>
          <w:color w:val="auto"/>
          <w:sz w:val="32"/>
          <w:szCs w:val="32"/>
          <w:highlight w:val="none"/>
          <w:lang w:eastAsia="zh-CN"/>
        </w:rPr>
        <w:t>六</w:t>
      </w:r>
      <w:r>
        <w:rPr>
          <w:rFonts w:hint="eastAsia" w:ascii="仿宋_GB2312" w:hAnsi="黑体" w:eastAsia="仿宋_GB2312" w:cs="Times New Roman"/>
          <w:color w:val="auto"/>
          <w:sz w:val="32"/>
          <w:szCs w:val="32"/>
          <w:highlight w:val="none"/>
        </w:rPr>
        <w:t>条</w:t>
      </w:r>
      <w:r>
        <w:rPr>
          <w:rFonts w:hint="eastAsia" w:ascii="仿宋_GB2312" w:hAnsi="黑体" w:eastAsia="仿宋_GB2312" w:cs="Times New Roman"/>
          <w:color w:val="auto"/>
          <w:sz w:val="32"/>
          <w:szCs w:val="32"/>
          <w:highlight w:val="none"/>
          <w:lang w:eastAsia="zh-CN"/>
        </w:rPr>
        <w:t>第一款</w:t>
      </w:r>
      <w:r>
        <w:rPr>
          <w:rFonts w:hint="eastAsia" w:ascii="仿宋_GB2312" w:hAnsi="黑体" w:eastAsia="仿宋_GB2312" w:cs="Times New Roman"/>
          <w:color w:val="auto"/>
          <w:sz w:val="32"/>
          <w:szCs w:val="32"/>
          <w:highlight w:val="none"/>
          <w:vertAlign w:val="superscript"/>
        </w:rPr>
        <w:footnoteReference w:id="0"/>
      </w:r>
      <w:r>
        <w:rPr>
          <w:rFonts w:hint="eastAsia" w:ascii="仿宋_GB2312" w:hAnsi="黑体" w:eastAsia="仿宋_GB2312" w:cs="Times New Roman"/>
          <w:color w:val="auto"/>
          <w:sz w:val="32"/>
          <w:szCs w:val="32"/>
          <w:highlight w:val="none"/>
        </w:rPr>
        <w:t>、《生产安全事故报告和调查处理条例》（国务院令第</w:t>
      </w:r>
      <w:r>
        <w:rPr>
          <w:rFonts w:hint="eastAsia" w:ascii="仿宋_GB2312" w:hAnsi="黑体" w:eastAsia="仿宋_GB2312" w:cs="Times New Roman"/>
          <w:color w:val="auto"/>
          <w:sz w:val="32"/>
          <w:szCs w:val="32"/>
          <w:highlight w:val="none"/>
          <w:lang w:val="en-US" w:eastAsia="zh-CN"/>
        </w:rPr>
        <w:t>493</w:t>
      </w:r>
      <w:r>
        <w:rPr>
          <w:rFonts w:hint="eastAsia" w:ascii="仿宋_GB2312" w:hAnsi="黑体" w:eastAsia="仿宋_GB2312" w:cs="Times New Roman"/>
          <w:color w:val="auto"/>
          <w:sz w:val="32"/>
          <w:szCs w:val="32"/>
          <w:highlight w:val="none"/>
        </w:rPr>
        <w:t>号）第十九条</w:t>
      </w:r>
      <w:r>
        <w:rPr>
          <w:rFonts w:hint="eastAsia" w:ascii="仿宋_GB2312" w:hAnsi="黑体" w:eastAsia="仿宋_GB2312" w:cs="Times New Roman"/>
          <w:color w:val="auto"/>
          <w:sz w:val="32"/>
          <w:szCs w:val="32"/>
          <w:highlight w:val="none"/>
          <w:lang w:eastAsia="zh-CN"/>
        </w:rPr>
        <w:t>第二款</w:t>
      </w:r>
      <w:r>
        <w:rPr>
          <w:rFonts w:hint="eastAsia" w:ascii="仿宋_GB2312" w:hAnsi="黑体" w:eastAsia="仿宋_GB2312" w:cs="Times New Roman"/>
          <w:color w:val="auto"/>
          <w:sz w:val="32"/>
          <w:szCs w:val="32"/>
          <w:highlight w:val="none"/>
          <w:vertAlign w:val="superscript"/>
        </w:rPr>
        <w:footnoteReference w:id="1"/>
      </w:r>
      <w:r>
        <w:rPr>
          <w:rFonts w:hint="eastAsia" w:ascii="仿宋_GB2312" w:hAnsi="黑体" w:eastAsia="仿宋_GB2312" w:cs="Times New Roman"/>
          <w:color w:val="auto"/>
          <w:sz w:val="32"/>
          <w:szCs w:val="32"/>
          <w:highlight w:val="none"/>
        </w:rPr>
        <w:t>、第二十二条</w:t>
      </w:r>
      <w:r>
        <w:rPr>
          <w:rFonts w:hint="eastAsia" w:ascii="仿宋_GB2312" w:hAnsi="黑体" w:eastAsia="仿宋_GB2312" w:cs="Times New Roman"/>
          <w:color w:val="auto"/>
          <w:sz w:val="32"/>
          <w:szCs w:val="32"/>
          <w:highlight w:val="none"/>
          <w:lang w:eastAsia="zh-CN"/>
        </w:rPr>
        <w:t>第二款</w:t>
      </w:r>
      <w:r>
        <w:rPr>
          <w:rFonts w:hint="eastAsia" w:ascii="仿宋_GB2312" w:hAnsi="黑体" w:eastAsia="仿宋_GB2312" w:cs="Times New Roman"/>
          <w:color w:val="auto"/>
          <w:sz w:val="32"/>
          <w:szCs w:val="32"/>
          <w:highlight w:val="none"/>
          <w:vertAlign w:val="superscript"/>
        </w:rPr>
        <w:footnoteReference w:id="2"/>
      </w:r>
      <w:r>
        <w:rPr>
          <w:rFonts w:hint="eastAsia" w:ascii="仿宋_GB2312" w:hAnsi="黑体" w:eastAsia="仿宋_GB2312" w:cs="Times New Roman"/>
          <w:color w:val="auto"/>
          <w:sz w:val="32"/>
          <w:szCs w:val="32"/>
          <w:highlight w:val="none"/>
        </w:rPr>
        <w:t>、第二十四条</w:t>
      </w:r>
      <w:r>
        <w:rPr>
          <w:rFonts w:hint="eastAsia" w:ascii="仿宋_GB2312" w:hAnsi="黑体" w:eastAsia="仿宋_GB2312" w:cs="Times New Roman"/>
          <w:color w:val="auto"/>
          <w:sz w:val="32"/>
          <w:szCs w:val="32"/>
          <w:highlight w:val="none"/>
          <w:vertAlign w:val="superscript"/>
        </w:rPr>
        <w:footnoteReference w:id="3"/>
      </w:r>
      <w:r>
        <w:rPr>
          <w:rFonts w:hint="eastAsia" w:ascii="仿宋_GB2312" w:hAnsi="黑体" w:eastAsia="仿宋_GB2312" w:cs="Times New Roman"/>
          <w:color w:val="auto"/>
          <w:sz w:val="32"/>
          <w:szCs w:val="32"/>
          <w:highlight w:val="none"/>
        </w:rPr>
        <w:t>之规定，经</w:t>
      </w:r>
      <w:r>
        <w:rPr>
          <w:rFonts w:hint="eastAsia" w:ascii="仿宋_GB2312" w:hAnsi="黑体" w:eastAsia="仿宋_GB2312" w:cs="Times New Roman"/>
          <w:color w:val="auto"/>
          <w:sz w:val="32"/>
          <w:szCs w:val="32"/>
          <w:highlight w:val="none"/>
          <w:lang w:eastAsia="zh-CN"/>
        </w:rPr>
        <w:t>报</w:t>
      </w:r>
      <w:r>
        <w:rPr>
          <w:rFonts w:hint="eastAsia" w:ascii="仿宋_GB2312" w:hAnsi="黑体" w:eastAsia="仿宋_GB2312" w:cs="Times New Roman"/>
          <w:color w:val="auto"/>
          <w:sz w:val="32"/>
          <w:szCs w:val="32"/>
          <w:highlight w:val="none"/>
        </w:rPr>
        <w:t>县人民政府研究</w:t>
      </w:r>
      <w:r>
        <w:rPr>
          <w:rFonts w:hint="eastAsia" w:ascii="仿宋_GB2312" w:hAnsi="黑体" w:eastAsia="仿宋_GB2312" w:cs="Times New Roman"/>
          <w:color w:val="auto"/>
          <w:sz w:val="32"/>
          <w:szCs w:val="32"/>
          <w:highlight w:val="none"/>
          <w:lang w:eastAsia="zh-CN"/>
        </w:rPr>
        <w:t>批准，</w:t>
      </w:r>
      <w:r>
        <w:rPr>
          <w:rFonts w:hint="eastAsia" w:ascii="仿宋_GB2312" w:hAnsi="黑体" w:eastAsia="仿宋_GB2312" w:cs="Times New Roman"/>
          <w:color w:val="auto"/>
          <w:sz w:val="32"/>
          <w:szCs w:val="32"/>
          <w:highlight w:val="none"/>
        </w:rPr>
        <w:t>成立了</w:t>
      </w:r>
      <w:r>
        <w:rPr>
          <w:rFonts w:hint="eastAsia" w:ascii="仿宋_GB2312" w:hAnsi="黑体" w:eastAsia="仿宋_GB2312" w:cs="Times New Roman"/>
          <w:color w:val="auto"/>
          <w:sz w:val="32"/>
          <w:szCs w:val="32"/>
          <w:highlight w:val="none"/>
          <w:lang w:eastAsia="zh-CN"/>
        </w:rPr>
        <w:t>平罗县</w:t>
      </w:r>
      <w:r>
        <w:rPr>
          <w:rFonts w:hint="eastAsia" w:ascii="仿宋_GB2312" w:eastAsia="仿宋_GB2312"/>
          <w:color w:val="auto"/>
          <w:sz w:val="32"/>
          <w:szCs w:val="32"/>
          <w:lang w:val="en-US" w:eastAsia="zh-CN"/>
        </w:rPr>
        <w:t>宁夏正东贸易有限公司“9·1”一般生产安全事故案</w:t>
      </w:r>
      <w:r>
        <w:rPr>
          <w:rFonts w:hint="eastAsia" w:ascii="仿宋_GB2312" w:eastAsia="仿宋_GB2312"/>
          <w:color w:val="auto"/>
          <w:sz w:val="32"/>
          <w:szCs w:val="32"/>
          <w:lang w:eastAsia="zh-CN"/>
        </w:rPr>
        <w:t>调查组</w:t>
      </w:r>
      <w:r>
        <w:rPr>
          <w:rFonts w:hint="eastAsia" w:ascii="仿宋_GB2312" w:hAnsi="黑体" w:eastAsia="仿宋_GB2312" w:cs="Times New Roman"/>
          <w:color w:val="auto"/>
          <w:sz w:val="32"/>
          <w:szCs w:val="32"/>
          <w:highlight w:val="none"/>
        </w:rPr>
        <w:t>（以下简称为事故调查组），</w:t>
      </w:r>
      <w:r>
        <w:rPr>
          <w:rFonts w:hint="eastAsia" w:ascii="仿宋_GB2312" w:hAnsi="黑体" w:eastAsia="仿宋_GB2312" w:cs="Times New Roman"/>
          <w:color w:val="auto"/>
          <w:sz w:val="32"/>
          <w:szCs w:val="32"/>
          <w:highlight w:val="none"/>
          <w:lang w:eastAsia="zh-CN"/>
        </w:rPr>
        <w:t>由</w:t>
      </w:r>
      <w:r>
        <w:rPr>
          <w:rFonts w:hint="eastAsia" w:ascii="仿宋_GB2312" w:hAnsi="黑体" w:eastAsia="仿宋_GB2312" w:cs="Times New Roman"/>
          <w:color w:val="auto"/>
          <w:sz w:val="32"/>
          <w:szCs w:val="32"/>
          <w:highlight w:val="none"/>
        </w:rPr>
        <w:t>县</w:t>
      </w:r>
      <w:r>
        <w:rPr>
          <w:rFonts w:hint="eastAsia" w:ascii="仿宋_GB2312" w:hAnsi="黑体" w:eastAsia="仿宋_GB2312" w:cs="Times New Roman"/>
          <w:color w:val="auto"/>
          <w:sz w:val="32"/>
          <w:szCs w:val="32"/>
          <w:highlight w:val="none"/>
          <w:lang w:val="en-US" w:eastAsia="zh-CN"/>
        </w:rPr>
        <w:t>应急管理局局长担任调查组组长，县应急管理局、</w:t>
      </w:r>
      <w:r>
        <w:rPr>
          <w:rFonts w:hint="eastAsia" w:ascii="仿宋_GB2312" w:hAnsi="仿宋_GB2312" w:eastAsia="仿宋_GB2312" w:cs="仿宋_GB2312"/>
          <w:color w:val="auto"/>
          <w:sz w:val="32"/>
          <w:szCs w:val="32"/>
          <w:lang w:val="en-US" w:eastAsia="zh-CN"/>
        </w:rPr>
        <w:t>平罗县工业园区服务中心、公安局、工信局、人社局、总工会组成事故调查组，</w:t>
      </w:r>
      <w:r>
        <w:rPr>
          <w:rFonts w:hint="eastAsia" w:ascii="仿宋_GB2312" w:eastAsia="仿宋_GB2312"/>
          <w:color w:val="auto"/>
          <w:sz w:val="32"/>
          <w:szCs w:val="32"/>
        </w:rPr>
        <w:t>邀请县</w:t>
      </w:r>
      <w:r>
        <w:rPr>
          <w:rFonts w:hint="eastAsia" w:ascii="仿宋_GB2312" w:eastAsia="仿宋_GB2312"/>
          <w:color w:val="auto"/>
          <w:sz w:val="32"/>
          <w:szCs w:val="32"/>
          <w:lang w:eastAsia="zh-CN"/>
        </w:rPr>
        <w:t>纪委监委和县检察院</w:t>
      </w:r>
      <w:r>
        <w:rPr>
          <w:rFonts w:hint="eastAsia" w:ascii="仿宋_GB2312" w:eastAsia="仿宋_GB2312"/>
          <w:color w:val="auto"/>
          <w:sz w:val="32"/>
          <w:szCs w:val="32"/>
        </w:rPr>
        <w:t>派员参加，</w:t>
      </w:r>
      <w:r>
        <w:rPr>
          <w:rFonts w:hint="eastAsia" w:ascii="仿宋_GB2312" w:eastAsia="仿宋_GB2312"/>
          <w:color w:val="auto"/>
          <w:sz w:val="32"/>
          <w:szCs w:val="32"/>
          <w:lang w:eastAsia="zh-CN"/>
        </w:rPr>
        <w:t>依法依规对事故进行调查。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color w:val="auto"/>
          <w:sz w:val="32"/>
          <w:szCs w:val="32"/>
          <w:highlight w:val="none"/>
          <w:lang w:val="en-US" w:eastAsia="zh-CN"/>
        </w:rPr>
      </w:pPr>
      <w:r>
        <w:rPr>
          <w:rFonts w:hint="eastAsia" w:ascii="仿宋_GB2312" w:hAnsi="黑体" w:eastAsia="仿宋_GB2312" w:cs="Times New Roman"/>
          <w:color w:val="auto"/>
          <w:sz w:val="32"/>
          <w:szCs w:val="32"/>
          <w:highlight w:val="none"/>
          <w:lang w:val="en-US" w:eastAsia="zh-CN"/>
        </w:rPr>
        <w:t>事故调查组按照“四不放过”和“科学严谨、依法依规、实事求是、注重实效”的原则，通过现场勘验、询问谈话、查阅资料、调取视频监控等调查取证，查明了事故发生的经过、原因、人员伤亡和直接经济损失，认定了事故性质和责任，提出了对责任单位、有关责任人员的处理意见和整改措施建议，并形成了平罗县</w:t>
      </w:r>
      <w:r>
        <w:rPr>
          <w:rFonts w:hint="eastAsia" w:ascii="仿宋_GB2312" w:eastAsia="仿宋_GB2312"/>
          <w:color w:val="auto"/>
          <w:sz w:val="32"/>
          <w:szCs w:val="32"/>
          <w:lang w:val="en-US" w:eastAsia="zh-CN"/>
        </w:rPr>
        <w:t>宁夏正东贸易有限公司“9·1”一般起重伤害生产安全事故</w:t>
      </w:r>
      <w:r>
        <w:rPr>
          <w:rFonts w:hint="eastAsia" w:ascii="仿宋_GB2312" w:hAnsi="黑体" w:eastAsia="仿宋_GB2312" w:cs="Times New Roman"/>
          <w:color w:val="auto"/>
          <w:sz w:val="32"/>
          <w:szCs w:val="32"/>
          <w:highlight w:val="none"/>
          <w:lang w:val="en-US" w:eastAsia="zh-CN"/>
        </w:rPr>
        <w:t>调查报告。</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b/>
          <w:bCs/>
          <w:color w:val="auto"/>
          <w:sz w:val="32"/>
          <w:szCs w:val="32"/>
          <w:highlight w:val="none"/>
          <w:lang w:val="en-US" w:eastAsia="zh-CN"/>
        </w:rPr>
      </w:pPr>
      <w:r>
        <w:rPr>
          <w:rFonts w:hint="eastAsia" w:ascii="仿宋_GB2312" w:hAnsi="黑体" w:eastAsia="仿宋_GB2312" w:cs="Times New Roman"/>
          <w:color w:val="auto"/>
          <w:sz w:val="32"/>
          <w:szCs w:val="32"/>
          <w:highlight w:val="none"/>
          <w:lang w:val="en-US" w:eastAsia="zh-CN"/>
        </w:rPr>
        <w:t>调查认定，</w:t>
      </w:r>
      <w:r>
        <w:rPr>
          <w:rFonts w:hint="eastAsia" w:ascii="黑体" w:hAnsi="黑体" w:eastAsia="黑体" w:cs="黑体"/>
          <w:b/>
          <w:bCs/>
          <w:color w:val="auto"/>
          <w:sz w:val="32"/>
          <w:szCs w:val="32"/>
          <w:highlight w:val="none"/>
          <w:lang w:val="en-US" w:eastAsia="zh-CN"/>
        </w:rPr>
        <w:t>宁夏正东贸易有限公司“9·1”一般起重伤害生产安全事故是一起因企业落实事故隐患排查治理不力，未能及时发现并制止吨袋超荷载盛装煤粒子吊装作业，导致吨袋吊运过程吊带超承载能力断裂，落物将上料工碰压致伤导致的一般起重伤害生产安全责任事故。</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27" w:firstLineChars="196"/>
        <w:textAlignment w:val="auto"/>
        <w:outlineLvl w:val="0"/>
        <w:rPr>
          <w:rFonts w:hint="eastAsia" w:ascii="仿宋" w:hAnsi="仿宋" w:eastAsia="仿宋"/>
          <w:color w:val="auto"/>
          <w:sz w:val="32"/>
          <w:szCs w:val="32"/>
          <w:highlight w:val="none"/>
        </w:rPr>
      </w:pPr>
      <w:bookmarkStart w:id="1" w:name="_Toc9891"/>
      <w:r>
        <w:rPr>
          <w:rFonts w:hint="eastAsia" w:ascii="黑体" w:hAnsi="黑体" w:eastAsia="黑体" w:cs="黑体"/>
          <w:color w:val="auto"/>
          <w:kern w:val="2"/>
          <w:sz w:val="32"/>
          <w:szCs w:val="32"/>
          <w:highlight w:val="none"/>
          <w:lang w:val="en-US" w:eastAsia="zh-CN"/>
        </w:rPr>
        <w:t>一、基本情况</w:t>
      </w:r>
      <w:bookmarkEnd w:id="1"/>
      <w:r>
        <w:rPr>
          <w:rFonts w:hint="eastAsia" w:ascii="仿宋" w:hAnsi="仿宋" w:eastAsia="仿宋"/>
          <w:b/>
          <w:color w:val="auto"/>
          <w:sz w:val="32"/>
          <w:szCs w:val="32"/>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2" w:firstLineChars="200"/>
        <w:jc w:val="both"/>
        <w:textAlignment w:val="auto"/>
        <w:outlineLvl w:val="1"/>
        <w:rPr>
          <w:rFonts w:hint="default" w:ascii="楷体_GB2312" w:hAnsi="楷体_GB2312" w:eastAsia="楷体_GB2312" w:cs="楷体_GB2312"/>
          <w:b/>
          <w:bCs/>
          <w:color w:val="auto"/>
          <w:sz w:val="32"/>
          <w:szCs w:val="32"/>
          <w:highlight w:val="none"/>
          <w:lang w:val="en-US" w:eastAsia="zh-CN"/>
        </w:rPr>
      </w:pPr>
      <w:bookmarkStart w:id="2" w:name="_Toc20517"/>
      <w:r>
        <w:rPr>
          <w:rFonts w:hint="eastAsia" w:ascii="楷体_GB2312" w:hAnsi="楷体_GB2312" w:eastAsia="楷体_GB2312" w:cs="楷体_GB2312"/>
          <w:b/>
          <w:bCs/>
          <w:color w:val="auto"/>
          <w:sz w:val="32"/>
          <w:szCs w:val="32"/>
          <w:highlight w:val="none"/>
          <w:lang w:val="en-US" w:eastAsia="zh-CN"/>
        </w:rPr>
        <w:t>（一）事故发生单位基本情况</w:t>
      </w:r>
      <w:bookmarkEnd w:id="2"/>
    </w:p>
    <w:p>
      <w:pPr>
        <w:keepNext w:val="0"/>
        <w:keepLines w:val="0"/>
        <w:pageBreakBefore w:val="0"/>
        <w:widowControl w:val="0"/>
        <w:kinsoku/>
        <w:wordWrap/>
        <w:overflowPunct/>
        <w:topLinePunct w:val="0"/>
        <w:autoSpaceDE/>
        <w:autoSpaceDN/>
        <w:bidi w:val="0"/>
        <w:adjustRightInd/>
        <w:snapToGrid/>
        <w:spacing w:beforeAutospacing="0"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highlight w:val="none"/>
          <w:lang w:val="en-US" w:eastAsia="zh-CN"/>
        </w:rPr>
        <w:t>宁夏正东贸易有限公司情况：</w:t>
      </w:r>
      <w:r>
        <w:rPr>
          <w:rFonts w:hint="eastAsia" w:ascii="仿宋_GB2312" w:hAnsi="仿宋_GB2312" w:eastAsia="仿宋_GB2312" w:cs="仿宋_GB2312"/>
          <w:color w:val="auto"/>
          <w:sz w:val="32"/>
          <w:szCs w:val="32"/>
          <w:lang w:val="en-US" w:eastAsia="zh-CN"/>
        </w:rPr>
        <w:t>宁夏正东贸易有限公司（以下简称：正东公司），登记注册</w:t>
      </w:r>
      <w:r>
        <w:rPr>
          <w:rFonts w:hint="default"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lang w:val="en-US" w:eastAsia="zh-CN"/>
        </w:rPr>
        <w:t>时间：</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18</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统一信用代码：9164</w:t>
      </w:r>
      <w:r>
        <w:rPr>
          <w:rFonts w:hint="eastAsia" w:ascii="仿宋_GB2312" w:hAnsi="仿宋_GB2312" w:eastAsia="仿宋_GB2312" w:cs="仿宋_GB2312"/>
          <w:color w:val="auto"/>
          <w:sz w:val="32"/>
          <w:szCs w:val="32"/>
          <w:lang w:val="en-US" w:eastAsia="zh-CN"/>
        </w:rPr>
        <w:t>02216704207762；</w:t>
      </w:r>
      <w:r>
        <w:rPr>
          <w:rFonts w:hint="default" w:ascii="仿宋_GB2312" w:hAnsi="仿宋_GB2312" w:eastAsia="仿宋_GB2312" w:cs="仿宋_GB2312"/>
          <w:color w:val="auto"/>
          <w:sz w:val="32"/>
          <w:szCs w:val="32"/>
          <w:lang w:val="en-US" w:eastAsia="zh-CN"/>
        </w:rPr>
        <w:t>注册资本</w:t>
      </w:r>
      <w:r>
        <w:rPr>
          <w:rFonts w:hint="eastAsia" w:ascii="仿宋_GB2312" w:hAnsi="仿宋_GB2312" w:eastAsia="仿宋_GB2312" w:cs="仿宋_GB2312"/>
          <w:color w:val="auto"/>
          <w:sz w:val="32"/>
          <w:szCs w:val="32"/>
          <w:lang w:val="en-US" w:eastAsia="zh-CN"/>
        </w:rPr>
        <w:t>：陆佰</w:t>
      </w:r>
      <w:r>
        <w:rPr>
          <w:rFonts w:hint="default" w:ascii="仿宋_GB2312" w:hAnsi="仿宋_GB2312" w:eastAsia="仿宋_GB2312" w:cs="仿宋_GB2312"/>
          <w:color w:val="auto"/>
          <w:sz w:val="32"/>
          <w:szCs w:val="32"/>
          <w:lang w:val="en-US" w:eastAsia="zh-CN"/>
        </w:rPr>
        <w:t>万元整</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法定代表人</w:t>
      </w:r>
      <w:r>
        <w:rPr>
          <w:rFonts w:hint="eastAsia" w:ascii="仿宋_GB2312" w:hAnsi="仿宋_GB2312" w:eastAsia="仿宋_GB2312" w:cs="仿宋_GB2312"/>
          <w:color w:val="auto"/>
          <w:sz w:val="32"/>
          <w:szCs w:val="32"/>
          <w:lang w:val="en-US" w:eastAsia="zh-CN"/>
        </w:rPr>
        <w:t>：寇某某；</w:t>
      </w:r>
      <w:r>
        <w:rPr>
          <w:rFonts w:hint="default" w:ascii="仿宋_GB2312" w:hAnsi="仿宋_GB2312" w:eastAsia="仿宋_GB2312" w:cs="仿宋_GB2312"/>
          <w:color w:val="auto"/>
          <w:sz w:val="32"/>
          <w:szCs w:val="32"/>
          <w:lang w:val="en-US" w:eastAsia="zh-CN"/>
        </w:rPr>
        <w:t>地址</w:t>
      </w:r>
      <w:r>
        <w:rPr>
          <w:rFonts w:hint="eastAsia" w:ascii="仿宋_GB2312" w:hAnsi="仿宋_GB2312" w:eastAsia="仿宋_GB2312" w:cs="仿宋_GB2312"/>
          <w:color w:val="auto"/>
          <w:sz w:val="32"/>
          <w:szCs w:val="32"/>
          <w:lang w:val="en-US" w:eastAsia="zh-CN"/>
        </w:rPr>
        <w:t>：平罗县崇岗镇煤炭批发市场。</w:t>
      </w:r>
      <w:r>
        <w:rPr>
          <w:rFonts w:hint="default" w:ascii="仿宋_GB2312" w:hAnsi="仿宋_GB2312" w:eastAsia="仿宋_GB2312" w:cs="仿宋_GB2312"/>
          <w:color w:val="auto"/>
          <w:sz w:val="32"/>
          <w:szCs w:val="32"/>
          <w:lang w:val="en-US" w:eastAsia="zh-CN"/>
        </w:rPr>
        <w:t>经营范围：煤炭</w:t>
      </w:r>
      <w:r>
        <w:rPr>
          <w:rFonts w:hint="eastAsia" w:ascii="仿宋_GB2312" w:hAnsi="仿宋_GB2312" w:eastAsia="仿宋_GB2312" w:cs="仿宋_GB2312"/>
          <w:color w:val="auto"/>
          <w:sz w:val="32"/>
          <w:szCs w:val="32"/>
          <w:lang w:val="en-US" w:eastAsia="zh-CN"/>
        </w:rPr>
        <w:t>加工、</w:t>
      </w:r>
      <w:r>
        <w:rPr>
          <w:rFonts w:hint="default" w:ascii="仿宋_GB2312" w:hAnsi="仿宋_GB2312" w:eastAsia="仿宋_GB2312" w:cs="仿宋_GB2312"/>
          <w:color w:val="auto"/>
          <w:sz w:val="32"/>
          <w:szCs w:val="32"/>
          <w:lang w:val="en-US" w:eastAsia="zh-CN"/>
        </w:rPr>
        <w:t>洗选</w:t>
      </w:r>
      <w:r>
        <w:rPr>
          <w:rFonts w:hint="eastAsia" w:ascii="仿宋_GB2312" w:hAnsi="仿宋_GB2312" w:eastAsia="仿宋_GB2312" w:cs="仿宋_GB2312"/>
          <w:color w:val="auto"/>
          <w:sz w:val="32"/>
          <w:szCs w:val="32"/>
          <w:lang w:val="en-US" w:eastAsia="zh-CN"/>
        </w:rPr>
        <w:t>、销售；活性炭、增炭剂等销售。</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5月，正东公司投资840万元，对炭素、活性炭生产线及环保设施升级改造，建设全封闭式生产车间、储煤仓2.6万平米、2台斯列普活化炉、4台9罐11层普煅炉、7台除尘设施、1台脱硫塔和喷淋设施。事发时，企业2台活化炉处于正常生产状态。</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2" w:firstLineChars="200"/>
        <w:jc w:val="left"/>
        <w:textAlignment w:val="auto"/>
        <w:rPr>
          <w:rFonts w:hint="eastAsia"/>
          <w:color w:val="auto"/>
          <w:sz w:val="32"/>
          <w:szCs w:val="32"/>
          <w:lang w:val="en-US" w:eastAsia="zh-CN"/>
        </w:rPr>
      </w:pPr>
      <w:bookmarkStart w:id="3" w:name="_Toc14066"/>
      <w:r>
        <w:rPr>
          <w:rFonts w:hint="eastAsia" w:ascii="楷体_GB2312" w:hAnsi="楷体_GB2312" w:eastAsia="楷体_GB2312" w:cs="楷体_GB2312"/>
          <w:b/>
          <w:bCs/>
          <w:color w:val="auto"/>
          <w:sz w:val="32"/>
          <w:szCs w:val="32"/>
          <w:highlight w:val="none"/>
          <w:lang w:val="en-US" w:eastAsia="zh-CN"/>
        </w:rPr>
        <w:t>（二）</w:t>
      </w:r>
      <w:r>
        <w:rPr>
          <w:rFonts w:hint="eastAsia" w:ascii="楷体_GB2312" w:eastAsia="楷体_GB2312"/>
          <w:b/>
          <w:color w:val="auto"/>
          <w:spacing w:val="-2"/>
          <w:sz w:val="32"/>
          <w:szCs w:val="32"/>
          <w:lang w:val="en-US" w:eastAsia="zh-CN"/>
        </w:rPr>
        <w:t>事故发生经过及救援情况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29" w:firstLineChars="196"/>
        <w:textAlignment w:val="auto"/>
        <w:outlineLvl w:val="1"/>
        <w:rPr>
          <w:rFonts w:hint="eastAsia" w:ascii="国标仿宋-GB/T 2312" w:hAnsi="国标仿宋-GB/T 2312" w:eastAsia="国标仿宋-GB/T 2312" w:cs="国标仿宋-GB/T 2312"/>
          <w:b/>
          <w:bCs/>
          <w:color w:val="auto"/>
          <w:sz w:val="32"/>
          <w:szCs w:val="32"/>
          <w:highlight w:val="none"/>
          <w:lang w:val="en-US" w:eastAsia="zh-CN"/>
        </w:rPr>
      </w:pPr>
      <w:r>
        <w:rPr>
          <w:rFonts w:hint="eastAsia" w:ascii="国标仿宋-GB/T 2312" w:hAnsi="国标仿宋-GB/T 2312" w:eastAsia="国标仿宋-GB/T 2312" w:cs="国标仿宋-GB/T 2312"/>
          <w:b/>
          <w:bCs/>
          <w:color w:val="auto"/>
          <w:sz w:val="32"/>
          <w:szCs w:val="32"/>
          <w:highlight w:val="none"/>
          <w:lang w:val="en-US" w:eastAsia="zh-CN"/>
        </w:rPr>
        <w:t>1.事故发生经过。</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1日15时20分许，正东公司活化车间上料工杨忠贤开始对2#活化炉进行加料，为了一次性完成2#活化炉加料工作，利用两台活化炉配备的2个电动葫芦（1#、2#同一轨道梁），分别吊装盛有精洗煤吨袋至2#活化炉顶部，杨某某先打开2#活化炉炉顶加料水封槽，操作南端（1#）电动葫芦吊运吨袋摆动加料，15时30分许，杨某某又操作北端（2#）电动葫芦将盛装1.4吨精煤吨袋吊运至2#活化炉炉顶下料口，将吨袋吊起距离下料口约1m高处，准备屈身解开吨袋下部放料口的绳结时，吨袋上部四根吊带中三根吊带突然断裂，吨袋瞬间失控掉落将杨某某</w:t>
      </w:r>
      <w:bookmarkStart w:id="9" w:name="_GoBack"/>
      <w:bookmarkEnd w:id="9"/>
      <w:r>
        <w:rPr>
          <w:rFonts w:hint="eastAsia" w:ascii="仿宋_GB2312" w:hAnsi="仿宋_GB2312" w:eastAsia="仿宋_GB2312" w:cs="仿宋_GB2312"/>
          <w:color w:val="auto"/>
          <w:sz w:val="32"/>
          <w:szCs w:val="32"/>
          <w:lang w:val="en-US" w:eastAsia="zh-CN"/>
        </w:rPr>
        <w:t>碰压在加料口处。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2" w:firstLineChars="200"/>
        <w:textAlignment w:val="auto"/>
        <w:outlineLvl w:val="1"/>
        <w:rPr>
          <w:rFonts w:hint="eastAsia" w:ascii="方正楷体_GBK" w:hAnsi="方正楷体_GBK" w:eastAsia="方正楷体_GBK" w:cs="方正楷体_GBK"/>
          <w:b/>
          <w:bCs/>
          <w:color w:val="auto"/>
          <w:sz w:val="32"/>
          <w:szCs w:val="32"/>
          <w:highlight w:val="none"/>
          <w:lang w:val="en-US" w:eastAsia="zh-CN"/>
        </w:rPr>
      </w:pPr>
      <w:r>
        <w:rPr>
          <w:rFonts w:hint="eastAsia" w:ascii="国标仿宋-GB/T 2312" w:hAnsi="国标仿宋-GB/T 2312" w:eastAsia="国标仿宋-GB/T 2312" w:cs="国标仿宋-GB/T 2312"/>
          <w:b/>
          <w:bCs/>
          <w:color w:val="auto"/>
          <w:sz w:val="32"/>
          <w:szCs w:val="32"/>
          <w:highlight w:val="none"/>
          <w:lang w:val="en-US" w:eastAsia="zh-CN"/>
        </w:rPr>
        <w:t>2.事故救援情况。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约15时31分，活化炉操作工刘某某在炉底听到炉顶有响声，约15时34分到炉顶发现吨袋压在杨某某身上，立即通过微信电话告知厂长柳某某但未接通，于是用电动葫芦吊起吨袋，将杨某某拉到相邻水封槽上，立即下去组织人员救援，约15时43分，柳某某等5人陆续来到2#活化炉炉顶，将杨某某抬到了炉顶楼梯口，约15时55分，救援人员将杨某某抬至地面，用皮卡车送往宁夏第五人民医院抢救，于当日18时许，经抢救无效死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2" w:firstLineChars="200"/>
        <w:textAlignment w:val="auto"/>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3.事</w:t>
      </w:r>
      <w:r>
        <w:rPr>
          <w:rFonts w:hint="eastAsia" w:ascii="仿宋_GB2312" w:hAnsi="仿宋_GB2312" w:eastAsia="仿宋_GB2312" w:cs="仿宋_GB2312"/>
          <w:b/>
          <w:bCs/>
          <w:color w:val="auto"/>
          <w:sz w:val="32"/>
          <w:szCs w:val="32"/>
          <w:lang w:val="en-US" w:eastAsia="zh-CN"/>
        </w:rPr>
        <w:t>故信息接报及响应情况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b/>
          <w:bCs/>
          <w:color w:val="auto"/>
          <w:lang w:val="en-US" w:eastAsia="zh-CN"/>
        </w:rPr>
      </w:pPr>
      <w:r>
        <w:rPr>
          <w:rFonts w:hint="eastAsia" w:ascii="仿宋_GB2312" w:hAnsi="仿宋_GB2312" w:eastAsia="仿宋_GB2312" w:cs="仿宋_GB2312"/>
          <w:color w:val="auto"/>
          <w:sz w:val="32"/>
          <w:szCs w:val="32"/>
          <w:lang w:val="en-US" w:eastAsia="zh-CN"/>
        </w:rPr>
        <w:t>事故发生后，2025年9月1日16时许，正东公司主要负责人寇某某同宁夏第五人民医院报警说明情况；17时41分许，正东公司主要负责人寇某某电话上报平罗县应急管理局，接报后于17时58分许上报县委、县人民政府办公室和石嘴山市应急管理局，立即派人前往事故现场处置。</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29" w:firstLineChars="196"/>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（三）事故现场勘查情况</w:t>
      </w:r>
      <w:bookmarkEnd w:id="3"/>
    </w:p>
    <w:p>
      <w:pPr>
        <w:pStyle w:val="7"/>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现场位于宁夏正东贸易有限公司活化炉车间2号活化炉炉顶加料平台，活化炉正常生产。1.活化炉车间由南至北“一”字型布置2台活化炉和4台9罐11层碳素炉，1#、2#活化炉炉顶横向设置一根轨道梁，并安装两台2吨电动葫芦；2.2#活化炉炉顶南侧为车间蓝色彩钢围墙，炉顶西侧设置一个水封储水罐，北侧为1号活化炉加料平台，四周设置1.2m护栏；3.2#活化炉炉顶平台面积约为62.5㎡，1号活化炉炉顶规格相同，每台活化炉顶部设置左右2个加料单元，每个加料单元设置4个下料水封隔断，两侧的2个水封隔断，规格为长2.85m，宽0.5m，中间的2个水封隔断略宽，规格为长2.85m，宽0.67m；4.活化炉炉顶四周设置1.7m的作业通道；5.2#活化炉炉顶四周立柱设置4盏照明灯，南侧围墙距2#活化炉炉顶3m处设置一个监控摄像头，顶部设置额定载重为2吨的电动葫芦、炉顶平台西侧设置检修平台并安装简易爬梯；6.事发时，南侧的加料单元中间2个水封隔断盖板处于打开状态，炉顶电动葫芦吊运的盛装精煤吨袋距离下料水封隔断料面1m左右；7.涉事吨袋上部设置四个吊带，每两侧吊带设置一根辅带，两根辅带挂扣在电动葫芦吊钩上，事发时四个吊带有三个吊带断裂；8.涉事吨袋为白色，经核查事发时盛装精煤 1.4吨、荷载重量为1吨；9.死者被掉落的吨袋压住后呈头西脚东、面部朝下趴在下料槽里。</w:t>
      </w:r>
    </w:p>
    <w:p>
      <w:pPr>
        <w:keepNext w:val="0"/>
        <w:keepLines w:val="0"/>
        <w:pageBreakBefore w:val="0"/>
        <w:widowControl w:val="0"/>
        <w:kinsoku/>
        <w:wordWrap/>
        <w:overflowPunct/>
        <w:topLinePunct w:val="0"/>
        <w:autoSpaceDE/>
        <w:autoSpaceDN/>
        <w:bidi w:val="0"/>
        <w:adjustRightInd/>
        <w:snapToGrid w:val="0"/>
        <w:spacing w:beforeAutospacing="0" w:line="360" w:lineRule="auto"/>
        <w:jc w:val="center"/>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drawing>
          <wp:inline distT="0" distB="0" distL="114300" distR="114300">
            <wp:extent cx="5614670" cy="2788285"/>
            <wp:effectExtent l="0" t="0" r="5080" b="12065"/>
            <wp:docPr id="2" name="图片 2" descr="daa26c858e22877a48b852698b1c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aa26c858e22877a48b852698b1c0821"/>
                    <pic:cNvPicPr>
                      <a:picLocks noChangeAspect="1"/>
                    </pic:cNvPicPr>
                  </pic:nvPicPr>
                  <pic:blipFill>
                    <a:blip r:embed="rId9"/>
                    <a:stretch>
                      <a:fillRect/>
                    </a:stretch>
                  </pic:blipFill>
                  <pic:spPr>
                    <a:xfrm>
                      <a:off x="0" y="0"/>
                      <a:ext cx="5614670" cy="27882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line="540" w:lineRule="exact"/>
        <w:jc w:val="center"/>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图一：事发活化炉炉顶</w:t>
      </w:r>
    </w:p>
    <w:p>
      <w:pPr>
        <w:pStyle w:val="7"/>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color w:val="auto"/>
          <w:lang w:val="en-US" w:eastAsia="zh-CN"/>
        </w:rPr>
      </w:pPr>
      <w:r>
        <w:rPr>
          <w:rFonts w:hint="eastAsia"/>
          <w:color w:val="auto"/>
          <w:lang w:val="en-US" w:eastAsia="zh-CN"/>
        </w:rPr>
        <w:drawing>
          <wp:inline distT="0" distB="0" distL="114300" distR="114300">
            <wp:extent cx="5598795" cy="3305175"/>
            <wp:effectExtent l="0" t="0" r="1905" b="9525"/>
            <wp:docPr id="1" name="图片 1" descr="57aa3ecbd79c6c9c152be1f413d117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aa3ecbd79c6c9c152be1f413d117d5"/>
                    <pic:cNvPicPr>
                      <a:picLocks noChangeAspect="1"/>
                    </pic:cNvPicPr>
                  </pic:nvPicPr>
                  <pic:blipFill>
                    <a:blip r:embed="rId10"/>
                    <a:stretch>
                      <a:fillRect/>
                    </a:stretch>
                  </pic:blipFill>
                  <pic:spPr>
                    <a:xfrm>
                      <a:off x="0" y="0"/>
                      <a:ext cx="5598795" cy="3305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line="540" w:lineRule="exact"/>
        <w:jc w:val="center"/>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图二：吨袋断带前照片</w:t>
      </w:r>
    </w:p>
    <w:p>
      <w:pPr>
        <w:pStyle w:val="7"/>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color w:val="auto"/>
          <w:lang w:val="en-US" w:eastAsia="zh-CN"/>
        </w:rPr>
      </w:pPr>
      <w:r>
        <w:rPr>
          <w:rFonts w:hint="eastAsia"/>
          <w:color w:val="auto"/>
          <w:lang w:val="en-US" w:eastAsia="zh-CN"/>
        </w:rPr>
        <w:drawing>
          <wp:inline distT="0" distB="0" distL="114300" distR="114300">
            <wp:extent cx="5638165" cy="3209290"/>
            <wp:effectExtent l="0" t="0" r="635" b="10160"/>
            <wp:docPr id="3" name="图片 3" descr="ba9dd7d858fa901ba03110832e3cc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9dd7d858fa901ba03110832e3ccf32"/>
                    <pic:cNvPicPr>
                      <a:picLocks noChangeAspect="1"/>
                    </pic:cNvPicPr>
                  </pic:nvPicPr>
                  <pic:blipFill>
                    <a:blip r:embed="rId11"/>
                    <a:stretch>
                      <a:fillRect/>
                    </a:stretch>
                  </pic:blipFill>
                  <pic:spPr>
                    <a:xfrm>
                      <a:off x="0" y="0"/>
                      <a:ext cx="5638165" cy="32092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line="540" w:lineRule="exact"/>
        <w:jc w:val="center"/>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图三：吨袋断带压住操作工照片</w:t>
      </w:r>
    </w:p>
    <w:p>
      <w:pPr>
        <w:pStyle w:val="7"/>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color w:val="auto"/>
          <w:lang w:val="en-US" w:eastAsia="zh-CN"/>
        </w:rPr>
      </w:pPr>
      <w:r>
        <w:rPr>
          <w:rFonts w:hint="eastAsia"/>
          <w:color w:val="auto"/>
          <w:lang w:val="en-US" w:eastAsia="zh-CN"/>
        </w:rPr>
        <w:drawing>
          <wp:inline distT="0" distB="0" distL="114300" distR="114300">
            <wp:extent cx="5615940" cy="3272790"/>
            <wp:effectExtent l="0" t="0" r="3810" b="3810"/>
            <wp:docPr id="5" name="图片 5" descr="dcdb69d582abff83b5e48f6bcf5b48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cdb69d582abff83b5e48f6bcf5b48f5"/>
                    <pic:cNvPicPr>
                      <a:picLocks noChangeAspect="1"/>
                    </pic:cNvPicPr>
                  </pic:nvPicPr>
                  <pic:blipFill>
                    <a:blip r:embed="rId12"/>
                    <a:stretch>
                      <a:fillRect/>
                    </a:stretch>
                  </pic:blipFill>
                  <pic:spPr>
                    <a:xfrm>
                      <a:off x="0" y="0"/>
                      <a:ext cx="5615940" cy="3272790"/>
                    </a:xfrm>
                    <a:prstGeom prst="rect">
                      <a:avLst/>
                    </a:prstGeom>
                  </pic:spPr>
                </pic:pic>
              </a:graphicData>
            </a:graphic>
          </wp:inline>
        </w:drawing>
      </w:r>
    </w:p>
    <w:p>
      <w:pPr>
        <w:keepNext w:val="0"/>
        <w:keepLines w:val="0"/>
        <w:pageBreakBefore w:val="0"/>
        <w:kinsoku/>
        <w:wordWrap/>
        <w:overflowPunct/>
        <w:topLinePunct w:val="0"/>
        <w:bidi w:val="0"/>
        <w:spacing w:beforeAutospacing="0"/>
        <w:jc w:val="center"/>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图四：涉事吨袋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2" w:firstLineChars="200"/>
        <w:textAlignment w:val="auto"/>
        <w:outlineLvl w:val="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0" w:firstLineChars="200"/>
        <w:textAlignment w:val="auto"/>
        <w:outlineLvl w:val="0"/>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事故发生后，企业虽启动了生产安全事故应急处置预案，采取相应的应急救援措施，但由于企业应急演练不深不实，流于形式，从</w:t>
      </w:r>
      <w:r>
        <w:rPr>
          <w:rFonts w:hint="eastAsia" w:ascii="仿宋_GB2312" w:hAnsi="仿宋_GB2312" w:eastAsia="仿宋_GB2312" w:cs="仿宋_GB2312"/>
          <w:color w:val="auto"/>
          <w:sz w:val="32"/>
          <w:szCs w:val="32"/>
          <w:lang w:val="en-US" w:eastAsia="zh-CN"/>
        </w:rPr>
        <w:t>事发至送医救治历经24分钟</w:t>
      </w:r>
      <w:r>
        <w:rPr>
          <w:rFonts w:hint="eastAsia" w:ascii="仿宋_GB2312" w:hAnsi="黑体" w:eastAsia="仿宋_GB2312" w:cs="Times New Roman"/>
          <w:color w:val="auto"/>
          <w:kern w:val="2"/>
          <w:sz w:val="32"/>
          <w:szCs w:val="32"/>
          <w:highlight w:val="none"/>
          <w:lang w:val="en-US" w:eastAsia="zh-CN" w:bidi="ar-SA"/>
        </w:rPr>
        <w:t>，救援人员响应速度缓慢，指挥人员能力欠缺，处置突发事件能力较弱，企业内部救援程序和应急处置效果不佳</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jc w:val="both"/>
        <w:textAlignment w:val="auto"/>
        <w:outlineLvl w:val="9"/>
        <w:rPr>
          <w:rFonts w:hint="eastAsia" w:ascii="楷体_GB2312" w:eastAsia="楷体_GB2312"/>
          <w:b/>
          <w:color w:val="auto"/>
          <w:spacing w:val="-2"/>
          <w:sz w:val="32"/>
          <w:szCs w:val="32"/>
        </w:rPr>
      </w:pPr>
      <w:r>
        <w:rPr>
          <w:rFonts w:hint="eastAsia" w:ascii="Times New Roman" w:hAnsi="Times New Roman" w:eastAsia="黑体" w:cs="Times New Roman"/>
          <w:b w:val="0"/>
          <w:bCs w:val="0"/>
          <w:color w:val="auto"/>
          <w:sz w:val="32"/>
          <w:szCs w:val="32"/>
          <w:lang w:val="en-US" w:eastAsia="zh-CN"/>
        </w:rPr>
        <w:t>二、事故造成人员伤亡和直接经济损失</w:t>
      </w:r>
    </w:p>
    <w:p>
      <w:pPr>
        <w:pStyle w:val="7"/>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2"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（一）死亡人员基本情况：</w:t>
      </w:r>
      <w:r>
        <w:rPr>
          <w:rFonts w:hint="eastAsia" w:ascii="仿宋_GB2312" w:hAnsi="黑体" w:eastAsia="仿宋_GB2312" w:cs="Times New Roman"/>
          <w:color w:val="auto"/>
          <w:kern w:val="2"/>
          <w:sz w:val="32"/>
          <w:szCs w:val="32"/>
          <w:highlight w:val="none"/>
          <w:lang w:val="en-US" w:eastAsia="zh-CN" w:bidi="ar-SA"/>
        </w:rPr>
        <w:t>杨某某，男，汉族，家庭住址：宁夏石嘴山市大武口区，为正东公司合同制工人。</w:t>
      </w:r>
    </w:p>
    <w:p>
      <w:pPr>
        <w:pStyle w:val="2"/>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2"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w:t>
      </w:r>
      <w:r>
        <w:rPr>
          <w:rFonts w:hint="eastAsia" w:ascii="楷体" w:hAnsi="楷体" w:eastAsia="楷体" w:cs="楷体"/>
          <w:b/>
          <w:bCs/>
          <w:color w:val="auto"/>
          <w:sz w:val="32"/>
          <w:szCs w:val="32"/>
          <w:lang w:val="en-US" w:eastAsia="zh-CN"/>
        </w:rPr>
        <w:t>善后处理情况。</w:t>
      </w:r>
      <w:r>
        <w:rPr>
          <w:rFonts w:hint="eastAsia" w:ascii="仿宋_GB2312" w:hAnsi="黑体" w:eastAsia="仿宋_GB2312" w:cs="Times New Roman"/>
          <w:color w:val="auto"/>
          <w:kern w:val="2"/>
          <w:sz w:val="32"/>
          <w:szCs w:val="32"/>
          <w:highlight w:val="none"/>
          <w:lang w:val="en-US" w:eastAsia="zh-CN" w:bidi="ar-SA"/>
        </w:rPr>
        <w:t>事故发生后，在平罗县工业园区服务中心、崇岗派出所协调下，正东公司与死者家属自愿协商善后事宜，于9月2日双方达成一次性赔偿协议，并签订《人民调解协议书》，赔偿死者各项费用140万元（包括死亡赔偿金、赡养费、供养亲属抚恤金等费用），死者遗体运回老家安葬，</w:t>
      </w:r>
      <w:r>
        <w:rPr>
          <w:rFonts w:hint="default" w:ascii="仿宋_GB2312" w:hAnsi="黑体" w:eastAsia="仿宋_GB2312" w:cs="Times New Roman"/>
          <w:color w:val="auto"/>
          <w:kern w:val="2"/>
          <w:sz w:val="32"/>
          <w:szCs w:val="32"/>
          <w:highlight w:val="none"/>
          <w:lang w:val="en-US" w:eastAsia="zh-CN" w:bidi="ar-SA"/>
        </w:rPr>
        <w:t>善后</w:t>
      </w:r>
      <w:r>
        <w:rPr>
          <w:rFonts w:hint="eastAsia" w:ascii="仿宋_GB2312" w:hAnsi="黑体" w:eastAsia="仿宋_GB2312" w:cs="Times New Roman"/>
          <w:color w:val="auto"/>
          <w:kern w:val="2"/>
          <w:sz w:val="32"/>
          <w:szCs w:val="32"/>
          <w:highlight w:val="none"/>
          <w:lang w:val="en-US" w:eastAsia="zh-CN" w:bidi="ar-SA"/>
        </w:rPr>
        <w:t>事宜得到妥善</w:t>
      </w:r>
      <w:r>
        <w:rPr>
          <w:rFonts w:hint="default" w:ascii="仿宋_GB2312" w:hAnsi="黑体" w:eastAsia="仿宋_GB2312" w:cs="Times New Roman"/>
          <w:color w:val="auto"/>
          <w:kern w:val="2"/>
          <w:sz w:val="32"/>
          <w:szCs w:val="32"/>
          <w:highlight w:val="none"/>
          <w:lang w:val="en-US" w:eastAsia="zh-CN" w:bidi="ar-SA"/>
        </w:rPr>
        <w:t>处理</w:t>
      </w:r>
      <w:r>
        <w:rPr>
          <w:rFonts w:hint="eastAsia" w:ascii="仿宋_GB2312" w:hAnsi="黑体" w:eastAsia="仿宋_GB2312" w:cs="Times New Roman"/>
          <w:color w:val="auto"/>
          <w:kern w:val="2"/>
          <w:sz w:val="32"/>
          <w:szCs w:val="32"/>
          <w:highlight w:val="none"/>
          <w:lang w:val="en-US" w:eastAsia="zh-CN" w:bidi="ar-SA"/>
        </w:rPr>
        <w:t>，社会舆情平稳。</w:t>
      </w:r>
    </w:p>
    <w:p>
      <w:pPr>
        <w:pStyle w:val="7"/>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2"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（三）直接经济损失：</w:t>
      </w:r>
      <w:r>
        <w:rPr>
          <w:rFonts w:hint="eastAsia" w:ascii="仿宋_GB2312" w:hAnsi="黑体" w:eastAsia="仿宋_GB2312" w:cs="Times New Roman"/>
          <w:color w:val="auto"/>
          <w:kern w:val="2"/>
          <w:sz w:val="32"/>
          <w:szCs w:val="32"/>
          <w:highlight w:val="none"/>
          <w:lang w:val="en-US" w:eastAsia="zh-CN" w:bidi="ar-SA"/>
        </w:rPr>
        <w:t>该起事故造成1人死亡，无其他人员受伤，无任何设备设施损失。依据《企业职工伤亡事故经济损失统计标准》（GB6721-1986），经统计直接经济损失约140</w:t>
      </w:r>
      <w:r>
        <w:rPr>
          <w:rFonts w:hint="default" w:ascii="仿宋_GB2312" w:hAnsi="黑体" w:eastAsia="仿宋_GB2312" w:cs="Times New Roman"/>
          <w:color w:val="auto"/>
          <w:kern w:val="2"/>
          <w:sz w:val="32"/>
          <w:szCs w:val="32"/>
          <w:highlight w:val="none"/>
          <w:lang w:val="en-US" w:eastAsia="zh-CN" w:bidi="ar-SA"/>
        </w:rPr>
        <w:t>万元</w:t>
      </w:r>
      <w:r>
        <w:rPr>
          <w:rFonts w:hint="eastAsia" w:ascii="仿宋_GB2312" w:hAnsi="黑体" w:eastAsia="仿宋_GB2312"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jc w:val="both"/>
        <w:textAlignment w:val="auto"/>
        <w:outlineLvl w:val="9"/>
        <w:rPr>
          <w:rFonts w:hint="default" w:ascii="黑体" w:hAnsi="黑体" w:eastAsia="黑体" w:cs="黑体"/>
          <w:color w:val="auto"/>
          <w:kern w:val="2"/>
          <w:sz w:val="32"/>
          <w:szCs w:val="32"/>
          <w:lang w:val="en-US" w:eastAsia="zh-CN" w:bidi="ar-SA"/>
        </w:rPr>
      </w:pPr>
      <w:bookmarkStart w:id="4" w:name="_Toc19250"/>
      <w:r>
        <w:rPr>
          <w:rFonts w:hint="eastAsia" w:ascii="黑体" w:hAnsi="黑体" w:eastAsia="黑体" w:cs="黑体"/>
          <w:color w:val="auto"/>
          <w:kern w:val="2"/>
          <w:sz w:val="32"/>
          <w:szCs w:val="32"/>
          <w:lang w:val="en-US" w:eastAsia="zh-CN" w:bidi="ar-SA"/>
        </w:rPr>
        <w:t>三、</w:t>
      </w:r>
      <w:r>
        <w:rPr>
          <w:rFonts w:hint="eastAsia" w:ascii="黑体" w:hAnsi="黑体" w:eastAsia="黑体"/>
          <w:color w:val="auto"/>
          <w:sz w:val="32"/>
          <w:szCs w:val="32"/>
        </w:rPr>
        <w:t>事故发生原因和性质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2" w:firstLineChars="200"/>
        <w:textAlignment w:val="auto"/>
        <w:outlineLvl w:val="0"/>
        <w:rPr>
          <w:rFonts w:hint="eastAsia" w:ascii="黑体" w:hAnsi="黑体" w:eastAsia="黑体" w:cs="黑体"/>
          <w:color w:val="auto"/>
          <w:kern w:val="2"/>
          <w:sz w:val="32"/>
          <w:szCs w:val="32"/>
          <w:highlight w:val="none"/>
          <w:lang w:val="en-US" w:eastAsia="zh-CN"/>
        </w:rPr>
      </w:pPr>
      <w:r>
        <w:rPr>
          <w:rFonts w:hint="default" w:ascii="楷体_GB2312" w:hAnsi="黑体" w:eastAsia="楷体_GB2312"/>
          <w:b/>
          <w:color w:val="auto"/>
          <w:sz w:val="32"/>
          <w:szCs w:val="32"/>
          <w:highlight w:val="none"/>
          <w:lang w:val="en-US" w:eastAsia="zh-CN"/>
        </w:rPr>
        <w:t>（一）直接原因</w:t>
      </w:r>
    </w:p>
    <w:bookmarkEnd w:id="4"/>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正东公司安全风险管控不力，导致吨袋超出承载能力，有效管控重复使用的事故隐患长期存在，活化炉上料工安全防范意识薄弱，明知吊运吨袋超荷载吊装，仍站位在吨袋下部解绳结，吨袋吊带超出承载能力突发断裂是导致该起事故的直接原因。</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29" w:firstLineChars="196"/>
        <w:textAlignment w:val="auto"/>
        <w:outlineLvl w:val="1"/>
        <w:rPr>
          <w:rFonts w:hint="default" w:ascii="楷体_GB2312" w:hAnsi="黑体" w:eastAsia="楷体_GB2312" w:cs="Times New Roman"/>
          <w:b/>
          <w:color w:val="auto"/>
          <w:sz w:val="32"/>
          <w:szCs w:val="32"/>
          <w:highlight w:val="none"/>
          <w:lang w:val="en-US" w:eastAsia="zh-CN"/>
        </w:rPr>
      </w:pPr>
      <w:bookmarkStart w:id="5" w:name="_Toc23294"/>
      <w:r>
        <w:rPr>
          <w:rFonts w:hint="eastAsia" w:ascii="楷体_GB2312" w:hAnsi="黑体" w:eastAsia="楷体_GB2312" w:cs="Times New Roman"/>
          <w:b/>
          <w:color w:val="auto"/>
          <w:sz w:val="32"/>
          <w:szCs w:val="32"/>
          <w:highlight w:val="none"/>
          <w:lang w:val="en-US" w:eastAsia="zh-CN"/>
        </w:rPr>
        <w:t>（二）</w:t>
      </w:r>
      <w:r>
        <w:rPr>
          <w:rFonts w:hint="default" w:ascii="楷体_GB2312" w:hAnsi="黑体" w:eastAsia="楷体_GB2312" w:cs="Times New Roman"/>
          <w:b/>
          <w:color w:val="auto"/>
          <w:sz w:val="32"/>
          <w:szCs w:val="32"/>
          <w:highlight w:val="none"/>
          <w:lang w:val="en-US" w:eastAsia="zh-CN"/>
        </w:rPr>
        <w:t>间接原因</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1.正东公司安全管理不到位。安全操作规程不健全，公司未制定关于“使用起重设备电动葫芦进行吨袋上料”的详细、安全操作规程，未明确规定“放料时必须将吨袋完全放置在坚固平台后，人员方可接近进行操作”。现场安全管理不规范，未督促活化炉炉顶岗位上料工佩戴安全帽。</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2.正东公司安全教育和培训针对性不强。未能使岗位上料人员充分认知起重作业的危险性，未能确保员工具备必要的风险辨识能力，并熟练掌握安全操作技能。</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3.正东公司风险辨识与隐患排查不力。未对“吨袋吊带断裂”这一潜在风险进行辨识和评估，未检查吨袋吊带是否完好、有无磨损或撕裂迹象。对于“人员需在悬吊重物下操作”这一明显的高风险作业环节，未采取有效技术管理控制措施，消除或降低风险。</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4.正东公司事故应急处置能力不够。应急救援响应迟缓，通讯联络不畅，不能有效应对生产过程中突发的意外情况并作出处置措施，反映出平时的应急演练不到位。</w:t>
      </w:r>
    </w:p>
    <w:bookmarkEnd w:id="5"/>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outlineLvl w:val="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bidi="ar-SA"/>
        </w:rPr>
        <w:t>四、</w:t>
      </w:r>
      <w:bookmarkStart w:id="6" w:name="_Toc8569"/>
      <w:r>
        <w:rPr>
          <w:rFonts w:hint="eastAsia" w:ascii="黑体" w:hAnsi="黑体" w:eastAsia="黑体" w:cs="宋体"/>
          <w:color w:val="auto"/>
          <w:kern w:val="0"/>
          <w:sz w:val="32"/>
          <w:szCs w:val="32"/>
          <w:highlight w:val="none"/>
        </w:rPr>
        <w:t>事故责任认定及处理建议</w:t>
      </w:r>
      <w:bookmarkEnd w:id="6"/>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根据事故原因分析和责任认定，依据有关法律法规规定，对事故有关责任人员和责任单位提出如下处理建议：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34" w:firstLineChars="200"/>
        <w:jc w:val="both"/>
        <w:textAlignment w:val="auto"/>
        <w:outlineLvl w:val="9"/>
        <w:rPr>
          <w:rFonts w:hint="eastAsia" w:ascii="楷体_GB2312" w:eastAsia="楷体_GB2312"/>
          <w:b/>
          <w:color w:val="auto"/>
          <w:spacing w:val="-2"/>
          <w:sz w:val="32"/>
          <w:szCs w:val="32"/>
          <w:lang w:val="en-US" w:eastAsia="zh-CN"/>
        </w:rPr>
      </w:pPr>
      <w:bookmarkStart w:id="7" w:name="_Toc2814"/>
      <w:r>
        <w:rPr>
          <w:rFonts w:hint="eastAsia" w:ascii="楷体_GB2312" w:eastAsia="楷体_GB2312"/>
          <w:b/>
          <w:color w:val="auto"/>
          <w:spacing w:val="-2"/>
          <w:sz w:val="32"/>
          <w:szCs w:val="32"/>
          <w:lang w:val="en-US" w:eastAsia="zh-CN"/>
        </w:rPr>
        <w:t>（一）因在事故中死亡免予或不子追究责任人员</w:t>
      </w:r>
    </w:p>
    <w:p>
      <w:pPr>
        <w:keepNext w:val="0"/>
        <w:keepLines w:val="0"/>
        <w:pageBreakBefore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杨某某：男，正东公司活化炉上料工。对高风险作业安全警惕性不高，未正确使用和佩戴个人劳动防护用品，自我安全防范意识不强，防范能力不足，对事故负有直接责任，鉴于其已死亡，建议不予责任追究。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34" w:firstLineChars="200"/>
        <w:jc w:val="both"/>
        <w:textAlignment w:val="auto"/>
        <w:outlineLvl w:val="9"/>
        <w:rPr>
          <w:rFonts w:hint="eastAsia"/>
          <w:color w:val="auto"/>
          <w:lang w:val="en-US" w:eastAsia="zh-CN"/>
        </w:rPr>
      </w:pPr>
      <w:r>
        <w:rPr>
          <w:rFonts w:hint="eastAsia" w:ascii="楷体_GB2312" w:eastAsia="楷体_GB2312"/>
          <w:b/>
          <w:color w:val="auto"/>
          <w:spacing w:val="-2"/>
          <w:sz w:val="32"/>
          <w:szCs w:val="32"/>
          <w:lang w:val="en-US" w:eastAsia="zh-CN"/>
        </w:rPr>
        <w:t>（二）对事故有关责任人员和责任单位的行政处罚建议</w:t>
      </w:r>
    </w:p>
    <w:p>
      <w:pPr>
        <w:pStyle w:val="2"/>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1"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1.寇某某，男，正东</w:t>
      </w:r>
      <w:r>
        <w:rPr>
          <w:rFonts w:hint="eastAsia" w:ascii="仿宋_GB2312" w:hAnsi="仿宋_GB2312" w:eastAsia="仿宋_GB2312" w:cs="仿宋_GB2312"/>
          <w:color w:val="auto"/>
          <w:kern w:val="2"/>
          <w:sz w:val="32"/>
          <w:szCs w:val="32"/>
          <w:highlight w:val="none"/>
          <w:lang w:val="en-US" w:eastAsia="zh-CN" w:bidi="ar-SA"/>
        </w:rPr>
        <w:t>公司</w:t>
      </w:r>
      <w:r>
        <w:rPr>
          <w:rFonts w:hint="eastAsia" w:ascii="仿宋_GB2312" w:hAnsi="仿宋_GB2312" w:cs="仿宋_GB2312"/>
          <w:color w:val="auto"/>
          <w:kern w:val="2"/>
          <w:sz w:val="32"/>
          <w:szCs w:val="32"/>
          <w:highlight w:val="none"/>
          <w:lang w:val="en-US" w:eastAsia="zh-CN" w:bidi="ar-SA"/>
        </w:rPr>
        <w:t>法定代表人、总经理、主要负责人</w:t>
      </w:r>
      <w:r>
        <w:rPr>
          <w:rFonts w:hint="eastAsia" w:ascii="仿宋_GB2312" w:hAnsi="仿宋_GB2312" w:eastAsia="仿宋_GB2312" w:cs="仿宋_GB2312"/>
          <w:color w:val="auto"/>
          <w:kern w:val="2"/>
          <w:sz w:val="32"/>
          <w:szCs w:val="32"/>
          <w:highlight w:val="none"/>
          <w:lang w:val="en-US" w:eastAsia="zh-CN" w:bidi="ar-SA"/>
        </w:rPr>
        <w:t>。未</w:t>
      </w:r>
      <w:r>
        <w:rPr>
          <w:rFonts w:hint="eastAsia" w:ascii="仿宋_GB2312" w:hAnsi="仿宋_GB2312" w:cs="仿宋_GB2312"/>
          <w:color w:val="auto"/>
          <w:kern w:val="2"/>
          <w:sz w:val="32"/>
          <w:szCs w:val="32"/>
          <w:highlight w:val="none"/>
          <w:lang w:val="en-US" w:eastAsia="zh-CN" w:bidi="ar-SA"/>
        </w:rPr>
        <w:t>认真</w:t>
      </w:r>
      <w:r>
        <w:rPr>
          <w:rFonts w:hint="eastAsia" w:ascii="仿宋_GB2312" w:hAnsi="仿宋_GB2312" w:eastAsia="仿宋_GB2312" w:cs="仿宋_GB2312"/>
          <w:color w:val="auto"/>
          <w:kern w:val="2"/>
          <w:sz w:val="32"/>
          <w:szCs w:val="32"/>
          <w:highlight w:val="none"/>
          <w:lang w:val="en-US" w:eastAsia="zh-CN" w:bidi="ar-SA"/>
        </w:rPr>
        <w:t>履行法律法规赋予的安全生产职责，组织制定</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本单位安全生产规章制度和操作规程</w:t>
      </w:r>
      <w:r>
        <w:rPr>
          <w:rFonts w:hint="eastAsia" w:ascii="仿宋_GB2312" w:hAnsi="仿宋_GB2312" w:cs="仿宋_GB2312"/>
          <w:color w:val="auto"/>
          <w:kern w:val="2"/>
          <w:sz w:val="32"/>
          <w:szCs w:val="32"/>
          <w:highlight w:val="none"/>
          <w:lang w:val="en-US" w:eastAsia="zh-CN" w:bidi="ar-SA"/>
        </w:rPr>
        <w:t>不健全，未组织</w:t>
      </w:r>
      <w:r>
        <w:rPr>
          <w:rFonts w:hint="eastAsia" w:ascii="仿宋_GB2312" w:hAnsi="仿宋_GB2312" w:eastAsia="仿宋_GB2312" w:cs="仿宋_GB2312"/>
          <w:color w:val="auto"/>
          <w:kern w:val="2"/>
          <w:sz w:val="32"/>
          <w:szCs w:val="32"/>
          <w:lang w:val="en-US" w:eastAsia="zh-CN" w:bidi="ar-SA"/>
        </w:rPr>
        <w:t>制定关于“使用起重设备电动葫芦进行吨袋上料”</w:t>
      </w:r>
      <w:r>
        <w:rPr>
          <w:rFonts w:hint="eastAsia" w:ascii="仿宋_GB2312" w:hAnsi="仿宋_GB2312" w:cs="仿宋_GB2312"/>
          <w:color w:val="auto"/>
          <w:kern w:val="2"/>
          <w:sz w:val="32"/>
          <w:szCs w:val="32"/>
          <w:lang w:val="en-US" w:eastAsia="zh-CN" w:bidi="ar-SA"/>
        </w:rPr>
        <w:t>操作规程</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督促、检查</w:t>
      </w:r>
      <w:r>
        <w:rPr>
          <w:rFonts w:hint="eastAsia" w:ascii="仿宋_GB2312" w:hAnsi="仿宋_GB2312" w:cs="仿宋_GB2312"/>
          <w:color w:val="auto"/>
          <w:kern w:val="2"/>
          <w:sz w:val="32"/>
          <w:szCs w:val="32"/>
          <w:highlight w:val="none"/>
          <w:lang w:val="en-US" w:eastAsia="zh-CN" w:bidi="ar-SA"/>
        </w:rPr>
        <w:t>作业</w:t>
      </w:r>
      <w:r>
        <w:rPr>
          <w:rFonts w:hint="eastAsia" w:ascii="仿宋_GB2312" w:hAnsi="仿宋_GB2312" w:eastAsia="仿宋_GB2312" w:cs="仿宋_GB2312"/>
          <w:color w:val="auto"/>
          <w:kern w:val="2"/>
          <w:sz w:val="32"/>
          <w:szCs w:val="32"/>
          <w:highlight w:val="none"/>
          <w:lang w:val="en-US" w:eastAsia="zh-CN" w:bidi="ar-SA"/>
        </w:rPr>
        <w:t>现场安全生产工作不到位，未及时消除生产安全事故隐患，对</w:t>
      </w:r>
      <w:r>
        <w:rPr>
          <w:rFonts w:hint="eastAsia" w:ascii="仿宋_GB2312" w:hAnsi="仿宋_GB2312" w:cs="仿宋_GB2312"/>
          <w:color w:val="auto"/>
          <w:kern w:val="2"/>
          <w:sz w:val="32"/>
          <w:szCs w:val="32"/>
          <w:highlight w:val="none"/>
          <w:lang w:val="en-US" w:eastAsia="zh-CN" w:bidi="ar-SA"/>
        </w:rPr>
        <w:t>该起</w:t>
      </w:r>
      <w:r>
        <w:rPr>
          <w:rFonts w:hint="eastAsia" w:ascii="仿宋_GB2312" w:hAnsi="仿宋_GB2312" w:eastAsia="仿宋_GB2312" w:cs="仿宋_GB2312"/>
          <w:color w:val="auto"/>
          <w:kern w:val="2"/>
          <w:sz w:val="32"/>
          <w:szCs w:val="32"/>
          <w:highlight w:val="none"/>
          <w:lang w:val="en-US" w:eastAsia="zh-CN" w:bidi="ar-SA"/>
        </w:rPr>
        <w:t>事故负有</w:t>
      </w:r>
      <w:r>
        <w:rPr>
          <w:rFonts w:hint="eastAsia" w:ascii="仿宋_GB2312" w:hAnsi="仿宋_GB2312" w:cs="仿宋_GB2312"/>
          <w:color w:val="auto"/>
          <w:kern w:val="2"/>
          <w:sz w:val="32"/>
          <w:szCs w:val="32"/>
          <w:highlight w:val="none"/>
          <w:lang w:val="en-US" w:eastAsia="zh-CN" w:bidi="ar-SA"/>
        </w:rPr>
        <w:t>主要</w:t>
      </w:r>
      <w:r>
        <w:rPr>
          <w:rFonts w:hint="eastAsia" w:ascii="仿宋_GB2312" w:hAnsi="仿宋_GB2312" w:eastAsia="仿宋_GB2312" w:cs="仿宋_GB2312"/>
          <w:color w:val="auto"/>
          <w:kern w:val="2"/>
          <w:sz w:val="32"/>
          <w:szCs w:val="32"/>
          <w:highlight w:val="none"/>
          <w:lang w:val="en-US" w:eastAsia="zh-CN" w:bidi="ar-SA"/>
        </w:rPr>
        <w:t>领导责任。以上行为违反了《中华人民共和国安全生产法》第二十一条第</w:t>
      </w:r>
      <w:r>
        <w:rPr>
          <w:rFonts w:hint="eastAsia" w:ascii="仿宋_GB2312" w:hAnsi="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highlight w:val="none"/>
          <w:lang w:val="en-US" w:eastAsia="zh-CN" w:bidi="ar-SA"/>
        </w:rPr>
        <w:t>（五）项</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4"/>
      </w:r>
      <w:r>
        <w:rPr>
          <w:rFonts w:hint="eastAsia" w:ascii="仿宋_GB2312" w:hAnsi="仿宋_GB2312" w:eastAsia="仿宋_GB2312" w:cs="仿宋_GB2312"/>
          <w:color w:val="auto"/>
          <w:kern w:val="2"/>
          <w:sz w:val="32"/>
          <w:szCs w:val="32"/>
          <w:highlight w:val="none"/>
          <w:lang w:val="en-US" w:eastAsia="zh-CN" w:bidi="ar-SA"/>
        </w:rPr>
        <w:t>的规定，依据《中华人民共和国安全生产法》第九十五条第（一）项</w:t>
      </w:r>
      <w:r>
        <w:rPr>
          <w:rStyle w:val="23"/>
          <w:rFonts w:hint="eastAsia" w:ascii="仿宋_GB2312" w:hAnsi="仿宋_GB2312" w:eastAsia="仿宋_GB2312" w:cs="仿宋_GB2312"/>
          <w:color w:val="auto"/>
          <w:kern w:val="2"/>
          <w:sz w:val="32"/>
          <w:szCs w:val="32"/>
          <w:highlight w:val="none"/>
          <w:lang w:val="en-US" w:eastAsia="zh-CN" w:bidi="ar-SA"/>
        </w:rPr>
        <w:footnoteReference w:id="5"/>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《生产安全事故罚款处罚规定》（应急管理部令第14号）</w:t>
      </w:r>
      <w:r>
        <w:rPr>
          <w:rFonts w:hint="eastAsia" w:ascii="仿宋_GB2312" w:hAnsi="黑体" w:eastAsia="仿宋_GB2312"/>
          <w:color w:val="auto"/>
          <w:sz w:val="32"/>
          <w:szCs w:val="32"/>
          <w:lang w:eastAsia="zh-CN"/>
        </w:rPr>
        <w:t>第十九条第（一）</w:t>
      </w:r>
      <w:r>
        <w:rPr>
          <w:rFonts w:hint="eastAsia" w:ascii="仿宋_GB2312" w:hAnsi="仿宋_GB2312" w:eastAsia="仿宋_GB2312" w:cs="仿宋_GB2312"/>
          <w:color w:val="auto"/>
          <w:kern w:val="2"/>
          <w:sz w:val="32"/>
          <w:szCs w:val="32"/>
          <w:highlight w:val="none"/>
          <w:lang w:val="en-US" w:eastAsia="zh-CN" w:bidi="ar-SA"/>
        </w:rPr>
        <w:t>项</w:t>
      </w:r>
      <w:r>
        <w:rPr>
          <w:rStyle w:val="23"/>
          <w:rFonts w:hint="eastAsia" w:ascii="仿宋_GB2312" w:hAnsi="仿宋_GB2312" w:eastAsia="仿宋_GB2312" w:cs="仿宋_GB2312"/>
          <w:color w:val="auto"/>
          <w:kern w:val="2"/>
          <w:sz w:val="32"/>
          <w:szCs w:val="32"/>
          <w:highlight w:val="none"/>
          <w:lang w:val="en-US" w:eastAsia="zh-CN" w:bidi="ar-SA"/>
        </w:rPr>
        <w:footnoteReference w:id="6"/>
      </w:r>
      <w:r>
        <w:rPr>
          <w:rFonts w:hint="eastAsia" w:ascii="仿宋_GB2312" w:hAnsi="仿宋_GB2312" w:cs="仿宋_GB2312"/>
          <w:color w:val="auto"/>
          <w:sz w:val="32"/>
          <w:szCs w:val="32"/>
          <w:highlight w:val="none"/>
          <w:lang w:val="en-US" w:eastAsia="zh-CN"/>
        </w:rPr>
        <w:t>之</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kern w:val="2"/>
          <w:sz w:val="32"/>
          <w:szCs w:val="32"/>
          <w:highlight w:val="none"/>
          <w:lang w:val="en-US" w:eastAsia="zh-CN"/>
        </w:rPr>
        <w:t>参照《应急管理行政处罚裁量权基准》（应急〔202</w:t>
      </w:r>
      <w:r>
        <w:rPr>
          <w:rFonts w:hint="eastAsia" w:ascii="仿宋_GB2312" w:hAnsi="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lang w:val="en-US" w:eastAsia="zh-CN"/>
        </w:rPr>
        <w:t>〕90号）第九十</w:t>
      </w:r>
      <w:r>
        <w:rPr>
          <w:rFonts w:hint="eastAsia" w:ascii="仿宋_GB2312" w:hAnsi="仿宋_GB2312" w:cs="仿宋_GB2312"/>
          <w:color w:val="auto"/>
          <w:kern w:val="2"/>
          <w:sz w:val="32"/>
          <w:szCs w:val="32"/>
          <w:highlight w:val="none"/>
          <w:lang w:val="en-US" w:eastAsia="zh-CN"/>
        </w:rPr>
        <w:t>四</w:t>
      </w:r>
      <w:r>
        <w:rPr>
          <w:rFonts w:hint="eastAsia" w:ascii="仿宋_GB2312" w:hAnsi="仿宋_GB2312" w:eastAsia="仿宋_GB2312" w:cs="仿宋_GB2312"/>
          <w:color w:val="auto"/>
          <w:kern w:val="2"/>
          <w:sz w:val="32"/>
          <w:szCs w:val="32"/>
          <w:highlight w:val="none"/>
          <w:lang w:val="en-US" w:eastAsia="zh-CN"/>
        </w:rPr>
        <w:t>条</w:t>
      </w:r>
      <w:r>
        <w:rPr>
          <w:rFonts w:hint="eastAsia" w:ascii="仿宋_GB2312" w:hAnsi="仿宋_GB2312" w:cs="仿宋_GB2312"/>
          <w:color w:val="auto"/>
          <w:kern w:val="2"/>
          <w:sz w:val="32"/>
          <w:szCs w:val="32"/>
          <w:highlight w:val="none"/>
          <w:lang w:val="en-US" w:eastAsia="zh-CN"/>
        </w:rPr>
        <w:t>A</w:t>
      </w:r>
      <w:r>
        <w:rPr>
          <w:rFonts w:hint="eastAsia" w:ascii="仿宋_GB2312" w:hAnsi="仿宋_GB2312" w:eastAsia="仿宋_GB2312" w:cs="仿宋_GB2312"/>
          <w:color w:val="auto"/>
          <w:kern w:val="2"/>
          <w:sz w:val="32"/>
          <w:szCs w:val="32"/>
          <w:highlight w:val="none"/>
          <w:lang w:val="en-US" w:eastAsia="zh-CN"/>
        </w:rPr>
        <w:t>阶</w:t>
      </w:r>
      <w:r>
        <w:rPr>
          <w:rStyle w:val="23"/>
          <w:rFonts w:hint="eastAsia" w:ascii="仿宋_GB2312" w:hAnsi="仿宋_GB2312" w:eastAsia="仿宋_GB2312" w:cs="仿宋_GB2312"/>
          <w:color w:val="auto"/>
          <w:kern w:val="2"/>
          <w:sz w:val="32"/>
          <w:szCs w:val="32"/>
          <w:highlight w:val="none"/>
          <w:lang w:val="en-US" w:eastAsia="zh-CN" w:bidi="ar-SA"/>
        </w:rPr>
        <w:footnoteReference w:id="7"/>
      </w:r>
      <w:r>
        <w:rPr>
          <w:rFonts w:hint="eastAsia" w:ascii="仿宋_GB2312" w:hAnsi="仿宋_GB2312" w:eastAsia="仿宋_GB2312" w:cs="仿宋_GB2312"/>
          <w:color w:val="auto"/>
          <w:sz w:val="32"/>
          <w:szCs w:val="32"/>
          <w:lang w:val="en-US" w:eastAsia="zh-CN"/>
        </w:rPr>
        <w:t>裁量</w:t>
      </w:r>
      <w:r>
        <w:rPr>
          <w:rFonts w:hint="eastAsia" w:ascii="仿宋_GB2312" w:hAnsi="仿宋_GB2312" w:cs="仿宋_GB2312"/>
          <w:color w:val="auto"/>
          <w:sz w:val="32"/>
          <w:szCs w:val="32"/>
          <w:lang w:val="en-US" w:eastAsia="zh-CN"/>
        </w:rPr>
        <w:t>基准</w:t>
      </w:r>
      <w:r>
        <w:rPr>
          <w:rFonts w:hint="eastAsia" w:ascii="仿宋_GB2312" w:hAnsi="仿宋_GB2312" w:eastAsia="仿宋_GB2312" w:cs="仿宋_GB2312"/>
          <w:color w:val="auto"/>
          <w:sz w:val="32"/>
          <w:szCs w:val="32"/>
          <w:lang w:val="en-US" w:eastAsia="zh-CN"/>
        </w:rPr>
        <w:t>规定，根据其202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年年收入</w:t>
      </w:r>
      <w:r>
        <w:rPr>
          <w:rFonts w:hint="eastAsia" w:ascii="仿宋_GB2312" w:hAnsi="仿宋_GB2312" w:cs="仿宋_GB2312"/>
          <w:color w:val="auto"/>
          <w:sz w:val="32"/>
          <w:szCs w:val="32"/>
          <w:lang w:val="en-US" w:eastAsia="zh-CN"/>
        </w:rPr>
        <w:t>18万</w:t>
      </w:r>
      <w:r>
        <w:rPr>
          <w:rFonts w:hint="eastAsia" w:ascii="仿宋_GB2312" w:hAnsi="仿宋_GB2312" w:eastAsia="仿宋_GB2312" w:cs="仿宋_GB2312"/>
          <w:color w:val="auto"/>
          <w:sz w:val="32"/>
          <w:szCs w:val="32"/>
          <w:lang w:val="en-US" w:eastAsia="zh-CN"/>
        </w:rPr>
        <w:t>元的百分之四十计算，建议由县应急管理局依法作出处人民币</w:t>
      </w:r>
      <w:r>
        <w:rPr>
          <w:rFonts w:hint="eastAsia" w:ascii="仿宋_GB2312" w:hAnsi="仿宋_GB2312" w:cs="仿宋_GB2312"/>
          <w:color w:val="auto"/>
          <w:sz w:val="32"/>
          <w:szCs w:val="32"/>
          <w:lang w:val="en-US" w:eastAsia="zh-CN"/>
        </w:rPr>
        <w:t>7.2万</w:t>
      </w:r>
      <w:r>
        <w:rPr>
          <w:rFonts w:hint="eastAsia" w:ascii="仿宋_GB2312" w:hAnsi="仿宋_GB2312" w:eastAsia="仿宋_GB2312" w:cs="仿宋_GB2312"/>
          <w:color w:val="auto"/>
          <w:sz w:val="32"/>
          <w:szCs w:val="32"/>
          <w:lang w:val="en-US" w:eastAsia="zh-CN"/>
        </w:rPr>
        <w:t>元（大写：</w:t>
      </w:r>
      <w:r>
        <w:rPr>
          <w:rFonts w:hint="eastAsia" w:ascii="仿宋_GB2312" w:hAnsi="仿宋_GB2312" w:cs="仿宋_GB2312"/>
          <w:color w:val="auto"/>
          <w:sz w:val="32"/>
          <w:szCs w:val="32"/>
          <w:lang w:val="en-US" w:eastAsia="zh-CN"/>
        </w:rPr>
        <w:t>柒万贰仟</w:t>
      </w:r>
      <w:r>
        <w:rPr>
          <w:rFonts w:hint="eastAsia" w:ascii="仿宋_GB2312" w:hAnsi="仿宋_GB2312" w:eastAsia="仿宋_GB2312" w:cs="仿宋_GB2312"/>
          <w:color w:val="auto"/>
          <w:sz w:val="32"/>
          <w:szCs w:val="32"/>
          <w:lang w:val="en-US" w:eastAsia="zh-CN"/>
        </w:rPr>
        <w:t>元整）罚款的行政处罚，（根据其本人提供的税务部门个人所得税完税证明及收入证明，经核定</w:t>
      </w:r>
      <w:r>
        <w:rPr>
          <w:rFonts w:hint="eastAsia" w:ascii="仿宋_GB2312" w:hAnsi="仿宋_GB2312" w:cs="仿宋_GB2312"/>
          <w:color w:val="auto"/>
          <w:sz w:val="32"/>
          <w:szCs w:val="32"/>
          <w:lang w:val="en-US" w:eastAsia="zh-CN"/>
        </w:rPr>
        <w:t>寇某某</w:t>
      </w:r>
      <w:r>
        <w:rPr>
          <w:rFonts w:hint="eastAsia" w:ascii="仿宋_GB2312" w:hAnsi="仿宋_GB2312" w:eastAsia="仿宋_GB2312" w:cs="仿宋_GB2312"/>
          <w:color w:val="auto"/>
          <w:sz w:val="32"/>
          <w:szCs w:val="32"/>
          <w:lang w:val="en-US" w:eastAsia="zh-CN"/>
        </w:rPr>
        <w:t>上一年年收入为</w:t>
      </w:r>
      <w:r>
        <w:rPr>
          <w:rFonts w:hint="eastAsia" w:ascii="仿宋_GB2312" w:hAnsi="仿宋_GB2312" w:cs="仿宋_GB2312"/>
          <w:color w:val="auto"/>
          <w:sz w:val="32"/>
          <w:szCs w:val="32"/>
          <w:lang w:val="en-US" w:eastAsia="zh-CN"/>
        </w:rPr>
        <w:t>18万</w:t>
      </w:r>
      <w:r>
        <w:rPr>
          <w:rFonts w:hint="eastAsia" w:ascii="仿宋_GB2312" w:hAnsi="仿宋_GB2312" w:eastAsia="仿宋_GB2312" w:cs="仿宋_GB2312"/>
          <w:color w:val="auto"/>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2.寇某某，男，正东公司安全管理人员。作为公司安全生产负责人。未认真履行法律法规赋予的安全生产职责，</w:t>
      </w:r>
      <w:r>
        <w:rPr>
          <w:rFonts w:hint="eastAsia" w:ascii="仿宋_GB2312" w:hAnsi="仿宋_GB2312" w:eastAsia="仿宋_GB2312" w:cs="仿宋_GB2312"/>
          <w:color w:val="auto"/>
          <w:kern w:val="2"/>
          <w:sz w:val="32"/>
          <w:szCs w:val="32"/>
          <w:lang w:val="en-US" w:eastAsia="zh-CN" w:bidi="ar-SA"/>
        </w:rPr>
        <w:t>未对“吨袋吊带断裂”风险进行辨识和评估；未及时排查生产安全事故隐患，未提出改进安全生产管理的建议。</w:t>
      </w:r>
      <w:r>
        <w:rPr>
          <w:rFonts w:hint="eastAsia" w:ascii="仿宋_GB2312" w:hAnsi="仿宋_GB2312" w:eastAsia="仿宋_GB2312" w:cs="仿宋_GB2312"/>
          <w:color w:val="auto"/>
          <w:kern w:val="2"/>
          <w:sz w:val="32"/>
          <w:szCs w:val="32"/>
          <w:highlight w:val="none"/>
          <w:lang w:val="en-US" w:eastAsia="zh-CN" w:bidi="ar-SA"/>
        </w:rPr>
        <w:t>对该起事故负有直接管理责任，以上行为违反了《中华人民共和国安全生产法》第二十五条第（三）（五）项</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8"/>
      </w:r>
      <w:r>
        <w:rPr>
          <w:rFonts w:hint="eastAsia" w:ascii="仿宋_GB2312" w:hAnsi="仿宋_GB2312" w:eastAsia="仿宋_GB2312" w:cs="仿宋_GB2312"/>
          <w:color w:val="auto"/>
          <w:kern w:val="2"/>
          <w:sz w:val="32"/>
          <w:szCs w:val="32"/>
          <w:highlight w:val="none"/>
          <w:lang w:val="en-US" w:eastAsia="zh-CN" w:bidi="ar-SA"/>
        </w:rPr>
        <w:t>的规定，依据《中华人民共和国安全生产法》第九十六条</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9"/>
      </w:r>
      <w:r>
        <w:rPr>
          <w:rFonts w:hint="eastAsia" w:ascii="仿宋_GB2312" w:hAnsi="仿宋_GB2312" w:eastAsia="仿宋_GB2312" w:cs="仿宋_GB2312"/>
          <w:color w:val="auto"/>
          <w:kern w:val="2"/>
          <w:sz w:val="32"/>
          <w:szCs w:val="32"/>
          <w:highlight w:val="none"/>
          <w:lang w:val="en-US" w:eastAsia="zh-CN" w:bidi="ar-SA"/>
        </w:rPr>
        <w:t>、《生产安全事故罚款处罚规定》（应急管理部令第14号）第二十条第（一）项</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10"/>
      </w:r>
      <w:r>
        <w:rPr>
          <w:rFonts w:hint="eastAsia" w:ascii="仿宋_GB2312" w:hAnsi="仿宋_GB2312" w:eastAsia="仿宋_GB2312" w:cs="仿宋_GB2312"/>
          <w:color w:val="auto"/>
          <w:kern w:val="2"/>
          <w:sz w:val="32"/>
          <w:szCs w:val="32"/>
          <w:highlight w:val="none"/>
          <w:lang w:val="en-US" w:eastAsia="zh-CN" w:bidi="ar-SA"/>
        </w:rPr>
        <w:t>之规定，根据其202</w:t>
      </w:r>
      <w:r>
        <w:rPr>
          <w:rFonts w:hint="eastAsia" w:ascii="仿宋_GB2312"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年年收入45316元的百分之二十五计算，建议由县应急管理局依法作出暂停其与安全生产有关的资格</w:t>
      </w:r>
      <w:r>
        <w:rPr>
          <w:rFonts w:hint="eastAsia" w:ascii="仿宋_GB2312" w:hAnsi="仿宋_GB2312" w:eastAsia="仿宋_GB2312" w:cs="仿宋_GB2312"/>
          <w:color w:val="auto"/>
          <w:sz w:val="32"/>
          <w:szCs w:val="32"/>
          <w:highlight w:val="none"/>
          <w:lang w:val="en-US" w:eastAsia="zh-CN"/>
        </w:rPr>
        <w:t>6个月并</w:t>
      </w:r>
      <w:r>
        <w:rPr>
          <w:rFonts w:hint="eastAsia" w:ascii="仿宋_GB2312" w:hAnsi="仿宋_GB2312" w:eastAsia="仿宋_GB2312" w:cs="仿宋_GB2312"/>
          <w:color w:val="auto"/>
          <w:kern w:val="2"/>
          <w:sz w:val="32"/>
          <w:szCs w:val="32"/>
          <w:highlight w:val="none"/>
          <w:lang w:val="en-US" w:eastAsia="zh-CN" w:bidi="ar-SA"/>
        </w:rPr>
        <w:t>处人民币</w:t>
      </w:r>
      <w:r>
        <w:rPr>
          <w:rFonts w:hint="eastAsia" w:ascii="仿宋_GB2312" w:hAnsi="仿宋_GB2312" w:cs="仿宋_GB2312"/>
          <w:color w:val="auto"/>
          <w:kern w:val="2"/>
          <w:sz w:val="32"/>
          <w:szCs w:val="32"/>
          <w:highlight w:val="none"/>
          <w:lang w:val="en-US" w:eastAsia="zh-CN" w:bidi="ar-SA"/>
        </w:rPr>
        <w:t>11329</w:t>
      </w:r>
      <w:r>
        <w:rPr>
          <w:rFonts w:hint="eastAsia" w:ascii="仿宋_GB2312" w:hAnsi="仿宋_GB2312" w:eastAsia="仿宋_GB2312" w:cs="仿宋_GB2312"/>
          <w:color w:val="auto"/>
          <w:kern w:val="2"/>
          <w:sz w:val="32"/>
          <w:szCs w:val="32"/>
          <w:highlight w:val="none"/>
          <w:lang w:val="en-US" w:eastAsia="zh-CN" w:bidi="ar-SA"/>
        </w:rPr>
        <w:t>元（大写：壹万壹仟叁佰贰拾玖元整）罚款的行政处罚，</w:t>
      </w:r>
      <w:r>
        <w:rPr>
          <w:rFonts w:hint="eastAsia" w:ascii="仿宋_GB2312" w:hAnsi="仿宋_GB2312" w:eastAsia="仿宋_GB2312" w:cs="仿宋_GB2312"/>
          <w:color w:val="auto"/>
          <w:sz w:val="32"/>
          <w:szCs w:val="32"/>
          <w:highlight w:val="none"/>
          <w:lang w:val="en-US" w:eastAsia="zh-CN"/>
        </w:rPr>
        <w:t>（根据其本人提供的税务部门个人所得税完税证明及收入证明，经核定寇某某上一年年收入为</w:t>
      </w:r>
      <w:r>
        <w:rPr>
          <w:rFonts w:hint="eastAsia" w:ascii="仿宋_GB2312" w:hAnsi="仿宋_GB2312" w:cs="仿宋_GB2312"/>
          <w:color w:val="auto"/>
          <w:sz w:val="32"/>
          <w:szCs w:val="32"/>
          <w:highlight w:val="none"/>
          <w:lang w:val="en-US" w:eastAsia="zh-CN"/>
        </w:rPr>
        <w:t>45316</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27" w:firstLineChars="196"/>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柳某某，男，正东公司生产厂长。作为公司生产负责人。未及时发现吨袋超荷载吊运、重复使用安全风险，对吊带有磨损迹象和岗位操作工未佩戴安全帽等事故隐患监管不到位，对该起事故负有管理责任。以上行为违反了《中华人民共和国安全生产法》第二十五条第（五）项</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11"/>
      </w:r>
      <w:r>
        <w:rPr>
          <w:rFonts w:hint="eastAsia" w:ascii="仿宋_GB2312" w:hAnsi="仿宋_GB2312" w:eastAsia="仿宋_GB2312" w:cs="仿宋_GB2312"/>
          <w:color w:val="auto"/>
          <w:kern w:val="2"/>
          <w:sz w:val="32"/>
          <w:szCs w:val="32"/>
          <w:highlight w:val="none"/>
          <w:lang w:val="en-US" w:eastAsia="zh-CN" w:bidi="ar-SA"/>
        </w:rPr>
        <w:t>的规定，依据《中华人民共和国安全生产法》第九十六条</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12"/>
      </w:r>
      <w:r>
        <w:rPr>
          <w:rFonts w:hint="eastAsia" w:ascii="仿宋_GB2312" w:hAnsi="仿宋_GB2312" w:eastAsia="仿宋_GB2312" w:cs="仿宋_GB2312"/>
          <w:color w:val="auto"/>
          <w:kern w:val="2"/>
          <w:sz w:val="32"/>
          <w:szCs w:val="32"/>
          <w:highlight w:val="none"/>
          <w:lang w:val="en-US" w:eastAsia="zh-CN" w:bidi="ar-SA"/>
        </w:rPr>
        <w:t>、《生产安全事故罚款处罚规定》（应急管理部令第14号）第二十条第（一）项</w:t>
      </w:r>
      <w:r>
        <w:rPr>
          <w:rFonts w:hint="eastAsia" w:ascii="仿宋_GB2312" w:hAnsi="仿宋_GB2312" w:eastAsia="仿宋_GB2312" w:cs="仿宋_GB2312"/>
          <w:color w:val="auto"/>
          <w:kern w:val="2"/>
          <w:sz w:val="32"/>
          <w:szCs w:val="32"/>
          <w:highlight w:val="none"/>
          <w:vertAlign w:val="superscript"/>
          <w:lang w:val="en-US" w:eastAsia="zh-CN" w:bidi="ar-SA"/>
        </w:rPr>
        <w:footnoteReference w:id="13"/>
      </w:r>
      <w:r>
        <w:rPr>
          <w:rFonts w:hint="eastAsia" w:ascii="仿宋_GB2312" w:hAnsi="仿宋_GB2312" w:eastAsia="仿宋_GB2312" w:cs="仿宋_GB2312"/>
          <w:color w:val="auto"/>
          <w:kern w:val="2"/>
          <w:sz w:val="32"/>
          <w:szCs w:val="32"/>
          <w:highlight w:val="none"/>
          <w:lang w:val="en-US" w:eastAsia="zh-CN" w:bidi="ar-SA"/>
        </w:rPr>
        <w:t>之规定，根据其2024年年收入70000元的百分之二十三计算，建议由县应急管理局依法作出处人民币16100元（大写：壹万陆仟壹佰元整）罚款的行政处罚（根据其本人提供的税务部门个人所得税完税证明及收入证明，经核定柳某某上一年年收入为70000元）。</w:t>
      </w:r>
    </w:p>
    <w:bookmarkEnd w:id="7"/>
    <w:p>
      <w:pPr>
        <w:keepNext w:val="0"/>
        <w:keepLines w:val="0"/>
        <w:pageBreakBefore w:val="0"/>
        <w:widowControl w:val="0"/>
        <w:kinsoku/>
        <w:wordWrap/>
        <w:overflowPunct/>
        <w:topLinePunct w:val="0"/>
        <w:autoSpaceDE/>
        <w:autoSpaceDN/>
        <w:bidi w:val="0"/>
        <w:adjustRightInd/>
        <w:snapToGrid/>
        <w:spacing w:beforeAutospacing="0" w:line="540" w:lineRule="exact"/>
        <w:ind w:firstLine="627" w:firstLineChars="196"/>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4.正东公司。</w:t>
      </w:r>
      <w:r>
        <w:rPr>
          <w:rFonts w:hint="eastAsia" w:ascii="仿宋_GB2312" w:hAnsi="黑体" w:eastAsia="仿宋_GB2312" w:cs="Times New Roman"/>
          <w:color w:val="auto"/>
          <w:kern w:val="2"/>
          <w:sz w:val="32"/>
          <w:szCs w:val="32"/>
          <w:highlight w:val="none"/>
          <w:lang w:val="en-US" w:eastAsia="zh-CN" w:bidi="ar-SA"/>
        </w:rPr>
        <w:t>安全生产主体责任落实不到位，安全规章制度和操作规程不健全，安全生产教育培训不实，</w:t>
      </w:r>
      <w:r>
        <w:rPr>
          <w:rFonts w:hint="eastAsia" w:ascii="仿宋_GB2312" w:hAnsi="仿宋_GB2312" w:eastAsia="仿宋_GB2312" w:cs="仿宋_GB2312"/>
          <w:color w:val="auto"/>
          <w:kern w:val="2"/>
          <w:sz w:val="32"/>
          <w:szCs w:val="32"/>
          <w:lang w:val="en-US" w:eastAsia="zh-CN" w:bidi="ar-SA"/>
        </w:rPr>
        <w:t>岗位操作人未能熟练掌握安全操作技能</w:t>
      </w:r>
      <w:r>
        <w:rPr>
          <w:rFonts w:hint="eastAsia" w:ascii="仿宋_GB2312" w:hAnsi="黑体" w:eastAsia="仿宋_GB2312" w:cs="Times New Roman"/>
          <w:color w:val="auto"/>
          <w:kern w:val="2"/>
          <w:sz w:val="32"/>
          <w:szCs w:val="32"/>
          <w:highlight w:val="none"/>
          <w:lang w:val="en-US" w:eastAsia="zh-CN" w:bidi="ar-SA"/>
        </w:rPr>
        <w:t>，危险有害因素辨识不全面，事故隐患排查治理不力，对活化炉采用吨袋吊装加料方式，未能及时发现并制止吨袋超荷载盛装煤粒子吊装作业，以及</w:t>
      </w:r>
      <w:r>
        <w:rPr>
          <w:rFonts w:hint="eastAsia" w:ascii="仿宋_GB2312" w:hAnsi="仿宋_GB2312" w:eastAsia="仿宋_GB2312" w:cs="仿宋_GB2312"/>
          <w:color w:val="auto"/>
          <w:kern w:val="2"/>
          <w:sz w:val="32"/>
          <w:szCs w:val="32"/>
          <w:lang w:val="en-US" w:eastAsia="zh-CN" w:bidi="ar-SA"/>
        </w:rPr>
        <w:t>重复使用的吨袋不能承受额定荷载会发生疲劳断裂</w:t>
      </w:r>
      <w:r>
        <w:rPr>
          <w:rFonts w:hint="eastAsia" w:ascii="仿宋_GB2312" w:hAnsi="黑体"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以上行为违反了《中华人民共和国安全生产法》第二十八条第一款</w:t>
      </w:r>
      <w:r>
        <w:rPr>
          <w:rStyle w:val="23"/>
          <w:rFonts w:hint="eastAsia" w:ascii="仿宋_GB2312" w:hAnsi="仿宋_GB2312" w:eastAsia="仿宋_GB2312" w:cs="仿宋_GB2312"/>
          <w:color w:val="auto"/>
          <w:kern w:val="2"/>
          <w:sz w:val="32"/>
          <w:szCs w:val="32"/>
          <w:highlight w:val="none"/>
          <w:lang w:val="en-US" w:eastAsia="zh-CN" w:bidi="ar-SA"/>
        </w:rPr>
        <w:footnoteReference w:id="14"/>
      </w:r>
      <w:r>
        <w:rPr>
          <w:rFonts w:hint="eastAsia" w:ascii="仿宋_GB2312" w:hAnsi="仿宋_GB2312" w:eastAsia="仿宋_GB2312" w:cs="仿宋_GB2312"/>
          <w:color w:val="auto"/>
          <w:kern w:val="2"/>
          <w:sz w:val="32"/>
          <w:szCs w:val="32"/>
          <w:highlight w:val="none"/>
          <w:lang w:val="en-US" w:eastAsia="zh-CN" w:bidi="ar-SA"/>
        </w:rPr>
        <w:t>、第四十一条第二款</w:t>
      </w:r>
      <w:r>
        <w:rPr>
          <w:rStyle w:val="23"/>
          <w:rFonts w:hint="eastAsia" w:ascii="仿宋_GB2312" w:hAnsi="仿宋_GB2312" w:eastAsia="仿宋_GB2312" w:cs="仿宋_GB2312"/>
          <w:color w:val="auto"/>
          <w:kern w:val="2"/>
          <w:sz w:val="32"/>
          <w:szCs w:val="32"/>
          <w:highlight w:val="none"/>
          <w:lang w:val="en-US" w:eastAsia="zh-CN" w:bidi="ar-SA"/>
        </w:rPr>
        <w:footnoteReference w:id="15"/>
      </w:r>
      <w:r>
        <w:rPr>
          <w:rFonts w:hint="eastAsia" w:ascii="仿宋_GB2312" w:hAnsi="仿宋_GB2312" w:eastAsia="仿宋_GB2312" w:cs="仿宋_GB2312"/>
          <w:color w:val="auto"/>
          <w:kern w:val="2"/>
          <w:sz w:val="32"/>
          <w:szCs w:val="32"/>
          <w:highlight w:val="none"/>
          <w:lang w:val="en-US" w:eastAsia="zh-CN" w:bidi="ar-SA"/>
        </w:rPr>
        <w:t>、第四十四条</w:t>
      </w:r>
      <w:r>
        <w:rPr>
          <w:rStyle w:val="23"/>
          <w:rFonts w:hint="eastAsia" w:ascii="仿宋_GB2312" w:hAnsi="仿宋_GB2312" w:eastAsia="仿宋_GB2312" w:cs="仿宋_GB2312"/>
          <w:color w:val="auto"/>
          <w:kern w:val="2"/>
          <w:sz w:val="32"/>
          <w:szCs w:val="32"/>
          <w:highlight w:val="none"/>
          <w:lang w:val="en-US" w:eastAsia="zh-CN" w:bidi="ar-SA"/>
        </w:rPr>
        <w:footnoteReference w:id="16"/>
      </w:r>
      <w:r>
        <w:rPr>
          <w:rFonts w:hint="eastAsia" w:ascii="仿宋_GB2312" w:hAnsi="仿宋_GB2312" w:eastAsia="仿宋_GB2312" w:cs="仿宋_GB2312"/>
          <w:color w:val="auto"/>
          <w:kern w:val="2"/>
          <w:sz w:val="32"/>
          <w:szCs w:val="32"/>
          <w:highlight w:val="none"/>
          <w:lang w:val="en-US" w:eastAsia="zh-CN" w:bidi="ar-SA"/>
        </w:rPr>
        <w:t>的规定，对该起事故负有主要责任，依据《中华人民共和国安全生产法》第一百一十四条第(一)项</w:t>
      </w:r>
      <w:r>
        <w:rPr>
          <w:rStyle w:val="23"/>
          <w:rFonts w:hint="eastAsia" w:ascii="仿宋_GB2312" w:hAnsi="仿宋_GB2312" w:eastAsia="仿宋_GB2312" w:cs="仿宋_GB2312"/>
          <w:color w:val="auto"/>
          <w:kern w:val="2"/>
          <w:sz w:val="32"/>
          <w:szCs w:val="32"/>
          <w:highlight w:val="none"/>
          <w:lang w:val="en-US" w:eastAsia="zh-CN" w:bidi="ar-SA"/>
        </w:rPr>
        <w:footnoteReference w:id="17"/>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《生产安全事故罚款处罚规定》（应急管理部令第14号）</w:t>
      </w:r>
      <w:r>
        <w:rPr>
          <w:rFonts w:hint="eastAsia" w:ascii="仿宋_GB2312" w:hAnsi="黑体" w:eastAsia="仿宋_GB2312"/>
          <w:color w:val="auto"/>
          <w:sz w:val="32"/>
          <w:szCs w:val="32"/>
          <w:lang w:eastAsia="zh-CN"/>
        </w:rPr>
        <w:t>第十四条第（二）</w:t>
      </w:r>
      <w:r>
        <w:rPr>
          <w:rFonts w:hint="eastAsia" w:ascii="仿宋_GB2312" w:hAnsi="仿宋_GB2312" w:eastAsia="仿宋_GB2312" w:cs="仿宋_GB2312"/>
          <w:color w:val="auto"/>
          <w:kern w:val="2"/>
          <w:sz w:val="32"/>
          <w:szCs w:val="32"/>
          <w:highlight w:val="none"/>
          <w:lang w:val="en-US" w:eastAsia="zh-CN" w:bidi="ar-SA"/>
        </w:rPr>
        <w:t>项</w:t>
      </w:r>
      <w:r>
        <w:rPr>
          <w:rStyle w:val="23"/>
          <w:rFonts w:hint="eastAsia" w:ascii="仿宋_GB2312" w:hAnsi="仿宋_GB2312" w:eastAsia="仿宋_GB2312" w:cs="仿宋_GB2312"/>
          <w:color w:val="auto"/>
          <w:kern w:val="2"/>
          <w:sz w:val="32"/>
          <w:szCs w:val="32"/>
          <w:highlight w:val="none"/>
          <w:lang w:val="en-US" w:eastAsia="zh-CN" w:bidi="ar-SA"/>
        </w:rPr>
        <w:footnoteReference w:id="18"/>
      </w:r>
      <w:r>
        <w:rPr>
          <w:rFonts w:hint="eastAsia" w:ascii="仿宋_GB2312" w:hAnsi="仿宋_GB2312" w:eastAsia="仿宋_GB2312" w:cs="仿宋_GB2312"/>
          <w:color w:val="auto"/>
          <w:kern w:val="2"/>
          <w:sz w:val="32"/>
          <w:szCs w:val="32"/>
          <w:highlight w:val="none"/>
          <w:lang w:val="en-US" w:eastAsia="zh-CN" w:bidi="ar-SA"/>
        </w:rPr>
        <w:t>之规定，</w:t>
      </w:r>
      <w:r>
        <w:rPr>
          <w:rFonts w:hint="eastAsia" w:ascii="仿宋_GB2312" w:hAnsi="仿宋_GB2312" w:eastAsia="仿宋_GB2312" w:cs="仿宋_GB2312"/>
          <w:color w:val="auto"/>
          <w:kern w:val="2"/>
          <w:sz w:val="32"/>
          <w:szCs w:val="32"/>
          <w:highlight w:val="none"/>
          <w:lang w:val="en-US" w:eastAsia="zh-CN"/>
        </w:rPr>
        <w:t>参照</w:t>
      </w:r>
      <w:r>
        <w:rPr>
          <w:rFonts w:hint="eastAsia" w:ascii="仿宋_GB2312" w:hAnsi="仿宋_GB2312" w:eastAsia="仿宋_GB2312" w:cs="仿宋_GB2312"/>
          <w:color w:val="auto"/>
          <w:sz w:val="32"/>
          <w:szCs w:val="32"/>
          <w:highlight w:val="none"/>
          <w:lang w:val="en-US" w:eastAsia="zh-CN"/>
        </w:rPr>
        <w:t>《应急管理行政处罚裁量权基准》</w:t>
      </w:r>
      <w:r>
        <w:rPr>
          <w:rFonts w:hint="eastAsia" w:ascii="仿宋_GB2312" w:hAnsi="仿宋_GB2312" w:eastAsia="仿宋_GB2312" w:cs="仿宋_GB2312"/>
          <w:color w:val="auto"/>
          <w:kern w:val="2"/>
          <w:sz w:val="32"/>
          <w:szCs w:val="32"/>
          <w:highlight w:val="none"/>
          <w:lang w:val="en-US" w:eastAsia="zh-CN"/>
        </w:rPr>
        <w:t>（应急〔2024〕90号）第九十六条</w:t>
      </w:r>
      <w:r>
        <w:rPr>
          <w:rFonts w:hint="eastAsia" w:ascii="仿宋_GB2312" w:hAnsi="仿宋_GB2312" w:cs="仿宋_GB2312"/>
          <w:color w:val="auto"/>
          <w:kern w:val="2"/>
          <w:sz w:val="32"/>
          <w:szCs w:val="32"/>
          <w:highlight w:val="none"/>
          <w:lang w:val="en-US" w:eastAsia="zh-CN"/>
        </w:rPr>
        <w:t>B</w:t>
      </w:r>
      <w:r>
        <w:rPr>
          <w:rFonts w:hint="eastAsia" w:ascii="仿宋_GB2312" w:hAnsi="仿宋_GB2312" w:eastAsia="仿宋_GB2312" w:cs="仿宋_GB2312"/>
          <w:color w:val="auto"/>
          <w:kern w:val="2"/>
          <w:sz w:val="32"/>
          <w:szCs w:val="32"/>
          <w:highlight w:val="none"/>
          <w:lang w:val="en-US" w:eastAsia="zh-CN"/>
        </w:rPr>
        <w:t>阶</w:t>
      </w:r>
      <w:r>
        <w:rPr>
          <w:rFonts w:hint="eastAsia" w:ascii="仿宋_GB2312" w:hAnsi="仿宋_GB2312" w:eastAsia="仿宋_GB2312" w:cs="仿宋_GB2312"/>
          <w:color w:val="auto"/>
          <w:sz w:val="32"/>
          <w:szCs w:val="32"/>
          <w:highlight w:val="none"/>
          <w:vertAlign w:val="superscript"/>
          <w:lang w:val="en-US" w:eastAsia="zh-CN"/>
        </w:rPr>
        <w:footnoteReference w:id="19"/>
      </w:r>
      <w:r>
        <w:rPr>
          <w:rFonts w:hint="eastAsia" w:ascii="仿宋_GB2312" w:hAnsi="仿宋_GB2312" w:eastAsia="仿宋_GB2312" w:cs="仿宋_GB2312"/>
          <w:color w:val="auto"/>
          <w:sz w:val="32"/>
          <w:szCs w:val="32"/>
          <w:highlight w:val="none"/>
          <w:lang w:val="en-US" w:eastAsia="zh-CN"/>
        </w:rPr>
        <w:t>裁量基准规定，建议由县应急管理局依法对该公司作出处人民币55万元（大写：伍拾伍万元整）罚款的行政处罚。</w:t>
      </w:r>
    </w:p>
    <w:p>
      <w:pPr>
        <w:pStyle w:val="2"/>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2" w:firstLineChars="200"/>
        <w:textAlignment w:val="auto"/>
        <w:rPr>
          <w:rFonts w:hint="default" w:ascii="楷体_GB2312" w:hAnsi="黑体" w:eastAsia="楷体_GB2312" w:cs="Times New Roman"/>
          <w:b/>
          <w:color w:val="auto"/>
          <w:sz w:val="32"/>
          <w:szCs w:val="32"/>
          <w:highlight w:val="none"/>
          <w:lang w:val="en-US" w:eastAsia="zh-CN"/>
        </w:rPr>
      </w:pPr>
      <w:bookmarkStart w:id="8" w:name="_Toc22662"/>
      <w:r>
        <w:rPr>
          <w:rFonts w:hint="eastAsia" w:ascii="楷体_GB2312" w:hAnsi="黑体" w:eastAsia="楷体_GB2312" w:cs="Times New Roman"/>
          <w:b/>
          <w:color w:val="auto"/>
          <w:sz w:val="32"/>
          <w:szCs w:val="32"/>
          <w:highlight w:val="none"/>
          <w:lang w:val="en-US" w:eastAsia="zh-CN"/>
        </w:rPr>
        <w:t>（</w:t>
      </w:r>
      <w:r>
        <w:rPr>
          <w:rFonts w:hint="default" w:ascii="楷体_GB2312" w:hAnsi="黑体" w:eastAsia="楷体_GB2312" w:cs="Times New Roman"/>
          <w:b/>
          <w:color w:val="auto"/>
          <w:sz w:val="32"/>
          <w:szCs w:val="32"/>
          <w:highlight w:val="none"/>
          <w:lang w:val="en-US" w:eastAsia="zh-CN"/>
        </w:rPr>
        <w:t>三）</w:t>
      </w:r>
      <w:r>
        <w:rPr>
          <w:rFonts w:hint="eastAsia" w:ascii="楷体_GB2312" w:hAnsi="黑体" w:eastAsia="楷体_GB2312" w:cs="Times New Roman"/>
          <w:b/>
          <w:color w:val="auto"/>
          <w:sz w:val="32"/>
          <w:szCs w:val="32"/>
          <w:highlight w:val="none"/>
          <w:lang w:val="en-US" w:eastAsia="zh-CN"/>
        </w:rPr>
        <w:t>相关部门监管责任及处理建议</w:t>
      </w:r>
    </w:p>
    <w:p>
      <w:pPr>
        <w:pStyle w:val="2"/>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平罗县工业园区服务中心、县工信局、应急局“属地、主管、监管”责任落实不到位，在全面加强安全风险管控上存在不足，未能有效督促企业认真落实安全生产主体责任。建议上述部门对相关责任人员进行通报批评并作出书面检查，将处理结果上报事故调查组。</w:t>
      </w:r>
    </w:p>
    <w:p>
      <w:pPr>
        <w:pStyle w:val="2"/>
        <w:keepNext w:val="0"/>
        <w:keepLines w:val="0"/>
        <w:pageBreakBefore w:val="0"/>
        <w:widowControl w:val="0"/>
        <w:kinsoku/>
        <w:wordWrap/>
        <w:overflowPunct/>
        <w:topLinePunct w:val="0"/>
        <w:autoSpaceDE/>
        <w:autoSpaceDN/>
        <w:bidi w:val="0"/>
        <w:adjustRightInd/>
        <w:snapToGrid/>
        <w:spacing w:beforeAutospacing="0" w:after="0" w:line="540" w:lineRule="exact"/>
        <w:ind w:left="0" w:leftChars="0" w:firstLine="640" w:firstLineChars="200"/>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五、事故主要教训</w:t>
      </w:r>
    </w:p>
    <w:p>
      <w:pPr>
        <w:pStyle w:val="2"/>
        <w:keepNext w:val="0"/>
        <w:keepLines w:val="0"/>
        <w:pageBreakBefore w:val="0"/>
        <w:widowControl w:val="0"/>
        <w:kinsoku/>
        <w:wordWrap/>
        <w:overflowPunct/>
        <w:topLinePunct w:val="0"/>
        <w:autoSpaceDE/>
        <w:autoSpaceDN/>
        <w:bidi w:val="0"/>
        <w:adjustRightInd/>
        <w:snapToGrid/>
        <w:spacing w:beforeAutospacing="0" w:after="0" w:line="48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此次事故是一起典型的由于管理漏洞层层叠加而导致的责任事故，教训深刻。主要表现在正东公司一是安全主体责任不落实，企业主要负责人、安全管理人员未能有效履行法定安全管理职责，对安全管理、隐患排查、教育培训、应急演练流于形式，督促、检查操作岗位安全生产工作不全面，未及时消除生产安全事故隐</w:t>
      </w:r>
      <w:r>
        <w:rPr>
          <w:rFonts w:hint="eastAsia" w:ascii="仿宋_GB2312" w:hAnsi="仿宋_GB2312" w:cs="仿宋_GB2312"/>
          <w:color w:val="auto"/>
          <w:kern w:val="2"/>
          <w:sz w:val="32"/>
          <w:szCs w:val="32"/>
          <w:highlight w:val="none"/>
          <w:lang w:val="en-US" w:eastAsia="zh-CN" w:bidi="ar-SA"/>
        </w:rPr>
        <w:t>患</w:t>
      </w:r>
      <w:r>
        <w:rPr>
          <w:rFonts w:hint="eastAsia" w:ascii="仿宋_GB2312" w:hAnsi="仿宋_GB2312" w:eastAsia="仿宋_GB2312" w:cs="仿宋_GB2312"/>
          <w:color w:val="auto"/>
          <w:kern w:val="2"/>
          <w:sz w:val="32"/>
          <w:szCs w:val="32"/>
          <w:highlight w:val="none"/>
          <w:lang w:val="en-US" w:eastAsia="zh-CN" w:bidi="ar-SA"/>
        </w:rPr>
        <w:t>。二是安全操作规程不健全、不完善，企业制定了《活化炉安全操作规程》，但安全操作规程缺少活化炉上料系统安全操作的相关内容。三是风险分级管控与隐患排查治理双重预防机制未落实，未能主动、系统地识别和评估操作过程中的危险有害因素，并采取有效措施进行控制。四是</w:t>
      </w:r>
      <w:r>
        <w:rPr>
          <w:rFonts w:hint="eastAsia" w:ascii="仿宋_GB2312" w:hAnsi="仿宋_GB2312" w:cs="仿宋_GB2312"/>
          <w:color w:val="auto"/>
          <w:kern w:val="2"/>
          <w:sz w:val="32"/>
          <w:szCs w:val="32"/>
          <w:highlight w:val="none"/>
          <w:lang w:val="en-US" w:eastAsia="zh-CN" w:bidi="ar-SA"/>
        </w:rPr>
        <w:t>应急救援缓慢，应急处置能力不足，遇到险情或事故处理效果不佳</w:t>
      </w:r>
      <w:r>
        <w:rPr>
          <w:rFonts w:hint="eastAsia" w:ascii="仿宋_GB2312" w:hAnsi="仿宋_GB2312" w:eastAsia="仿宋_GB2312" w:cs="仿宋_GB2312"/>
          <w:color w:val="auto"/>
          <w:kern w:val="2"/>
          <w:sz w:val="32"/>
          <w:szCs w:val="32"/>
          <w:highlight w:val="none"/>
          <w:lang w:val="en-US" w:eastAsia="zh-CN" w:bidi="ar-SA"/>
        </w:rPr>
        <w:t>。五是安全意识淡薄，从员工到管理层，对生产过程中的高风险环节认识不足，“安全第一”的原则未能真正落到实处。</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640" w:firstLineChars="200"/>
        <w:textAlignment w:val="auto"/>
        <w:outlineLvl w:val="0"/>
        <w:rPr>
          <w:rFonts w:hint="eastAsia" w:ascii="黑体" w:hAnsi="黑体" w:eastAsia="黑体" w:cs="宋体"/>
          <w:color w:val="auto"/>
          <w:kern w:val="0"/>
          <w:sz w:val="32"/>
          <w:szCs w:val="32"/>
          <w:highlight w:val="none"/>
          <w:lang w:val="en-US" w:eastAsia="zh-CN"/>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w:t>
      </w:r>
      <w:r>
        <w:rPr>
          <w:rFonts w:hint="eastAsia" w:ascii="黑体" w:hAnsi="黑体" w:eastAsia="黑体" w:cs="宋体"/>
          <w:color w:val="auto"/>
          <w:kern w:val="0"/>
          <w:sz w:val="32"/>
          <w:szCs w:val="32"/>
          <w:highlight w:val="none"/>
        </w:rPr>
        <w:t>事故</w:t>
      </w:r>
      <w:r>
        <w:rPr>
          <w:rFonts w:hint="eastAsia" w:ascii="黑体" w:hAnsi="黑体" w:eastAsia="黑体" w:cs="宋体"/>
          <w:color w:val="auto"/>
          <w:kern w:val="0"/>
          <w:sz w:val="32"/>
          <w:szCs w:val="32"/>
          <w:highlight w:val="none"/>
          <w:lang w:eastAsia="zh-CN"/>
        </w:rPr>
        <w:t>防范</w:t>
      </w:r>
      <w:r>
        <w:rPr>
          <w:rFonts w:hint="eastAsia" w:ascii="黑体" w:hAnsi="黑体" w:eastAsia="黑体" w:cs="宋体"/>
          <w:color w:val="auto"/>
          <w:kern w:val="0"/>
          <w:sz w:val="32"/>
          <w:szCs w:val="32"/>
          <w:highlight w:val="none"/>
          <w:lang w:val="en-US" w:eastAsia="zh-CN"/>
        </w:rPr>
        <w:t>和整改措施</w:t>
      </w:r>
      <w:bookmarkEnd w:id="8"/>
    </w:p>
    <w:p>
      <w:pPr>
        <w:pStyle w:val="2"/>
        <w:keepNext w:val="0"/>
        <w:keepLines w:val="0"/>
        <w:pageBreakBefore w:val="0"/>
        <w:kinsoku/>
        <w:wordWrap/>
        <w:overflowPunct/>
        <w:topLinePunct w:val="0"/>
        <w:autoSpaceDE/>
        <w:autoSpaceDN/>
        <w:bidi w:val="0"/>
        <w:adjustRightInd/>
        <w:snapToGrid/>
        <w:spacing w:beforeAutospacing="0" w:after="0" w:line="480" w:lineRule="exact"/>
        <w:ind w:left="0" w:leftChars="0" w:firstLine="640" w:firstLineChars="200"/>
        <w:textAlignment w:val="auto"/>
        <w:rPr>
          <w:rFonts w:hint="eastAsia" w:ascii="仿宋_GB2312" w:hAnsi="黑体" w:cs="Times New Roman"/>
          <w:color w:val="auto"/>
          <w:sz w:val="32"/>
          <w:szCs w:val="32"/>
          <w:highlight w:val="none"/>
          <w:lang w:val="en-US" w:eastAsia="zh-CN"/>
        </w:rPr>
      </w:pPr>
      <w:r>
        <w:rPr>
          <w:rFonts w:hint="eastAsia" w:ascii="仿宋_GB2312" w:hAnsi="黑体" w:eastAsia="仿宋_GB2312" w:cs="Times New Roman"/>
          <w:color w:val="auto"/>
          <w:sz w:val="32"/>
          <w:szCs w:val="32"/>
          <w:highlight w:val="none"/>
          <w:lang w:val="en-US" w:eastAsia="zh-CN"/>
        </w:rPr>
        <w:t>该起事故充分暴露出企业在安全生产工作中存在的诸多短板</w:t>
      </w:r>
      <w:r>
        <w:rPr>
          <w:rFonts w:hint="eastAsia" w:ascii="仿宋_GB2312" w:hAnsi="黑体" w:cs="Times New Roman"/>
          <w:color w:val="auto"/>
          <w:sz w:val="32"/>
          <w:szCs w:val="32"/>
          <w:highlight w:val="none"/>
          <w:lang w:val="en-US" w:eastAsia="zh-CN"/>
        </w:rPr>
        <w:t>弱项</w:t>
      </w:r>
      <w:r>
        <w:rPr>
          <w:rFonts w:hint="eastAsia" w:ascii="仿宋_GB2312" w:hAnsi="黑体" w:eastAsia="仿宋_GB2312" w:cs="Times New Roman"/>
          <w:color w:val="auto"/>
          <w:sz w:val="32"/>
          <w:szCs w:val="32"/>
          <w:highlight w:val="none"/>
          <w:lang w:val="en-US" w:eastAsia="zh-CN"/>
        </w:rPr>
        <w:t>，要深刻汲取</w:t>
      </w:r>
      <w:r>
        <w:rPr>
          <w:rFonts w:hint="eastAsia" w:ascii="仿宋_GB2312" w:hAnsi="黑体" w:eastAsia="仿宋_GB2312" w:cs="Times New Roman"/>
          <w:color w:val="auto"/>
          <w:sz w:val="32"/>
          <w:szCs w:val="32"/>
          <w:highlight w:val="none"/>
        </w:rPr>
        <w:t>“</w:t>
      </w:r>
      <w:r>
        <w:rPr>
          <w:rFonts w:hint="eastAsia" w:ascii="仿宋_GB2312" w:hAnsi="黑体" w:cs="Times New Roman"/>
          <w:color w:val="auto"/>
          <w:sz w:val="32"/>
          <w:szCs w:val="32"/>
          <w:highlight w:val="none"/>
          <w:lang w:val="en-US" w:eastAsia="zh-CN"/>
        </w:rPr>
        <w:t>9·1</w:t>
      </w:r>
      <w:r>
        <w:rPr>
          <w:rFonts w:hint="eastAsia" w:ascii="仿宋_GB2312" w:hAnsi="黑体" w:eastAsia="仿宋_GB2312" w:cs="Times New Roman"/>
          <w:color w:val="auto"/>
          <w:sz w:val="32"/>
          <w:szCs w:val="32"/>
          <w:highlight w:val="none"/>
        </w:rPr>
        <w:t>”</w:t>
      </w:r>
      <w:r>
        <w:rPr>
          <w:rFonts w:hint="eastAsia" w:ascii="仿宋_GB2312" w:hAnsi="黑体" w:cs="Times New Roman"/>
          <w:color w:val="auto"/>
          <w:sz w:val="32"/>
          <w:szCs w:val="32"/>
          <w:highlight w:val="none"/>
          <w:lang w:eastAsia="zh-CN"/>
        </w:rPr>
        <w:t>一般起重伤害生产安全</w:t>
      </w:r>
      <w:r>
        <w:rPr>
          <w:rFonts w:hint="eastAsia" w:ascii="仿宋_GB2312" w:hAnsi="黑体" w:eastAsia="仿宋_GB2312" w:cs="Times New Roman"/>
          <w:color w:val="auto"/>
          <w:sz w:val="32"/>
          <w:szCs w:val="32"/>
          <w:highlight w:val="none"/>
        </w:rPr>
        <w:t>事故案</w:t>
      </w:r>
      <w:r>
        <w:rPr>
          <w:rFonts w:hint="eastAsia" w:ascii="仿宋_GB2312" w:hAnsi="黑体" w:cs="Times New Roman"/>
          <w:color w:val="auto"/>
          <w:sz w:val="32"/>
          <w:szCs w:val="32"/>
          <w:highlight w:val="none"/>
          <w:lang w:val="en-US" w:eastAsia="zh-CN"/>
        </w:rPr>
        <w:t>教训，采取以下防范措施进行整改：</w:t>
      </w:r>
    </w:p>
    <w:p>
      <w:pPr>
        <w:keepNext w:val="0"/>
        <w:keepLines w:val="0"/>
        <w:pageBreakBefore w:val="0"/>
        <w:numPr>
          <w:ilvl w:val="0"/>
          <w:numId w:val="1"/>
        </w:numPr>
        <w:kinsoku/>
        <w:wordWrap/>
        <w:overflowPunct/>
        <w:topLinePunct w:val="0"/>
        <w:autoSpaceDE/>
        <w:autoSpaceDN/>
        <w:bidi w:val="0"/>
        <w:adjustRightInd/>
        <w:snapToGrid/>
        <w:spacing w:beforeAutospacing="0" w:line="480" w:lineRule="exact"/>
        <w:ind w:firstLine="642"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落实主体责任，加强安全管理。</w:t>
      </w:r>
      <w:r>
        <w:rPr>
          <w:rFonts w:hint="eastAsia" w:ascii="仿宋_GB2312" w:hAnsi="黑体" w:eastAsia="仿宋_GB2312" w:cs="Times New Roman"/>
          <w:color w:val="auto"/>
          <w:kern w:val="2"/>
          <w:sz w:val="32"/>
          <w:szCs w:val="32"/>
          <w:highlight w:val="none"/>
          <w:lang w:val="en-US" w:eastAsia="zh-CN" w:bidi="ar-SA"/>
        </w:rPr>
        <w:t>依据《中华人民共和国安全生产法》的规定，严格落实企业主体责任，加强安全生产管理，完善和执行安全管理制度、流程、规章，让安全管理有章可循，避免因“无规则”“乱操作”导致发生生产安全事故；明确安全责任、操作规范和应急处置机制，从“规则层面”约束行为、管控风险；加强安全设备经常性维护、保养，并定期检测，保证正常运转。</w:t>
      </w:r>
    </w:p>
    <w:p>
      <w:pPr>
        <w:keepNext w:val="0"/>
        <w:keepLines w:val="0"/>
        <w:pageBreakBefore w:val="0"/>
        <w:kinsoku/>
        <w:wordWrap/>
        <w:overflowPunct/>
        <w:topLinePunct w:val="0"/>
        <w:autoSpaceDE/>
        <w:autoSpaceDN/>
        <w:bidi w:val="0"/>
        <w:adjustRightInd/>
        <w:snapToGrid/>
        <w:spacing w:beforeAutospacing="0" w:line="480" w:lineRule="exact"/>
        <w:ind w:firstLine="642"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（二）吸取事故教训，剖析事故原因。</w:t>
      </w:r>
      <w:r>
        <w:rPr>
          <w:rFonts w:hint="eastAsia" w:ascii="仿宋_GB2312" w:hAnsi="黑体" w:eastAsia="仿宋_GB2312" w:cs="Times New Roman"/>
          <w:color w:val="auto"/>
          <w:kern w:val="2"/>
          <w:sz w:val="32"/>
          <w:szCs w:val="32"/>
          <w:highlight w:val="none"/>
          <w:lang w:val="en-US" w:eastAsia="zh-CN" w:bidi="ar-SA"/>
        </w:rPr>
        <w:t>组织全员开展一次事故警示教育大会，深刻吸取事故教训，认真分析事故原因，强化安全生产红线意识，加强岗位作业安全管理，督促作业人员正确使用和佩戴劳动防护用品，及时纠正、制止“三违”行为，确保生产过程安全。</w:t>
      </w:r>
    </w:p>
    <w:p>
      <w:pPr>
        <w:keepNext w:val="0"/>
        <w:keepLines w:val="0"/>
        <w:pageBreakBefore w:val="0"/>
        <w:kinsoku/>
        <w:wordWrap/>
        <w:overflowPunct/>
        <w:topLinePunct w:val="0"/>
        <w:autoSpaceDE/>
        <w:autoSpaceDN/>
        <w:bidi w:val="0"/>
        <w:adjustRightInd/>
        <w:snapToGrid/>
        <w:spacing w:beforeAutospacing="0" w:line="480" w:lineRule="exact"/>
        <w:ind w:firstLine="642" w:firstLineChars="200"/>
        <w:jc w:val="left"/>
        <w:textAlignment w:val="auto"/>
        <w:rPr>
          <w:rFonts w:hint="default"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（三）定期隐患排查，确保设施安全。</w:t>
      </w:r>
      <w:r>
        <w:rPr>
          <w:rFonts w:hint="eastAsia" w:ascii="仿宋_GB2312" w:hAnsi="黑体" w:eastAsia="仿宋_GB2312" w:cs="Times New Roman"/>
          <w:color w:val="auto"/>
          <w:kern w:val="2"/>
          <w:sz w:val="32"/>
          <w:szCs w:val="32"/>
          <w:highlight w:val="none"/>
          <w:lang w:val="en-US" w:eastAsia="zh-CN" w:bidi="ar-SA"/>
        </w:rPr>
        <w:t>主要负责人要带头认真开展安全生产治本攻坚三年行动，定期进行设备设施大排查， 建立安全隐患排查整治台账，采取有效措施，制定整改方案，明确整改责任，对不具备安全使用条件的设备设施，用安全可靠的上料系统替代活化炉电动葫芦上料系统，确保硬件设施安全。</w:t>
      </w:r>
    </w:p>
    <w:p>
      <w:pPr>
        <w:pStyle w:val="2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2"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（四）加强教育培训，提高安全意识。</w:t>
      </w:r>
      <w:r>
        <w:rPr>
          <w:rFonts w:hint="eastAsia" w:ascii="仿宋_GB2312" w:hAnsi="黑体" w:eastAsia="仿宋_GB2312" w:cs="Times New Roman"/>
          <w:color w:val="auto"/>
          <w:kern w:val="2"/>
          <w:sz w:val="32"/>
          <w:szCs w:val="32"/>
          <w:highlight w:val="none"/>
          <w:lang w:val="en-US" w:eastAsia="zh-CN" w:bidi="ar-SA"/>
        </w:rPr>
        <w:t>通过安全教育、培训、宣传等方式，提升全员的安全意识、风险识别能力和应急处置素养，从“思想层面”杜绝麻痹大意，让“安全第一”成为自觉行为；开展职工“三级”安全教育，教会生产员工安全技能，风险识别能力、规避风险能力、隐患排查能力、应急处置能力，加强应急演练，提升应急救援能力。</w:t>
      </w:r>
    </w:p>
    <w:p>
      <w:pPr>
        <w:pStyle w:val="2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2"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（五）强化监管责任，整治监管盲区。</w:t>
      </w:r>
      <w:r>
        <w:rPr>
          <w:rFonts w:hint="eastAsia" w:ascii="仿宋_GB2312" w:hAnsi="黑体" w:eastAsia="仿宋_GB2312" w:cs="Times New Roman"/>
          <w:color w:val="auto"/>
          <w:kern w:val="2"/>
          <w:sz w:val="32"/>
          <w:szCs w:val="32"/>
          <w:highlight w:val="none"/>
          <w:lang w:val="en-US" w:eastAsia="zh-CN" w:bidi="ar-SA"/>
        </w:rPr>
        <w:t>各部门严格按照“三管三必须”和属地监管的原则，认真落实安全生产监管职责。</w:t>
      </w:r>
      <w:r>
        <w:rPr>
          <w:rFonts w:hint="eastAsia" w:ascii="仿宋_GB2312" w:hAnsi="黑体" w:eastAsia="仿宋_GB2312" w:cs="Times New Roman"/>
          <w:b/>
          <w:bCs/>
          <w:color w:val="auto"/>
          <w:kern w:val="2"/>
          <w:sz w:val="32"/>
          <w:szCs w:val="32"/>
          <w:highlight w:val="none"/>
          <w:lang w:val="en-US" w:eastAsia="zh-CN" w:bidi="ar-SA"/>
        </w:rPr>
        <w:t>平罗县工业园区服务中心</w:t>
      </w:r>
      <w:r>
        <w:rPr>
          <w:rFonts w:hint="eastAsia" w:ascii="仿宋_GB2312" w:hAnsi="黑体" w:eastAsia="仿宋_GB2312" w:cs="Times New Roman"/>
          <w:b w:val="0"/>
          <w:bCs w:val="0"/>
          <w:color w:val="auto"/>
          <w:kern w:val="2"/>
          <w:sz w:val="32"/>
          <w:szCs w:val="32"/>
          <w:highlight w:val="none"/>
          <w:lang w:val="en-US" w:eastAsia="zh-CN" w:bidi="ar-SA"/>
        </w:rPr>
        <w:t>督促企业落实主体责任，</w:t>
      </w:r>
      <w:r>
        <w:rPr>
          <w:rFonts w:hint="eastAsia" w:ascii="仿宋_GB2312" w:hAnsi="黑体" w:eastAsia="仿宋_GB2312" w:cs="Times New Roman"/>
          <w:color w:val="auto"/>
          <w:kern w:val="2"/>
          <w:sz w:val="32"/>
          <w:szCs w:val="32"/>
          <w:highlight w:val="none"/>
          <w:lang w:val="en-US" w:eastAsia="zh-CN" w:bidi="ar-SA"/>
        </w:rPr>
        <w:t>加大对企业活化炉上料系统的检查力度，对不符合安全要求的，督促企业及时整改；</w:t>
      </w:r>
      <w:r>
        <w:rPr>
          <w:rFonts w:hint="eastAsia" w:ascii="仿宋_GB2312" w:hAnsi="黑体" w:eastAsia="仿宋_GB2312" w:cs="Times New Roman"/>
          <w:b/>
          <w:bCs/>
          <w:color w:val="auto"/>
          <w:kern w:val="2"/>
          <w:sz w:val="32"/>
          <w:szCs w:val="32"/>
          <w:highlight w:val="none"/>
          <w:lang w:val="en-US" w:eastAsia="zh-CN" w:bidi="ar-SA"/>
        </w:rPr>
        <w:t>县工信局</w:t>
      </w:r>
      <w:r>
        <w:rPr>
          <w:rFonts w:hint="eastAsia" w:ascii="仿宋_GB2312" w:hAnsi="黑体" w:eastAsia="仿宋_GB2312" w:cs="Times New Roman"/>
          <w:color w:val="auto"/>
          <w:kern w:val="2"/>
          <w:sz w:val="32"/>
          <w:szCs w:val="32"/>
          <w:highlight w:val="none"/>
          <w:lang w:val="en-US" w:eastAsia="zh-CN" w:bidi="ar-SA"/>
        </w:rPr>
        <w:t>压实企业生产经营环节安全生产监管责任，堵塞监管漏洞，指导企业整改安全问题；</w:t>
      </w:r>
      <w:r>
        <w:rPr>
          <w:rFonts w:hint="eastAsia" w:ascii="仿宋_GB2312" w:hAnsi="黑体" w:eastAsia="仿宋_GB2312" w:cs="Times New Roman"/>
          <w:b/>
          <w:bCs/>
          <w:color w:val="auto"/>
          <w:kern w:val="2"/>
          <w:sz w:val="32"/>
          <w:szCs w:val="32"/>
          <w:highlight w:val="none"/>
          <w:lang w:val="en-US" w:eastAsia="zh-CN" w:bidi="ar-SA"/>
        </w:rPr>
        <w:t>县应急局</w:t>
      </w:r>
      <w:r>
        <w:rPr>
          <w:rFonts w:hint="eastAsia" w:ascii="仿宋_GB2312" w:hAnsi="黑体" w:eastAsia="仿宋_GB2312" w:cs="Times New Roman"/>
          <w:color w:val="auto"/>
          <w:kern w:val="2"/>
          <w:sz w:val="32"/>
          <w:szCs w:val="32"/>
          <w:highlight w:val="none"/>
          <w:lang w:val="en-US" w:eastAsia="zh-CN" w:bidi="ar-SA"/>
        </w:rPr>
        <w:t>持续开展治本攻坚三年行动，加大安全生产监督检查力度，强化执法检查，充分发挥执法震慑作用。各有关部门要各负其责，齐抓共管，形成工作合力，推进企业生产安全。</w:t>
      </w:r>
    </w:p>
    <w:p>
      <w:pPr>
        <w:pStyle w:val="2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jc w:val="left"/>
        <w:textAlignment w:val="auto"/>
        <w:rPr>
          <w:rFonts w:hint="eastAsia" w:ascii="仿宋_GB2312" w:hAnsi="黑体" w:eastAsia="仿宋_GB2312"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480" w:lineRule="exact"/>
        <w:ind w:firstLine="3520" w:firstLineChars="1100"/>
        <w:jc w:val="both"/>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宁夏正东贸易有限公司“9·1”一般</w:t>
      </w:r>
    </w:p>
    <w:p>
      <w:pPr>
        <w:keepNext w:val="0"/>
        <w:keepLines w:val="0"/>
        <w:pageBreakBefore w:val="0"/>
        <w:widowControl w:val="0"/>
        <w:kinsoku/>
        <w:wordWrap/>
        <w:overflowPunct/>
        <w:topLinePunct w:val="0"/>
        <w:autoSpaceDE/>
        <w:autoSpaceDN/>
        <w:bidi w:val="0"/>
        <w:adjustRightInd/>
        <w:snapToGrid/>
        <w:spacing w:beforeAutospacing="0" w:line="480" w:lineRule="exact"/>
        <w:jc w:val="center"/>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 xml:space="preserve">                     起重伤害生产安全事故案调查组 </w:t>
      </w:r>
      <w:r>
        <w:rPr>
          <w:rFonts w:hint="default" w:ascii="仿宋_GB2312" w:hAnsi="黑体" w:eastAsia="仿宋_GB2312"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5120" w:firstLineChars="1600"/>
        <w:jc w:val="both"/>
        <w:textAlignment w:val="auto"/>
        <w:rPr>
          <w:color w:val="auto"/>
          <w:highlight w:val="none"/>
        </w:rPr>
      </w:pPr>
      <w:r>
        <w:rPr>
          <w:rFonts w:hint="default" w:ascii="仿宋_GB2312" w:hAnsi="黑体" w:eastAsia="仿宋_GB2312" w:cs="Times New Roman"/>
          <w:color w:val="auto"/>
          <w:kern w:val="2"/>
          <w:sz w:val="32"/>
          <w:szCs w:val="32"/>
          <w:highlight w:val="none"/>
          <w:lang w:val="en-US" w:eastAsia="zh-CN" w:bidi="ar-SA"/>
        </w:rPr>
        <w:t>202</w:t>
      </w:r>
      <w:r>
        <w:rPr>
          <w:rFonts w:hint="eastAsia" w:ascii="仿宋_GB2312" w:hAnsi="黑体" w:eastAsia="仿宋_GB2312" w:cs="Times New Roman"/>
          <w:color w:val="auto"/>
          <w:kern w:val="2"/>
          <w:sz w:val="32"/>
          <w:szCs w:val="32"/>
          <w:highlight w:val="none"/>
          <w:lang w:val="en-US" w:eastAsia="zh-CN" w:bidi="ar-SA"/>
        </w:rPr>
        <w:t>5</w:t>
      </w:r>
      <w:r>
        <w:rPr>
          <w:rFonts w:hint="default" w:ascii="仿宋_GB2312" w:hAnsi="黑体" w:eastAsia="仿宋_GB2312" w:cs="Times New Roman"/>
          <w:color w:val="auto"/>
          <w:kern w:val="2"/>
          <w:sz w:val="32"/>
          <w:szCs w:val="32"/>
          <w:highlight w:val="none"/>
          <w:lang w:val="en-US" w:eastAsia="zh-CN" w:bidi="ar-SA"/>
        </w:rPr>
        <w:t>年</w:t>
      </w:r>
      <w:r>
        <w:rPr>
          <w:rFonts w:hint="eastAsia" w:ascii="仿宋_GB2312" w:hAnsi="黑体" w:eastAsia="仿宋_GB2312" w:cs="Times New Roman"/>
          <w:color w:val="auto"/>
          <w:kern w:val="2"/>
          <w:sz w:val="32"/>
          <w:szCs w:val="32"/>
          <w:highlight w:val="none"/>
          <w:lang w:val="en-US" w:eastAsia="zh-CN" w:bidi="ar-SA"/>
        </w:rPr>
        <w:t>10</w:t>
      </w:r>
      <w:r>
        <w:rPr>
          <w:rFonts w:hint="default" w:ascii="仿宋_GB2312" w:hAnsi="黑体" w:eastAsia="仿宋_GB2312" w:cs="Times New Roman"/>
          <w:color w:val="auto"/>
          <w:kern w:val="2"/>
          <w:sz w:val="32"/>
          <w:szCs w:val="32"/>
          <w:highlight w:val="none"/>
          <w:lang w:val="en-US" w:eastAsia="zh-CN" w:bidi="ar-SA"/>
        </w:rPr>
        <w:t>月</w:t>
      </w:r>
      <w:r>
        <w:rPr>
          <w:rFonts w:hint="eastAsia" w:ascii="仿宋_GB2312" w:hAnsi="黑体" w:eastAsia="仿宋_GB2312" w:cs="Times New Roman"/>
          <w:color w:val="auto"/>
          <w:kern w:val="2"/>
          <w:sz w:val="32"/>
          <w:szCs w:val="32"/>
          <w:highlight w:val="none"/>
          <w:lang w:val="en-US" w:eastAsia="zh-CN" w:bidi="ar-SA"/>
        </w:rPr>
        <w:t>10</w:t>
      </w:r>
      <w:r>
        <w:rPr>
          <w:rFonts w:hint="default" w:ascii="仿宋_GB2312" w:hAnsi="黑体" w:eastAsia="仿宋_GB2312" w:cs="Times New Roman"/>
          <w:color w:val="auto"/>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仿宋_GB2312" w:hAnsi="黑体" w:eastAsia="仿宋_GB2312" w:cs="Times New Roman"/>
          <w:color w:val="auto"/>
          <w:kern w:val="2"/>
          <w:sz w:val="32"/>
          <w:szCs w:val="32"/>
          <w:highlight w:val="none"/>
          <w:lang w:val="en-US" w:eastAsia="zh-CN" w:bidi="ar-SA"/>
        </w:rPr>
      </w:pPr>
      <w:r>
        <w:rPr>
          <w:rFonts w:hint="default" w:ascii="仿宋_GB2312" w:hAnsi="黑体" w:eastAsia="仿宋_GB2312" w:cs="Times New Roman"/>
          <w:color w:val="auto"/>
          <w:kern w:val="2"/>
          <w:sz w:val="32"/>
          <w:szCs w:val="32"/>
          <w:highlight w:val="none"/>
          <w:lang w:val="en-US" w:eastAsia="zh-CN" w:bidi="ar-SA"/>
        </w:rPr>
        <w:t xml:space="preserve">               </w:t>
      </w:r>
    </w:p>
    <w:sectPr>
      <w:footerReference r:id="rId7"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00"/>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国标仿宋-GB/T 2312">
    <w:altName w:val="方正仿宋_GBK"/>
    <w:panose1 w:val="020005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8"/>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pPr>
        <w:pStyle w:val="11"/>
        <w:snapToGrid w:val="0"/>
        <w:rPr>
          <w:rFonts w:hint="eastAsia" w:cs="黑体"/>
          <w:lang w:eastAsia="zh-CN"/>
        </w:rPr>
      </w:pPr>
      <w:r>
        <w:rPr>
          <w:rStyle w:val="23"/>
        </w:rPr>
        <w:footnoteRef/>
      </w:r>
      <w:r>
        <w:t xml:space="preserve"> </w:t>
      </w:r>
      <w:r>
        <w:rPr>
          <w:rFonts w:hint="eastAsia" w:cs="黑体"/>
          <w:lang w:eastAsia="zh-CN"/>
        </w:rPr>
        <w:t>《中华人民共和国安全生产法》第八十六条第一款：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footnote>
  <w:footnote w:id="1">
    <w:p>
      <w:pPr>
        <w:pStyle w:val="11"/>
        <w:snapToGrid w:val="0"/>
        <w:rPr>
          <w:rFonts w:hint="eastAsia" w:cs="黑体"/>
          <w:lang w:val="en-US" w:eastAsia="zh-CN"/>
        </w:rPr>
      </w:pPr>
      <w:r>
        <w:rPr>
          <w:rStyle w:val="23"/>
          <w:rFonts w:hint="eastAsia" w:ascii="Times New Roman" w:hAnsi="Times New Roman"/>
          <w:lang w:eastAsia="zh-CN"/>
        </w:rPr>
        <w:footnoteRef/>
      </w:r>
      <w:r>
        <w:rPr>
          <w:rFonts w:hint="eastAsia" w:cs="黑体"/>
          <w:lang w:eastAsia="zh-CN"/>
        </w:rPr>
        <w:t xml:space="preserve"> 《</w:t>
      </w:r>
      <w:r>
        <w:rPr>
          <w:rFonts w:hint="eastAsia" w:cs="黑体"/>
          <w:lang w:val="en-US" w:eastAsia="zh-CN"/>
        </w:rPr>
        <w:t>生产安全事故报告和调查处理条例》第十九条第二款：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footnote>
  <w:footnote w:id="2">
    <w:p>
      <w:pPr>
        <w:pStyle w:val="11"/>
        <w:snapToGrid w:val="0"/>
        <w:rPr>
          <w:rFonts w:hint="eastAsia" w:cs="黑体"/>
          <w:lang w:val="en-US" w:eastAsia="zh-CN"/>
        </w:rPr>
      </w:pPr>
      <w:r>
        <w:rPr>
          <w:rStyle w:val="23"/>
          <w:rFonts w:hint="eastAsia" w:ascii="Times New Roman" w:hAnsi="Times New Roman"/>
          <w:lang w:val="en-US" w:eastAsia="zh-CN"/>
        </w:rPr>
        <w:footnoteRef/>
      </w:r>
      <w:r>
        <w:rPr>
          <w:rFonts w:hint="eastAsia" w:cs="黑体"/>
          <w:lang w:val="en-US" w:eastAsia="zh-CN"/>
        </w:rPr>
        <w:t xml:space="preserve"> </w:t>
      </w:r>
      <w:r>
        <w:rPr>
          <w:rFonts w:hint="eastAsia" w:cs="黑体"/>
          <w:lang w:eastAsia="zh-CN"/>
        </w:rPr>
        <w:t>《</w:t>
      </w:r>
      <w:r>
        <w:rPr>
          <w:rFonts w:hint="eastAsia" w:cs="黑体"/>
          <w:lang w:val="en-US" w:eastAsia="zh-CN"/>
        </w:rPr>
        <w:t>生产安全事故报告和调查处理条例》第二十二条第二款：根据事故的具体情况，事故调查组由有关人民政府、安全生产监督管理部门、负有安全生产监督管理职责的有关部门、监察机关、公安机关以及工会派人组成，并应当邀请人民检察院派人参加。事故调查组可以聘请有关专家参与调查。</w:t>
      </w:r>
    </w:p>
  </w:footnote>
  <w:footnote w:id="3">
    <w:p>
      <w:pPr>
        <w:pStyle w:val="11"/>
        <w:snapToGrid w:val="0"/>
        <w:rPr>
          <w:rFonts w:hint="eastAsia" w:ascii="Calibri" w:hAnsi="Calibri" w:eastAsia="宋体" w:cs="Times New Roman"/>
          <w:kern w:val="2"/>
          <w:sz w:val="18"/>
          <w:szCs w:val="24"/>
          <w:lang w:val="en-US" w:eastAsia="zh-CN" w:bidi="ar-SA"/>
        </w:rPr>
      </w:pPr>
      <w:r>
        <w:rPr>
          <w:rStyle w:val="23"/>
          <w:rFonts w:hint="eastAsia" w:ascii="Times New Roman" w:hAnsi="Times New Roman"/>
          <w:lang w:val="en-US" w:eastAsia="zh-CN"/>
        </w:rPr>
        <w:footnoteRef/>
      </w:r>
      <w:r>
        <w:rPr>
          <w:rFonts w:hint="eastAsia" w:cs="黑体"/>
          <w:lang w:val="en-US" w:eastAsia="zh-CN"/>
        </w:rPr>
        <w:t xml:space="preserve"> </w:t>
      </w:r>
      <w:r>
        <w:rPr>
          <w:rFonts w:hint="eastAsia" w:cs="黑体"/>
          <w:lang w:eastAsia="zh-CN"/>
        </w:rPr>
        <w:t>《</w:t>
      </w:r>
      <w:r>
        <w:rPr>
          <w:rFonts w:hint="eastAsia" w:cs="黑体"/>
          <w:lang w:val="en-US" w:eastAsia="zh-CN"/>
        </w:rPr>
        <w:t>生产安全事故报告和调查处理条例》第二十四条：事故调查组组长由负责事故调查的人民政府指定。事故调查组组长主持事故调查组的工作。</w:t>
      </w:r>
    </w:p>
  </w:footnote>
  <w:footnote w:id="4">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《中华人民共和国安全生产法》第二十一条</w:t>
      </w:r>
      <w:r>
        <w:rPr>
          <w:rFonts w:hint="eastAsia" w:ascii="Calibri" w:hAnsi="Calibri" w:cs="黑体"/>
          <w:kern w:val="2"/>
          <w:sz w:val="18"/>
          <w:szCs w:val="24"/>
          <w:lang w:val="en-US" w:eastAsia="zh-CN" w:bidi="ar-SA"/>
        </w:rPr>
        <w:t>第（二）（五）项：</w:t>
      </w:r>
      <w:r>
        <w:rPr>
          <w:rFonts w:hint="eastAsia" w:ascii="Calibri" w:hAnsi="Calibri" w:eastAsia="宋体" w:cs="黑体"/>
          <w:kern w:val="2"/>
          <w:sz w:val="18"/>
          <w:szCs w:val="24"/>
          <w:lang w:val="en-US" w:eastAsia="zh-CN" w:bidi="ar-SA"/>
        </w:rPr>
        <w:t>生产经营单位的主要负责人对本单位安全生产工作负有下列职责:</w:t>
      </w:r>
      <w:r>
        <w:rPr>
          <w:rFonts w:hint="eastAsia" w:ascii="Calibri" w:hAnsi="Calibri" w:cs="黑体"/>
          <w:kern w:val="2"/>
          <w:sz w:val="18"/>
          <w:szCs w:val="24"/>
          <w:lang w:val="en-US" w:eastAsia="zh-CN" w:bidi="ar-SA"/>
        </w:rPr>
        <w:t>（二）组织制定并实施本单位安全生产规章制度和操作规程；</w:t>
      </w:r>
      <w:r>
        <w:rPr>
          <w:rFonts w:hint="eastAsia" w:ascii="Calibri" w:hAnsi="Calibri" w:eastAsia="宋体" w:cs="黑体"/>
          <w:kern w:val="2"/>
          <w:sz w:val="18"/>
          <w:szCs w:val="24"/>
          <w:lang w:val="en-US" w:eastAsia="zh-CN" w:bidi="ar-SA"/>
        </w:rPr>
        <w:t>（五）组织建立并落实安全风险分级管控和隐患排查治理双重预防工作机制，督促、检查本单位的安全生产工作，及时消除生产安全事故隐患</w:t>
      </w:r>
      <w:r>
        <w:rPr>
          <w:rFonts w:hint="eastAsia" w:ascii="Calibri" w:hAnsi="Calibri" w:cs="黑体"/>
          <w:kern w:val="2"/>
          <w:sz w:val="18"/>
          <w:szCs w:val="24"/>
          <w:lang w:val="en-US" w:eastAsia="zh-CN" w:bidi="ar-SA"/>
        </w:rPr>
        <w:t>。</w:t>
      </w:r>
    </w:p>
  </w:footnote>
  <w:footnote w:id="5">
    <w:p>
      <w:pPr>
        <w:pStyle w:val="11"/>
        <w:snapToGrid w:val="0"/>
        <w:rPr>
          <w:rFonts w:hint="eastAsia" w:eastAsia="宋体"/>
          <w:lang w:eastAsia="zh-CN"/>
        </w:rPr>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w:t>
      </w:r>
      <w:r>
        <w:rPr>
          <w:rFonts w:hint="eastAsia" w:ascii="Calibri" w:hAnsi="Calibri" w:cs="黑体"/>
          <w:kern w:val="2"/>
          <w:sz w:val="18"/>
          <w:szCs w:val="24"/>
          <w:lang w:val="en-US" w:eastAsia="zh-CN" w:bidi="ar-SA"/>
        </w:rPr>
        <w:t>第九十五条第（一）项：</w:t>
      </w:r>
      <w:r>
        <w:rPr>
          <w:rFonts w:hint="eastAsia"/>
        </w:rPr>
        <w:t>生产经营单位的主要负责人未履行本法规定的安全生产管理职责，导致发生生产安全事故的，由应急管理部门依照下列规定处以罚款:（一）发生一般事故的，处上一年年收入百分之四十的罚款</w:t>
      </w:r>
      <w:r>
        <w:rPr>
          <w:rFonts w:hint="eastAsia"/>
          <w:lang w:eastAsia="zh-CN"/>
        </w:rPr>
        <w:t>。</w:t>
      </w:r>
    </w:p>
  </w:footnote>
  <w:footnote w:id="6">
    <w:p>
      <w:pPr>
        <w:pStyle w:val="11"/>
        <w:snapToGrid w:val="0"/>
        <w:rPr>
          <w:rFonts w:hint="eastAsia" w:eastAsia="宋体"/>
          <w:lang w:eastAsia="zh-CN"/>
        </w:rPr>
      </w:pPr>
      <w:r>
        <w:rPr>
          <w:rStyle w:val="23"/>
        </w:rPr>
        <w:footnoteRef/>
      </w:r>
      <w:r>
        <w:t xml:space="preserve"> </w:t>
      </w:r>
      <w:r>
        <w:rPr>
          <w:rFonts w:hint="eastAsia" w:ascii="Calibri" w:hAnsi="Calibri" w:eastAsia="宋体" w:cs="黑体"/>
          <w:kern w:val="2"/>
          <w:sz w:val="18"/>
          <w:szCs w:val="24"/>
          <w:lang w:val="en-US" w:eastAsia="zh-CN" w:bidi="ar-SA"/>
        </w:rPr>
        <w:t>《生产安全事故罚款处罚规定》</w:t>
      </w:r>
      <w:r>
        <w:rPr>
          <w:rFonts w:hint="eastAsia" w:ascii="Calibri" w:hAnsi="Calibri" w:cs="黑体"/>
          <w:kern w:val="2"/>
          <w:sz w:val="18"/>
          <w:szCs w:val="24"/>
          <w:lang w:val="en-US" w:eastAsia="zh-CN" w:bidi="ar-SA"/>
        </w:rPr>
        <w:t>第</w:t>
      </w:r>
      <w:r>
        <w:rPr>
          <w:rFonts w:hint="eastAsia"/>
        </w:rPr>
        <w:t>十九条</w:t>
      </w:r>
      <w:r>
        <w:rPr>
          <w:rFonts w:hint="eastAsia" w:ascii="Calibri" w:hAnsi="Calibri" w:cs="黑体"/>
          <w:kern w:val="2"/>
          <w:sz w:val="18"/>
          <w:szCs w:val="24"/>
          <w:lang w:val="en-US" w:eastAsia="zh-CN" w:bidi="ar-SA"/>
        </w:rPr>
        <w:t>第（一）项：</w:t>
      </w:r>
      <w:r>
        <w:rPr>
          <w:rFonts w:hint="eastAsia"/>
        </w:rPr>
        <w:t xml:space="preserve">  事故发生单位主要负责人未依法履行安全生产管理职责，导致事故发生的，依照下列规定处以罚款：（一）发生一般事故的，处上一年年收入40％的罚款</w:t>
      </w:r>
      <w:r>
        <w:rPr>
          <w:rFonts w:hint="eastAsia"/>
          <w:lang w:eastAsia="zh-CN"/>
        </w:rPr>
        <w:t>。</w:t>
      </w:r>
    </w:p>
  </w:footnote>
  <w:footnote w:id="7">
    <w:p>
      <w:pPr>
        <w:pStyle w:val="11"/>
        <w:snapToGrid w:val="0"/>
      </w:pPr>
      <w:r>
        <w:rPr>
          <w:rStyle w:val="23"/>
        </w:rPr>
        <w:footnoteRef/>
      </w:r>
      <w:r>
        <w:t xml:space="preserve"> </w:t>
      </w:r>
      <w:r>
        <w:rPr>
          <w:rFonts w:hint="eastAsia"/>
        </w:rPr>
        <w:t>《应急管理行政处罚裁量权基准》（应急〔2024〕90号）第九十四条A阶</w:t>
      </w:r>
      <w:r>
        <w:rPr>
          <w:rFonts w:hint="eastAsia"/>
          <w:lang w:eastAsia="zh-CN"/>
        </w:rPr>
        <w:t>：</w:t>
      </w:r>
      <w:r>
        <w:rPr>
          <w:rFonts w:hint="eastAsia" w:ascii="Calibri" w:hAnsi="Calibri" w:eastAsia="宋体" w:cs="黑体"/>
          <w:kern w:val="2"/>
          <w:sz w:val="18"/>
          <w:szCs w:val="24"/>
          <w:lang w:val="en-US" w:eastAsia="zh-CN" w:bidi="ar-SA"/>
        </w:rPr>
        <w:t>生产经营单位的主要负责人未履行本法规定的安全生产管理职责，导致发生</w:t>
      </w:r>
      <w:r>
        <w:rPr>
          <w:rFonts w:hint="eastAsia" w:ascii="Calibri" w:hAnsi="Calibri" w:cs="黑体"/>
          <w:kern w:val="2"/>
          <w:sz w:val="18"/>
          <w:szCs w:val="24"/>
          <w:lang w:val="en-US" w:eastAsia="zh-CN" w:bidi="ar-SA"/>
        </w:rPr>
        <w:t>一般</w:t>
      </w:r>
      <w:r>
        <w:rPr>
          <w:rFonts w:hint="eastAsia" w:ascii="Calibri" w:hAnsi="Calibri" w:eastAsia="宋体" w:cs="黑体"/>
          <w:kern w:val="2"/>
          <w:sz w:val="18"/>
          <w:szCs w:val="24"/>
          <w:lang w:val="en-US" w:eastAsia="zh-CN" w:bidi="ar-SA"/>
        </w:rPr>
        <w:t>生产安全事故的</w:t>
      </w:r>
      <w:r>
        <w:rPr>
          <w:rFonts w:hint="eastAsia" w:ascii="Calibri" w:hAnsi="Calibri" w:cs="黑体"/>
          <w:kern w:val="2"/>
          <w:sz w:val="18"/>
          <w:szCs w:val="24"/>
          <w:lang w:val="en-US" w:eastAsia="zh-CN" w:bidi="ar-SA"/>
        </w:rPr>
        <w:t>，处上一年年收入40%的罚款；</w:t>
      </w:r>
    </w:p>
  </w:footnote>
  <w:footnote w:id="8">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《中华人民共和国安全生产法》第二十五条</w:t>
      </w:r>
      <w:r>
        <w:rPr>
          <w:rFonts w:hint="eastAsia" w:ascii="Calibri" w:hAnsi="Calibri" w:cs="黑体"/>
          <w:kern w:val="2"/>
          <w:sz w:val="18"/>
          <w:szCs w:val="24"/>
          <w:lang w:val="en-US" w:eastAsia="zh-CN" w:bidi="ar-SA"/>
        </w:rPr>
        <w:t>第（三）（五）项：</w:t>
      </w:r>
      <w:r>
        <w:rPr>
          <w:rFonts w:hint="eastAsia" w:ascii="Calibri" w:hAnsi="Calibri" w:eastAsia="宋体" w:cs="黑体"/>
          <w:kern w:val="2"/>
          <w:sz w:val="18"/>
          <w:szCs w:val="24"/>
          <w:lang w:val="en-US" w:eastAsia="zh-CN" w:bidi="ar-SA"/>
        </w:rPr>
        <w:t>生产经营单位的安全生产管理机构以及安全生产管理人员履行下列职责:</w:t>
      </w:r>
      <w:r>
        <w:rPr>
          <w:rFonts w:hint="eastAsia" w:ascii="Calibri" w:hAnsi="Calibri" w:cs="黑体"/>
          <w:kern w:val="2"/>
          <w:sz w:val="18"/>
          <w:szCs w:val="24"/>
          <w:lang w:val="en-US" w:eastAsia="zh-CN" w:bidi="ar-SA"/>
        </w:rPr>
        <w:t>（三）组织开展危险源辨识和评估，督促落实本单位重大危险源的安全管理措施；</w:t>
      </w:r>
      <w:r>
        <w:rPr>
          <w:rFonts w:hint="eastAsia" w:ascii="Calibri" w:hAnsi="Calibri" w:eastAsia="宋体" w:cs="黑体"/>
          <w:kern w:val="2"/>
          <w:sz w:val="18"/>
          <w:szCs w:val="24"/>
          <w:lang w:val="en-US" w:eastAsia="zh-CN" w:bidi="ar-SA"/>
        </w:rPr>
        <w:t>（五）检查本单位的安全生产状况，及时排查生产安全事故隐患，提出改进安全生产管理的建议</w:t>
      </w:r>
      <w:r>
        <w:rPr>
          <w:rFonts w:hint="eastAsia" w:ascii="Calibri" w:hAnsi="Calibri" w:cs="黑体"/>
          <w:kern w:val="2"/>
          <w:sz w:val="18"/>
          <w:szCs w:val="24"/>
          <w:lang w:val="en-US" w:eastAsia="zh-CN" w:bidi="ar-SA"/>
        </w:rPr>
        <w:t>。</w:t>
      </w:r>
    </w:p>
  </w:footnote>
  <w:footnote w:id="9">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《中华人民共和国安全生产法》第九十六条</w:t>
      </w:r>
      <w:r>
        <w:rPr>
          <w:rFonts w:hint="eastAsia" w:ascii="Calibri" w:hAnsi="Calibri" w:cs="黑体"/>
          <w:kern w:val="2"/>
          <w:sz w:val="18"/>
          <w:szCs w:val="24"/>
          <w:lang w:val="en-US" w:eastAsia="zh-CN" w:bidi="ar-SA"/>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0">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rPr>
        <w:t>《生产安全事故罚款处罚规定》第二</w:t>
      </w:r>
      <w:r>
        <w:rPr>
          <w:rFonts w:hint="eastAsia"/>
          <w:lang w:eastAsia="zh-CN"/>
        </w:rPr>
        <w:t>十</w:t>
      </w:r>
      <w:r>
        <w:rPr>
          <w:rFonts w:hint="eastAsia"/>
        </w:rPr>
        <w:t>条</w:t>
      </w:r>
      <w:r>
        <w:rPr>
          <w:rFonts w:hint="eastAsia"/>
          <w:lang w:eastAsia="zh-CN"/>
        </w:rPr>
        <w:t>第（一）项</w:t>
      </w:r>
      <w:r>
        <w:rPr>
          <w:rFonts w:hint="eastAsia" w:ascii="Calibri" w:hAnsi="Calibri" w:cs="黑体"/>
          <w:kern w:val="2"/>
          <w:sz w:val="18"/>
          <w:szCs w:val="24"/>
          <w:lang w:val="en-US" w:eastAsia="zh-CN" w:bidi="ar-SA"/>
        </w:rPr>
        <w:t>：事故发生单位其他负责人和安全生产管理人员未依法履行安全生产管理职责，导致事故发生的，依照下列规定处以罚款：（一）发生一般事故的，处上一年年收入20%至30%的罚款。</w:t>
      </w:r>
    </w:p>
  </w:footnote>
  <w:footnote w:id="11">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《中华人民共和国安全生产法》第二十五条</w:t>
      </w:r>
      <w:r>
        <w:rPr>
          <w:rFonts w:hint="eastAsia" w:ascii="Calibri" w:hAnsi="Calibri" w:cs="黑体"/>
          <w:kern w:val="2"/>
          <w:sz w:val="18"/>
          <w:szCs w:val="24"/>
          <w:lang w:val="en-US" w:eastAsia="zh-CN" w:bidi="ar-SA"/>
        </w:rPr>
        <w:t>第（五）项：</w:t>
      </w:r>
      <w:r>
        <w:rPr>
          <w:rFonts w:hint="eastAsia" w:ascii="Calibri" w:hAnsi="Calibri" w:eastAsia="宋体" w:cs="黑体"/>
          <w:kern w:val="2"/>
          <w:sz w:val="18"/>
          <w:szCs w:val="24"/>
          <w:lang w:val="en-US" w:eastAsia="zh-CN" w:bidi="ar-SA"/>
        </w:rPr>
        <w:t>生产经营单位的安全生产管理机构以及安全生产管理人员履行下列职责:（五）检查本单位的安全生产状况，及时排查生产安全事故隐患，提出改进安全生产管理的建议</w:t>
      </w:r>
      <w:r>
        <w:rPr>
          <w:rFonts w:hint="eastAsia" w:ascii="Calibri" w:hAnsi="Calibri" w:cs="黑体"/>
          <w:kern w:val="2"/>
          <w:sz w:val="18"/>
          <w:szCs w:val="24"/>
          <w:lang w:val="en-US" w:eastAsia="zh-CN" w:bidi="ar-SA"/>
        </w:rPr>
        <w:t>。</w:t>
      </w:r>
    </w:p>
  </w:footnote>
  <w:footnote w:id="12">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《中华人民共和国安全生产法》第九十六条</w:t>
      </w:r>
      <w:r>
        <w:rPr>
          <w:rFonts w:hint="eastAsia" w:ascii="Calibri" w:hAnsi="Calibri" w:cs="黑体"/>
          <w:kern w:val="2"/>
          <w:sz w:val="18"/>
          <w:szCs w:val="24"/>
          <w:lang w:val="en-US" w:eastAsia="zh-CN" w:bidi="ar-SA"/>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3">
    <w:p>
      <w:pPr>
        <w:pStyle w:val="11"/>
        <w:snapToGrid w:val="0"/>
        <w:rPr>
          <w:rFonts w:hint="eastAsia" w:ascii="Calibri" w:hAnsi="Calibri" w:eastAsia="宋体" w:cs="黑体"/>
          <w:kern w:val="2"/>
          <w:sz w:val="18"/>
          <w:szCs w:val="24"/>
          <w:lang w:val="en-US" w:eastAsia="zh-CN" w:bidi="ar-SA"/>
        </w:rPr>
      </w:pPr>
      <w:r>
        <w:rPr>
          <w:rStyle w:val="23"/>
        </w:rPr>
        <w:footnoteRef/>
      </w:r>
      <w:r>
        <w:t xml:space="preserve"> </w:t>
      </w:r>
      <w:r>
        <w:rPr>
          <w:rFonts w:hint="eastAsia"/>
        </w:rPr>
        <w:t>《生产安全事故罚款处罚规定》第二</w:t>
      </w:r>
      <w:r>
        <w:rPr>
          <w:rFonts w:hint="eastAsia"/>
          <w:lang w:eastAsia="zh-CN"/>
        </w:rPr>
        <w:t>十</w:t>
      </w:r>
      <w:r>
        <w:rPr>
          <w:rFonts w:hint="eastAsia"/>
        </w:rPr>
        <w:t>条</w:t>
      </w:r>
      <w:r>
        <w:rPr>
          <w:rFonts w:hint="eastAsia"/>
          <w:lang w:eastAsia="zh-CN"/>
        </w:rPr>
        <w:t>第（一）项</w:t>
      </w:r>
      <w:r>
        <w:rPr>
          <w:rFonts w:hint="eastAsia" w:ascii="Calibri" w:hAnsi="Calibri" w:cs="黑体"/>
          <w:kern w:val="2"/>
          <w:sz w:val="18"/>
          <w:szCs w:val="24"/>
          <w:lang w:val="en-US" w:eastAsia="zh-CN" w:bidi="ar-SA"/>
        </w:rPr>
        <w:t>：事故发生单位其他负责人和安全生产管理人员未依法履行安全生产管理职责，导致事故发生的，依照下列规定处以罚款：（一）发生一般事故的，处上一年年收入20%至30%的罚款。</w:t>
      </w:r>
    </w:p>
  </w:footnote>
  <w:footnote w:id="14">
    <w:p>
      <w:pPr>
        <w:pStyle w:val="11"/>
        <w:snapToGrid w:val="0"/>
        <w:rPr>
          <w:rFonts w:hint="eastAsia" w:ascii="Calibri" w:hAnsi="Calibri" w:eastAsia="宋体" w:cs="黑体"/>
          <w:kern w:val="2"/>
          <w:sz w:val="18"/>
          <w:szCs w:val="24"/>
          <w:lang w:val="en-US" w:eastAsia="zh-CN" w:bidi="ar-SA"/>
        </w:rPr>
      </w:pPr>
      <w:r>
        <w:rPr>
          <w:rStyle w:val="23"/>
          <w:rFonts w:hint="eastAsia" w:ascii="Times New Roman" w:hAnsi="Times New Roman" w:eastAsia="宋体" w:cs="Times New Roman"/>
          <w:kern w:val="2"/>
          <w:sz w:val="18"/>
          <w:szCs w:val="24"/>
          <w:lang w:val="en-US" w:eastAsia="zh-CN" w:bidi="ar-SA"/>
        </w:rPr>
        <w:footnoteRef/>
      </w:r>
      <w:r>
        <w:rPr>
          <w:rFonts w:hint="eastAsia" w:cs="黑体"/>
          <w:kern w:val="2"/>
          <w:sz w:val="18"/>
          <w:szCs w:val="24"/>
          <w:lang w:val="en-US" w:eastAsia="zh-CN" w:bidi="ar-SA"/>
        </w:rPr>
        <w:t xml:space="preserve"> </w:t>
      </w:r>
      <w:r>
        <w:rPr>
          <w:rFonts w:hint="eastAsia" w:ascii="Calibri" w:hAnsi="Calibri" w:eastAsia="宋体" w:cs="黑体"/>
          <w:kern w:val="2"/>
          <w:sz w:val="18"/>
          <w:szCs w:val="24"/>
          <w:lang w:val="en-US" w:eastAsia="zh-CN" w:bidi="ar-SA"/>
        </w:rPr>
        <w:t>《中华人民共和国安全生产法》</w:t>
      </w:r>
      <w:r>
        <w:rPr>
          <w:rFonts w:hint="eastAsia" w:cs="黑体"/>
          <w:kern w:val="2"/>
          <w:sz w:val="18"/>
          <w:szCs w:val="24"/>
          <w:lang w:val="en-US" w:eastAsia="zh-CN" w:bidi="ar-SA"/>
        </w:rPr>
        <w:t>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5">
    <w:p>
      <w:pPr>
        <w:pStyle w:val="11"/>
        <w:snapToGrid w:val="0"/>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《中华人民共和国安全生产法》第四十一条第二款</w:t>
      </w:r>
      <w:r>
        <w:rPr>
          <w:rFonts w:hint="eastAsia" w:cs="黑体"/>
          <w:kern w:val="2"/>
          <w:sz w:val="18"/>
          <w:szCs w:val="24"/>
          <w:lang w:val="en-US" w:eastAsia="zh-CN" w:bidi="ar-SA"/>
        </w:rPr>
        <w:t>：</w:t>
      </w:r>
      <w:r>
        <w:rPr>
          <w:rFonts w:hint="eastAsia" w:ascii="Calibri" w:hAnsi="Calibri" w:eastAsia="宋体" w:cs="黑体"/>
          <w:kern w:val="2"/>
          <w:sz w:val="18"/>
          <w:szCs w:val="24"/>
          <w:lang w:val="en-US" w:eastAsia="zh-CN" w:bidi="ar-SA"/>
        </w:rPr>
        <w:t>生产经营单位应当建立健全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6">
    <w:p>
      <w:pPr>
        <w:pStyle w:val="11"/>
        <w:snapToGrid w:val="0"/>
      </w:pPr>
      <w:r>
        <w:rPr>
          <w:rStyle w:val="23"/>
        </w:rPr>
        <w:footnoteRef/>
      </w:r>
      <w:r>
        <w:t xml:space="preserve"> </w:t>
      </w:r>
      <w:r>
        <w:rPr>
          <w:rFonts w:hint="eastAsia" w:ascii="Calibri" w:hAnsi="Calibri" w:eastAsia="宋体" w:cs="黑体"/>
          <w:kern w:val="2"/>
          <w:sz w:val="18"/>
          <w:szCs w:val="24"/>
          <w:lang w:val="en-US" w:eastAsia="zh-CN" w:bidi="ar-SA"/>
        </w:rPr>
        <w:t>《中华人民共和国安全生产法》第四十</w:t>
      </w:r>
      <w:r>
        <w:rPr>
          <w:rFonts w:hint="eastAsia" w:ascii="Calibri" w:hAnsi="Calibri" w:cs="黑体"/>
          <w:kern w:val="2"/>
          <w:sz w:val="18"/>
          <w:szCs w:val="24"/>
          <w:lang w:val="en-US" w:eastAsia="zh-CN" w:bidi="ar-SA"/>
        </w:rPr>
        <w:t>四</w:t>
      </w:r>
      <w:r>
        <w:rPr>
          <w:rFonts w:hint="eastAsia" w:ascii="Calibri" w:hAnsi="Calibri" w:eastAsia="宋体" w:cs="黑体"/>
          <w:kern w:val="2"/>
          <w:sz w:val="18"/>
          <w:szCs w:val="24"/>
          <w:lang w:val="en-US" w:eastAsia="zh-CN" w:bidi="ar-SA"/>
        </w:rPr>
        <w:t>条</w:t>
      </w:r>
      <w:r>
        <w:rPr>
          <w:rFonts w:hint="eastAsia" w:cs="黑体"/>
          <w:kern w:val="2"/>
          <w:sz w:val="18"/>
          <w:szCs w:val="24"/>
          <w:lang w:val="en-US" w:eastAsia="zh-CN" w:bidi="ar-SA"/>
        </w:rPr>
        <w:t>：生产经营单位应当教育和督促从业人员严格执行本单位的安全生产规章制度和安全操作规程；并向从业人员如实告知作业场所和工作岗位存在的危险因素、防范措施以及事故应急措施。</w:t>
      </w:r>
    </w:p>
  </w:footnote>
  <w:footnote w:id="17">
    <w:p>
      <w:pPr>
        <w:pStyle w:val="11"/>
        <w:snapToGrid w:val="0"/>
        <w:rPr>
          <w:rFonts w:hint="eastAsia" w:eastAsia="宋体"/>
          <w:lang w:eastAsia="zh-CN"/>
        </w:rPr>
      </w:pPr>
      <w:r>
        <w:rPr>
          <w:rStyle w:val="23"/>
        </w:rPr>
        <w:footnoteRef/>
      </w:r>
      <w:r>
        <w:rPr>
          <w:rFonts w:hint="eastAsia" w:cs="黑体"/>
          <w:kern w:val="2"/>
          <w:sz w:val="18"/>
          <w:szCs w:val="24"/>
          <w:lang w:val="en-US" w:eastAsia="zh-CN" w:bidi="ar-SA"/>
        </w:rPr>
        <w:t xml:space="preserve"> </w:t>
      </w:r>
      <w:r>
        <w:rPr>
          <w:rFonts w:hint="eastAsia"/>
        </w:rPr>
        <w:t>《中华人民共和国安全生产法》第一百一十四条第(一)项</w:t>
      </w:r>
      <w:r>
        <w:rPr>
          <w:rFonts w:hint="eastAsia"/>
          <w:lang w:eastAsia="zh-CN"/>
        </w:rPr>
        <w:t>：发生生产安全事故，对负有责任的生产经营单位除要求其依法承担相应的赔偿等责任外，由安全生产监督管理部门依照下列规定处以罚款：（一）发生一般事故的，处三十万元以上一百万元以下的罚款。</w:t>
      </w:r>
    </w:p>
  </w:footnote>
  <w:footnote w:id="18">
    <w:p>
      <w:pPr>
        <w:pStyle w:val="11"/>
        <w:snapToGrid w:val="0"/>
        <w:rPr>
          <w:rFonts w:hint="eastAsia" w:eastAsia="宋体"/>
          <w:lang w:eastAsia="zh-CN"/>
        </w:rPr>
      </w:pPr>
      <w:r>
        <w:rPr>
          <w:rStyle w:val="23"/>
        </w:rPr>
        <w:footnoteRef/>
      </w:r>
      <w:r>
        <w:rPr>
          <w:rFonts w:hint="eastAsia" w:cs="黑体"/>
          <w:kern w:val="2"/>
          <w:sz w:val="18"/>
          <w:szCs w:val="24"/>
          <w:lang w:val="en-US" w:eastAsia="zh-CN" w:bidi="ar-SA"/>
        </w:rPr>
        <w:t xml:space="preserve"> </w:t>
      </w:r>
      <w:r>
        <w:rPr>
          <w:rFonts w:hint="eastAsia"/>
        </w:rPr>
        <w:t>《生产安全事故罚款处罚规定》</w:t>
      </w:r>
      <w:r>
        <w:rPr>
          <w:rFonts w:hint="eastAsia"/>
          <w:lang w:eastAsia="zh-CN"/>
        </w:rPr>
        <w:t>第十四条</w:t>
      </w:r>
      <w:r>
        <w:rPr>
          <w:rFonts w:hint="eastAsia"/>
        </w:rPr>
        <w:t>第(</w:t>
      </w:r>
      <w:r>
        <w:rPr>
          <w:rFonts w:hint="eastAsia"/>
          <w:lang w:eastAsia="zh-CN"/>
        </w:rPr>
        <w:t>二</w:t>
      </w:r>
      <w:r>
        <w:rPr>
          <w:rFonts w:hint="eastAsia"/>
        </w:rPr>
        <w:t>)项</w:t>
      </w:r>
      <w:r>
        <w:rPr>
          <w:rFonts w:hint="eastAsia"/>
          <w:lang w:eastAsia="zh-CN"/>
        </w:rPr>
        <w:t>：事故发生单位对一般事故负有责任的，依照下列规定处以罚款：（二）造成1人死亡，或者3人以上6人以下重伤，或者300万元以上500万元以下直接经济损失的，处50万元以上70万元以下的罚款。</w:t>
      </w:r>
    </w:p>
  </w:footnote>
  <w:footnote w:id="19">
    <w:p>
      <w:pPr>
        <w:pStyle w:val="11"/>
        <w:snapToGrid w:val="0"/>
        <w:rPr>
          <w:rFonts w:hint="eastAsia" w:eastAsia="宋体"/>
          <w:lang w:eastAsia="zh-CN"/>
        </w:rPr>
      </w:pPr>
      <w:r>
        <w:rPr>
          <w:rStyle w:val="23"/>
        </w:rPr>
        <w:footnoteRef/>
      </w:r>
      <w:r>
        <w:t xml:space="preserve"> </w:t>
      </w:r>
      <w:r>
        <w:rPr>
          <w:rFonts w:hint="eastAsia"/>
        </w:rPr>
        <w:t>《应急管理行政处罚裁量权基准》（应急〔2024〕90号）第九十六条B阶</w:t>
      </w:r>
      <w:r>
        <w:rPr>
          <w:rFonts w:hint="eastAsia"/>
          <w:lang w:eastAsia="zh-CN"/>
        </w:rPr>
        <w:t>：造成1人死亡，或者3人以上6人以下重伤，或者300万元以上</w:t>
      </w:r>
      <w:r>
        <w:rPr>
          <w:rFonts w:hint="eastAsia"/>
          <w:lang w:val="en-US" w:eastAsia="zh-CN"/>
        </w:rPr>
        <w:t>5</w:t>
      </w:r>
      <w:r>
        <w:rPr>
          <w:rFonts w:hint="eastAsia"/>
          <w:lang w:eastAsia="zh-CN"/>
        </w:rPr>
        <w:t>00万元以下直接经济损失的，处</w:t>
      </w:r>
      <w:r>
        <w:rPr>
          <w:rFonts w:hint="eastAsia"/>
          <w:lang w:val="en-US" w:eastAsia="zh-CN"/>
        </w:rPr>
        <w:t>5</w:t>
      </w:r>
      <w:r>
        <w:rPr>
          <w:rFonts w:hint="eastAsia"/>
          <w:lang w:eastAsia="zh-CN"/>
        </w:rPr>
        <w:t>0万元以上70万元以下的罚款；情节特别严重、影响特别恶劣的，可以按上述罚款数额的二倍以上五倍以下对负有责任的生产经营单位处以罚款。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09745"/>
    <w:multiLevelType w:val="singleLevel"/>
    <w:tmpl w:val="B96097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0"/>
    <w:footnote w:id="4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MmM2NGZmMTYzNjdkNDE2YmNjMGRiOGI1MGYzMWIifQ=="/>
  </w:docVars>
  <w:rsids>
    <w:rsidRoot w:val="00000000"/>
    <w:rsid w:val="01F42D45"/>
    <w:rsid w:val="023C4E17"/>
    <w:rsid w:val="02B45683"/>
    <w:rsid w:val="031511C4"/>
    <w:rsid w:val="03190CB5"/>
    <w:rsid w:val="03431F30"/>
    <w:rsid w:val="036D1000"/>
    <w:rsid w:val="040E4592"/>
    <w:rsid w:val="043615A3"/>
    <w:rsid w:val="043A7135"/>
    <w:rsid w:val="045B6242"/>
    <w:rsid w:val="05E67B7B"/>
    <w:rsid w:val="05F96B7B"/>
    <w:rsid w:val="06F23CF7"/>
    <w:rsid w:val="085B1D6F"/>
    <w:rsid w:val="08C23B9D"/>
    <w:rsid w:val="09037894"/>
    <w:rsid w:val="0A20096D"/>
    <w:rsid w:val="0BFE313E"/>
    <w:rsid w:val="0C795780"/>
    <w:rsid w:val="0D156991"/>
    <w:rsid w:val="0D5749EB"/>
    <w:rsid w:val="0DB3138B"/>
    <w:rsid w:val="0DD61F6C"/>
    <w:rsid w:val="0E5057A7"/>
    <w:rsid w:val="0E8F2773"/>
    <w:rsid w:val="0FCE72CB"/>
    <w:rsid w:val="100B7BD7"/>
    <w:rsid w:val="10466022"/>
    <w:rsid w:val="118F7F96"/>
    <w:rsid w:val="11F21BE7"/>
    <w:rsid w:val="127B54E8"/>
    <w:rsid w:val="14E41640"/>
    <w:rsid w:val="15681628"/>
    <w:rsid w:val="15EFE385"/>
    <w:rsid w:val="16B9038D"/>
    <w:rsid w:val="16F2637E"/>
    <w:rsid w:val="198D3D53"/>
    <w:rsid w:val="1B7350C7"/>
    <w:rsid w:val="1B8D5A7A"/>
    <w:rsid w:val="1BFE1C50"/>
    <w:rsid w:val="1C3404B6"/>
    <w:rsid w:val="1CB3587E"/>
    <w:rsid w:val="1D390225"/>
    <w:rsid w:val="1D7A639C"/>
    <w:rsid w:val="1DDD8FDA"/>
    <w:rsid w:val="1DF20628"/>
    <w:rsid w:val="1E3F367E"/>
    <w:rsid w:val="1F6AD4E8"/>
    <w:rsid w:val="1F8D6222"/>
    <w:rsid w:val="1FFC753C"/>
    <w:rsid w:val="2021436A"/>
    <w:rsid w:val="20BB5506"/>
    <w:rsid w:val="211C2557"/>
    <w:rsid w:val="216E6218"/>
    <w:rsid w:val="21876614"/>
    <w:rsid w:val="21CFA735"/>
    <w:rsid w:val="22F10674"/>
    <w:rsid w:val="243B4518"/>
    <w:rsid w:val="24E231A5"/>
    <w:rsid w:val="25196DF7"/>
    <w:rsid w:val="281B7BFB"/>
    <w:rsid w:val="291122AA"/>
    <w:rsid w:val="2A423160"/>
    <w:rsid w:val="2A532368"/>
    <w:rsid w:val="2C527A89"/>
    <w:rsid w:val="2DBF08A4"/>
    <w:rsid w:val="2DFC2790"/>
    <w:rsid w:val="2E053AF7"/>
    <w:rsid w:val="2FB02963"/>
    <w:rsid w:val="2FBD4C0C"/>
    <w:rsid w:val="2FD97419"/>
    <w:rsid w:val="2FE029D7"/>
    <w:rsid w:val="2FE71D0A"/>
    <w:rsid w:val="2FFF7FCC"/>
    <w:rsid w:val="33CC25A8"/>
    <w:rsid w:val="33D658A7"/>
    <w:rsid w:val="343A629A"/>
    <w:rsid w:val="352F31BE"/>
    <w:rsid w:val="35942299"/>
    <w:rsid w:val="35D50157"/>
    <w:rsid w:val="363E2844"/>
    <w:rsid w:val="367D0BBA"/>
    <w:rsid w:val="371F3F69"/>
    <w:rsid w:val="377B1473"/>
    <w:rsid w:val="378D6B0A"/>
    <w:rsid w:val="37DF012A"/>
    <w:rsid w:val="38464802"/>
    <w:rsid w:val="384F24A7"/>
    <w:rsid w:val="38CC1D4A"/>
    <w:rsid w:val="39BD5153"/>
    <w:rsid w:val="39DA2245"/>
    <w:rsid w:val="39E42092"/>
    <w:rsid w:val="3A751F6D"/>
    <w:rsid w:val="3B340BAB"/>
    <w:rsid w:val="3B4E289D"/>
    <w:rsid w:val="3B535341"/>
    <w:rsid w:val="3C2854E9"/>
    <w:rsid w:val="3CE906C7"/>
    <w:rsid w:val="3D1E504B"/>
    <w:rsid w:val="3D567E34"/>
    <w:rsid w:val="3DEFE4DB"/>
    <w:rsid w:val="3DFD8A2A"/>
    <w:rsid w:val="3DFF9AD1"/>
    <w:rsid w:val="3E2D328B"/>
    <w:rsid w:val="3E6D7B2B"/>
    <w:rsid w:val="3E8409D1"/>
    <w:rsid w:val="3ED2C9AB"/>
    <w:rsid w:val="3F1A5776"/>
    <w:rsid w:val="3F2D5782"/>
    <w:rsid w:val="3F73472F"/>
    <w:rsid w:val="3F7A2500"/>
    <w:rsid w:val="3FAB1FC6"/>
    <w:rsid w:val="3FF63AC9"/>
    <w:rsid w:val="3FF73C71"/>
    <w:rsid w:val="3FFF182D"/>
    <w:rsid w:val="4180205E"/>
    <w:rsid w:val="423B74B1"/>
    <w:rsid w:val="43105949"/>
    <w:rsid w:val="440101D5"/>
    <w:rsid w:val="44AB4F09"/>
    <w:rsid w:val="454F1EDE"/>
    <w:rsid w:val="46430647"/>
    <w:rsid w:val="466E2692"/>
    <w:rsid w:val="46FA2178"/>
    <w:rsid w:val="472703A0"/>
    <w:rsid w:val="473F538B"/>
    <w:rsid w:val="47431429"/>
    <w:rsid w:val="49787384"/>
    <w:rsid w:val="4C374418"/>
    <w:rsid w:val="4CC039AA"/>
    <w:rsid w:val="4D235409"/>
    <w:rsid w:val="4E347D1E"/>
    <w:rsid w:val="4EEE1056"/>
    <w:rsid w:val="4F1162B1"/>
    <w:rsid w:val="501611DC"/>
    <w:rsid w:val="504F52E3"/>
    <w:rsid w:val="506B19F1"/>
    <w:rsid w:val="50AF796D"/>
    <w:rsid w:val="50CB7249"/>
    <w:rsid w:val="51E44342"/>
    <w:rsid w:val="51F77BCD"/>
    <w:rsid w:val="520914C1"/>
    <w:rsid w:val="53A616BE"/>
    <w:rsid w:val="549406ED"/>
    <w:rsid w:val="54C76825"/>
    <w:rsid w:val="54DE4E87"/>
    <w:rsid w:val="55520454"/>
    <w:rsid w:val="557A7BA4"/>
    <w:rsid w:val="563111E4"/>
    <w:rsid w:val="56AE4EFB"/>
    <w:rsid w:val="576D4478"/>
    <w:rsid w:val="57D34F8E"/>
    <w:rsid w:val="57E967CC"/>
    <w:rsid w:val="59A815C0"/>
    <w:rsid w:val="59DF28AF"/>
    <w:rsid w:val="5B8B2F47"/>
    <w:rsid w:val="5BC78C05"/>
    <w:rsid w:val="5BD423A6"/>
    <w:rsid w:val="5C2C3D3D"/>
    <w:rsid w:val="5CDBE6A4"/>
    <w:rsid w:val="5CED210B"/>
    <w:rsid w:val="5CFE797B"/>
    <w:rsid w:val="5D7F0D1B"/>
    <w:rsid w:val="5DFFDC10"/>
    <w:rsid w:val="5E7FD006"/>
    <w:rsid w:val="5E9D0551"/>
    <w:rsid w:val="5EDE4491"/>
    <w:rsid w:val="5EFDFC6D"/>
    <w:rsid w:val="5F0B5CF5"/>
    <w:rsid w:val="5F11646E"/>
    <w:rsid w:val="5F3A0F0C"/>
    <w:rsid w:val="5F6F85CA"/>
    <w:rsid w:val="5F784E4D"/>
    <w:rsid w:val="5FBF9E60"/>
    <w:rsid w:val="5FC7D9E3"/>
    <w:rsid w:val="5FF60D00"/>
    <w:rsid w:val="5FFF254F"/>
    <w:rsid w:val="5FFF608A"/>
    <w:rsid w:val="60AE1C1B"/>
    <w:rsid w:val="613704A4"/>
    <w:rsid w:val="619F14FA"/>
    <w:rsid w:val="64395C36"/>
    <w:rsid w:val="64447E84"/>
    <w:rsid w:val="6472557E"/>
    <w:rsid w:val="64A76411"/>
    <w:rsid w:val="64B654D9"/>
    <w:rsid w:val="64FED0FD"/>
    <w:rsid w:val="654F3237"/>
    <w:rsid w:val="663D34AD"/>
    <w:rsid w:val="66645504"/>
    <w:rsid w:val="66EE3189"/>
    <w:rsid w:val="67040861"/>
    <w:rsid w:val="674C0FFA"/>
    <w:rsid w:val="67632340"/>
    <w:rsid w:val="678715A2"/>
    <w:rsid w:val="679135D7"/>
    <w:rsid w:val="67F452B2"/>
    <w:rsid w:val="67FF337A"/>
    <w:rsid w:val="693C5DCF"/>
    <w:rsid w:val="69603C65"/>
    <w:rsid w:val="69BD10B7"/>
    <w:rsid w:val="69F60125"/>
    <w:rsid w:val="6A892D47"/>
    <w:rsid w:val="6A9D29B5"/>
    <w:rsid w:val="6AC02C0D"/>
    <w:rsid w:val="6AC34955"/>
    <w:rsid w:val="6AD62431"/>
    <w:rsid w:val="6B347157"/>
    <w:rsid w:val="6B7DB8F6"/>
    <w:rsid w:val="6BFE6C2C"/>
    <w:rsid w:val="6D1F791D"/>
    <w:rsid w:val="6D67A8E1"/>
    <w:rsid w:val="6DB12CE1"/>
    <w:rsid w:val="6DBBBB41"/>
    <w:rsid w:val="6DEFDC40"/>
    <w:rsid w:val="6E314A8C"/>
    <w:rsid w:val="6E5E3442"/>
    <w:rsid w:val="6E6A15D3"/>
    <w:rsid w:val="6F0C4A1E"/>
    <w:rsid w:val="6FC730A9"/>
    <w:rsid w:val="6FDB2C9B"/>
    <w:rsid w:val="6FE74DB4"/>
    <w:rsid w:val="6FF3403F"/>
    <w:rsid w:val="6FFB672D"/>
    <w:rsid w:val="6FFF03CD"/>
    <w:rsid w:val="6FFF95EE"/>
    <w:rsid w:val="70C96594"/>
    <w:rsid w:val="7200670D"/>
    <w:rsid w:val="7213624A"/>
    <w:rsid w:val="72606A84"/>
    <w:rsid w:val="72645BE8"/>
    <w:rsid w:val="730F17A8"/>
    <w:rsid w:val="736F76F3"/>
    <w:rsid w:val="7386076C"/>
    <w:rsid w:val="7431767E"/>
    <w:rsid w:val="74AD8FA1"/>
    <w:rsid w:val="750162FC"/>
    <w:rsid w:val="753319D5"/>
    <w:rsid w:val="753366D1"/>
    <w:rsid w:val="75795F8C"/>
    <w:rsid w:val="757F3840"/>
    <w:rsid w:val="762F7494"/>
    <w:rsid w:val="767C5E2F"/>
    <w:rsid w:val="76845FD3"/>
    <w:rsid w:val="76F5E57C"/>
    <w:rsid w:val="76FB44AE"/>
    <w:rsid w:val="7727CACC"/>
    <w:rsid w:val="77586705"/>
    <w:rsid w:val="77756E5B"/>
    <w:rsid w:val="77DE824C"/>
    <w:rsid w:val="77F753B1"/>
    <w:rsid w:val="77FCCD0C"/>
    <w:rsid w:val="78367E0F"/>
    <w:rsid w:val="787C0AF2"/>
    <w:rsid w:val="78AEC2B3"/>
    <w:rsid w:val="78EA0199"/>
    <w:rsid w:val="78EE15CD"/>
    <w:rsid w:val="78FD5D00"/>
    <w:rsid w:val="796B29EC"/>
    <w:rsid w:val="7A2C032D"/>
    <w:rsid w:val="7A5B64AE"/>
    <w:rsid w:val="7AC9810D"/>
    <w:rsid w:val="7ADD409B"/>
    <w:rsid w:val="7ADE2C3C"/>
    <w:rsid w:val="7AFB43A8"/>
    <w:rsid w:val="7B3EE665"/>
    <w:rsid w:val="7B6D6248"/>
    <w:rsid w:val="7B7F9367"/>
    <w:rsid w:val="7BFB391E"/>
    <w:rsid w:val="7C506BF7"/>
    <w:rsid w:val="7CFFCC1A"/>
    <w:rsid w:val="7D596FC2"/>
    <w:rsid w:val="7DBF30AE"/>
    <w:rsid w:val="7DDD4852"/>
    <w:rsid w:val="7DF3916C"/>
    <w:rsid w:val="7DFE7938"/>
    <w:rsid w:val="7DFF3820"/>
    <w:rsid w:val="7DFFDB8B"/>
    <w:rsid w:val="7ED51EDD"/>
    <w:rsid w:val="7EF7736C"/>
    <w:rsid w:val="7EFF4D80"/>
    <w:rsid w:val="7EFF5112"/>
    <w:rsid w:val="7F250ADB"/>
    <w:rsid w:val="7F377411"/>
    <w:rsid w:val="7F7BEFB3"/>
    <w:rsid w:val="7FBDF898"/>
    <w:rsid w:val="7FD59ACF"/>
    <w:rsid w:val="7FDFD994"/>
    <w:rsid w:val="7FE5078F"/>
    <w:rsid w:val="7FE58B42"/>
    <w:rsid w:val="7FEF0A7E"/>
    <w:rsid w:val="7FF78614"/>
    <w:rsid w:val="7FF7AD3A"/>
    <w:rsid w:val="7FFC4776"/>
    <w:rsid w:val="7FFCD15C"/>
    <w:rsid w:val="7FFFC330"/>
    <w:rsid w:val="7FFFDEA5"/>
    <w:rsid w:val="87FFB94F"/>
    <w:rsid w:val="8BDFF5AC"/>
    <w:rsid w:val="8FBDA056"/>
    <w:rsid w:val="9657F693"/>
    <w:rsid w:val="97F77CDC"/>
    <w:rsid w:val="9DFE0B88"/>
    <w:rsid w:val="9FEF0D65"/>
    <w:rsid w:val="A5EBB617"/>
    <w:rsid w:val="A7F60DBC"/>
    <w:rsid w:val="ABBD4C13"/>
    <w:rsid w:val="ADE7DAFC"/>
    <w:rsid w:val="ADEF3CFD"/>
    <w:rsid w:val="AEF740C8"/>
    <w:rsid w:val="AFFE8CD1"/>
    <w:rsid w:val="B5F7DC9E"/>
    <w:rsid w:val="B63FA16C"/>
    <w:rsid w:val="BBFC4D62"/>
    <w:rsid w:val="BE7D170A"/>
    <w:rsid w:val="BF720609"/>
    <w:rsid w:val="BFBDFB86"/>
    <w:rsid w:val="BFDD020E"/>
    <w:rsid w:val="BFDDBF38"/>
    <w:rsid w:val="BFF6E21B"/>
    <w:rsid w:val="BFFFA1B6"/>
    <w:rsid w:val="C3C02F79"/>
    <w:rsid w:val="C6F5036A"/>
    <w:rsid w:val="C7CF596C"/>
    <w:rsid w:val="CD9F08DA"/>
    <w:rsid w:val="CDCDF1E6"/>
    <w:rsid w:val="CF7B5C24"/>
    <w:rsid w:val="D4BD9806"/>
    <w:rsid w:val="D6EC5802"/>
    <w:rsid w:val="D7F3514C"/>
    <w:rsid w:val="DAFFABA2"/>
    <w:rsid w:val="DB77E929"/>
    <w:rsid w:val="DBB7D777"/>
    <w:rsid w:val="DBCE2837"/>
    <w:rsid w:val="DBE5EFF5"/>
    <w:rsid w:val="DD759422"/>
    <w:rsid w:val="DDED14C7"/>
    <w:rsid w:val="DDFE78DA"/>
    <w:rsid w:val="DEE7FB28"/>
    <w:rsid w:val="DEEED398"/>
    <w:rsid w:val="DEFD5732"/>
    <w:rsid w:val="DF5F2731"/>
    <w:rsid w:val="DF777B9E"/>
    <w:rsid w:val="DF7FA5DC"/>
    <w:rsid w:val="EBB767AC"/>
    <w:rsid w:val="EBF3C507"/>
    <w:rsid w:val="ECDA3652"/>
    <w:rsid w:val="EDFEA83B"/>
    <w:rsid w:val="EDFF5829"/>
    <w:rsid w:val="EEA10C74"/>
    <w:rsid w:val="EEFD1383"/>
    <w:rsid w:val="EEFD69B4"/>
    <w:rsid w:val="EF731621"/>
    <w:rsid w:val="EFAE67CD"/>
    <w:rsid w:val="EFD1C097"/>
    <w:rsid w:val="EFD78723"/>
    <w:rsid w:val="EFDEE898"/>
    <w:rsid w:val="EFDFD0BA"/>
    <w:rsid w:val="F1FD4C23"/>
    <w:rsid w:val="F33F3444"/>
    <w:rsid w:val="F3D71410"/>
    <w:rsid w:val="F3EF1914"/>
    <w:rsid w:val="F56FA481"/>
    <w:rsid w:val="F58F0413"/>
    <w:rsid w:val="F5AF3A6B"/>
    <w:rsid w:val="F5F86D1A"/>
    <w:rsid w:val="F77B2F9F"/>
    <w:rsid w:val="F7B864D3"/>
    <w:rsid w:val="F7CF152F"/>
    <w:rsid w:val="F7FF2AE5"/>
    <w:rsid w:val="F9799971"/>
    <w:rsid w:val="F9DD3AAA"/>
    <w:rsid w:val="FB471961"/>
    <w:rsid w:val="FBBF81AF"/>
    <w:rsid w:val="FBCF1B9F"/>
    <w:rsid w:val="FD4D1EA1"/>
    <w:rsid w:val="FDDD68CA"/>
    <w:rsid w:val="FDEEB3E8"/>
    <w:rsid w:val="FDFF344B"/>
    <w:rsid w:val="FE6F718F"/>
    <w:rsid w:val="FE7EF3FC"/>
    <w:rsid w:val="FEAD4351"/>
    <w:rsid w:val="FEFFE036"/>
    <w:rsid w:val="FF37162B"/>
    <w:rsid w:val="FF7F7DEC"/>
    <w:rsid w:val="FF92DDE5"/>
    <w:rsid w:val="FF93A0FB"/>
    <w:rsid w:val="FF9DB91C"/>
    <w:rsid w:val="FF9E209D"/>
    <w:rsid w:val="FFB31A27"/>
    <w:rsid w:val="FFBEC8CB"/>
    <w:rsid w:val="FFDEE728"/>
    <w:rsid w:val="FFF3577C"/>
    <w:rsid w:val="FFF7D6A0"/>
    <w:rsid w:val="FFFDCE83"/>
    <w:rsid w:val="FFFE5F21"/>
    <w:rsid w:val="FFFEDAB6"/>
    <w:rsid w:val="FFFFF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hAnsi="Calibri" w:eastAsia="仿宋_GB2312"/>
      <w:sz w:val="32"/>
    </w:rPr>
  </w:style>
  <w:style w:type="paragraph" w:styleId="3">
    <w:name w:val="Body Text Indent"/>
    <w:basedOn w:val="1"/>
    <w:next w:val="4"/>
    <w:qFormat/>
    <w:uiPriority w:val="0"/>
    <w:pPr>
      <w:spacing w:after="120"/>
      <w:ind w:left="420" w:leftChars="200"/>
    </w:pPr>
  </w:style>
  <w:style w:type="paragraph" w:styleId="4">
    <w:name w:val="index 5"/>
    <w:basedOn w:val="1"/>
    <w:next w:val="1"/>
    <w:qFormat/>
    <w:uiPriority w:val="0"/>
    <w:pPr>
      <w:ind w:left="1680"/>
    </w:pPr>
  </w:style>
  <w:style w:type="paragraph" w:styleId="5">
    <w:name w:val="Body Text"/>
    <w:basedOn w:val="1"/>
    <w:next w:val="6"/>
    <w:qFormat/>
    <w:uiPriority w:val="0"/>
    <w:pPr>
      <w:tabs>
        <w:tab w:val="left" w:pos="900"/>
      </w:tabs>
    </w:pPr>
    <w:rPr>
      <w:sz w:val="24"/>
    </w:rPr>
  </w:style>
  <w:style w:type="paragraph" w:customStyle="1" w:styleId="6">
    <w:name w:val="xl2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hint="eastAsia" w:ascii="楷体_GB2312" w:hAnsi="宋体" w:eastAsia="楷体_GB2312"/>
      <w:kern w:val="0"/>
      <w:sz w:val="24"/>
    </w:rPr>
  </w:style>
  <w:style w:type="paragraph" w:styleId="7">
    <w:name w:val="Body Text Indent 2"/>
    <w:next w:val="1"/>
    <w:qFormat/>
    <w:uiPriority w:val="99"/>
    <w:pPr>
      <w:widowControl w:val="0"/>
      <w:spacing w:beforeAutospacing="1" w:after="120" w:line="480" w:lineRule="auto"/>
      <w:ind w:left="420"/>
      <w:jc w:val="both"/>
    </w:pPr>
    <w:rPr>
      <w:rFonts w:ascii="Calibri" w:hAnsi="Calibri" w:eastAsia="宋体" w:cs="Times New Roman"/>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qFormat/>
    <w:uiPriority w:val="0"/>
    <w:pPr>
      <w:snapToGrid w:val="0"/>
      <w:jc w:val="left"/>
    </w:pPr>
    <w:rPr>
      <w:rFonts w:ascii="Times New Roman" w:hAnsi="Times New Roman" w:eastAsia="宋体"/>
      <w:sz w:val="18"/>
    </w:rPr>
  </w:style>
  <w:style w:type="paragraph" w:styleId="12">
    <w:name w:val="toc 2"/>
    <w:basedOn w:val="1"/>
    <w:next w:val="1"/>
    <w:qFormat/>
    <w:uiPriority w:val="0"/>
    <w:pPr>
      <w:ind w:left="420" w:leftChars="200"/>
    </w:pPr>
  </w:style>
  <w:style w:type="paragraph" w:styleId="13">
    <w:name w:val="toc 9"/>
    <w:basedOn w:val="1"/>
    <w:next w:val="1"/>
    <w:qFormat/>
    <w:uiPriority w:val="0"/>
    <w:pPr>
      <w:wordWrap w:val="0"/>
      <w:spacing w:before="0" w:line="240" w:lineRule="auto"/>
      <w:ind w:left="2975"/>
      <w:jc w:val="both"/>
    </w:pPr>
    <w:rPr>
      <w:rFonts w:ascii="Times New Roman" w:hAnsi="Times New Roman" w:eastAsia="宋体" w:cs="Times New Roman"/>
      <w:sz w:val="21"/>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rPr>
      <w:sz w:val="24"/>
    </w:rPr>
  </w:style>
  <w:style w:type="paragraph" w:styleId="16">
    <w:name w:val="Body Text First Indent"/>
    <w:basedOn w:val="5"/>
    <w:qFormat/>
    <w:uiPriority w:val="0"/>
    <w:pPr>
      <w:spacing w:after="120"/>
      <w:ind w:firstLine="420" w:firstLineChars="100"/>
    </w:pPr>
    <w:rPr>
      <w:rFonts w:eastAsia="宋体"/>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ndnote reference"/>
    <w:basedOn w:val="19"/>
    <w:qFormat/>
    <w:uiPriority w:val="0"/>
    <w:rPr>
      <w:vertAlign w:val="superscript"/>
    </w:rPr>
  </w:style>
  <w:style w:type="character" w:styleId="22">
    <w:name w:val="page number"/>
    <w:qFormat/>
    <w:uiPriority w:val="0"/>
  </w:style>
  <w:style w:type="character" w:styleId="23">
    <w:name w:val="footnote reference"/>
    <w:basedOn w:val="21"/>
    <w:qFormat/>
    <w:uiPriority w:val="0"/>
    <w:rPr>
      <w:rFonts w:ascii="Times New Roman" w:hAnsi="Times New Roman" w:eastAsia="宋体"/>
      <w:vertAlign w:val="superscript"/>
    </w:rPr>
  </w:style>
  <w:style w:type="paragraph" w:customStyle="1" w:styleId="24">
    <w:name w:val="Body Text 2"/>
    <w:basedOn w:val="1"/>
    <w:qFormat/>
    <w:uiPriority w:val="0"/>
    <w:pPr>
      <w:spacing w:after="120" w:afterLines="0" w:line="480" w:lineRule="auto"/>
    </w:p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正文-公1"/>
    <w:basedOn w:val="1"/>
    <w:next w:val="1"/>
    <w:qFormat/>
    <w:uiPriority w:val="0"/>
    <w:pPr>
      <w:ind w:firstLine="200" w:firstLineChars="200"/>
      <w:jc w:val="left"/>
    </w:pPr>
    <w:rPr>
      <w:rFonts w:eastAsia="仿宋_GB2312"/>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Default"/>
    <w:qFormat/>
    <w:uiPriority w:val="99"/>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5336</Words>
  <Characters>5562</Characters>
  <Lines>0</Lines>
  <Paragraphs>0</Paragraphs>
  <TotalTime>14</TotalTime>
  <ScaleCrop>false</ScaleCrop>
  <LinksUpToDate>false</LinksUpToDate>
  <CharactersWithSpaces>5582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kylin</cp:lastModifiedBy>
  <cp:lastPrinted>2025-10-11T01:25:00Z</cp:lastPrinted>
  <dcterms:modified xsi:type="dcterms:W3CDTF">2025-11-05T09:31:17Z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E2AA4D0B33F54E7F9F35C6EF175FD95E_13</vt:lpwstr>
  </property>
</Properties>
</file>