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B6C632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工作建议清单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3"/>
        <w:gridCol w:w="7479"/>
      </w:tblGrid>
      <w:tr w14:paraId="61E7B5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3" w:type="dxa"/>
          </w:tcPr>
          <w:p w14:paraId="61545685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7479" w:type="dxa"/>
          </w:tcPr>
          <w:p w14:paraId="5DE5DB4D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工作建议</w:t>
            </w:r>
          </w:p>
        </w:tc>
      </w:tr>
      <w:tr w14:paraId="542085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3" w:type="dxa"/>
            <w:vAlign w:val="center"/>
          </w:tcPr>
          <w:p w14:paraId="00FF6A0F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firstLine="0" w:firstLineChars="0"/>
              <w:jc w:val="center"/>
              <w:textAlignment w:val="auto"/>
              <w:rPr>
                <w:rFonts w:hint="default" w:ascii="楷体_GB2312" w:hAnsi="楷体_GB2312" w:eastAsia="楷体_GB2312" w:cs="楷体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7479" w:type="dxa"/>
          </w:tcPr>
          <w:p w14:paraId="0A9DE364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严格落实企业安全生产主体责任。宁夏神州轮胎有限公司主要负责人要认真履行安全生产法定职责，带头研究部署安全生产工作，组织建立“横向到边、纵向到顶到底”的全员安全生产责任体系，结合组织架构和内部运行机构，压实各级各部门管理人员和从业人员的安全责任，强化监督考核机制，保证安全生产责任制的有效实施，破解安全生产工作的“难点堵点”。</w:t>
            </w:r>
          </w:p>
        </w:tc>
      </w:tr>
      <w:tr w14:paraId="46B320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3" w:type="dxa"/>
            <w:vAlign w:val="center"/>
          </w:tcPr>
          <w:p w14:paraId="3328D28D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firstLine="0" w:firstLineChars="0"/>
              <w:jc w:val="center"/>
              <w:textAlignment w:val="auto"/>
              <w:rPr>
                <w:rFonts w:hint="default" w:ascii="楷体_GB2312" w:hAnsi="楷体_GB2312" w:eastAsia="楷体_GB2312" w:cs="楷体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7479" w:type="dxa"/>
          </w:tcPr>
          <w:p w14:paraId="30BD17D8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狠抓承包商安全管理。宁夏神州轮胎有限公司要完善承包商安全管理的系统性，严格承包商准入资格审核，对资质、信誉、财务状况、施工力量配置、安全费用投入等方面全方位把关；针对作业现场的主要危险、应急处理措施等，要扎实对承包单位相关人员开展安全教育培训和安全技术交底；严管承包商施工过程风险，要结合各个环节风险和危害识别情况，补齐安全控制措施，做到层层有人管，层层有人抓，不断提高承包商安全管理水平。</w:t>
            </w:r>
          </w:p>
        </w:tc>
      </w:tr>
      <w:tr w14:paraId="644354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3" w:type="dxa"/>
            <w:vAlign w:val="center"/>
          </w:tcPr>
          <w:p w14:paraId="22F4AB06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firstLine="0" w:firstLineChars="0"/>
              <w:jc w:val="center"/>
              <w:textAlignment w:val="auto"/>
              <w:rPr>
                <w:rFonts w:hint="default" w:ascii="楷体_GB2312" w:hAnsi="楷体_GB2312" w:eastAsia="楷体_GB2312" w:cs="楷体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7479" w:type="dxa"/>
          </w:tcPr>
          <w:p w14:paraId="3F28D1EA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提升安全教育培训质量。宁夏神州轮胎有限公司要全面加强企业安全培训基础建设，以安全培训质量为着力点，做好培训需求调研，明确培训目的，扎实推进安全培训内容规范化、方式多样化、管理信息化、方法现代化，努力实施全覆盖、多手段、高质量的安全培训，通过安全教育培训，强化员工安全生产意识，落实安全防范措施，有效地削减“三违”行为，努力从源头上遏制生产安全事故的发生。</w:t>
            </w:r>
          </w:p>
        </w:tc>
      </w:tr>
      <w:tr w14:paraId="60F1F6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1043" w:type="dxa"/>
            <w:vAlign w:val="center"/>
          </w:tcPr>
          <w:p w14:paraId="30A8EB7F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firstLine="0" w:firstLineChars="0"/>
              <w:jc w:val="center"/>
              <w:textAlignment w:val="auto"/>
              <w:rPr>
                <w:rFonts w:hint="default" w:ascii="楷体_GB2312" w:hAnsi="楷体_GB2312" w:eastAsia="楷体_GB2312" w:cs="楷体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7479" w:type="dxa"/>
          </w:tcPr>
          <w:p w14:paraId="687BF4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outlineLvl w:val="9"/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 w:bidi="ar-SA"/>
              </w:rPr>
              <w:t>宁夏神州轮胎有限公司要结合自治区、市、县下发的《安全生产治本攻坚三年行动方案》，详细制定切实可行的工作方案，以精准举措落实安全生产治本攻坚三年行动要求，坚持目标导向、问题导向、结果导向，突出重点、抓住关键，全力防范化解重大安全风险隐患，通过各项任务的持续开展，全面推动安全生产治本攻坚三年行动的高效落实，真正把责任卡实、把任务落实、把工作做实，不断提升企业本质安全水平。</w:t>
            </w:r>
          </w:p>
        </w:tc>
      </w:tr>
    </w:tbl>
    <w:p w14:paraId="7F9C58AF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</w:p>
    <w:p w14:paraId="3D28BF2E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经验做法清单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06"/>
        <w:gridCol w:w="4816"/>
      </w:tblGrid>
      <w:tr w14:paraId="5E1769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06" w:type="dxa"/>
          </w:tcPr>
          <w:p w14:paraId="314AB300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单位</w:t>
            </w:r>
          </w:p>
        </w:tc>
        <w:tc>
          <w:tcPr>
            <w:tcW w:w="4816" w:type="dxa"/>
          </w:tcPr>
          <w:p w14:paraId="1612F636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经验做法</w:t>
            </w:r>
          </w:p>
        </w:tc>
      </w:tr>
      <w:tr w14:paraId="1CADDD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7" w:hRule="atLeast"/>
        </w:trPr>
        <w:tc>
          <w:tcPr>
            <w:tcW w:w="3706" w:type="dxa"/>
            <w:vMerge w:val="restart"/>
            <w:vAlign w:val="center"/>
          </w:tcPr>
          <w:p w14:paraId="4301C9A5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宁夏神州轮胎有限公司</w:t>
            </w:r>
          </w:p>
        </w:tc>
        <w:tc>
          <w:tcPr>
            <w:tcW w:w="4816" w:type="dxa"/>
            <w:vAlign w:val="center"/>
          </w:tcPr>
          <w:p w14:paraId="7A88CB26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1.宁夏神州轮胎有限公司围绕生产设备、工艺过程等环节开展每周安全大检查，检查前确定人员，制定检查清单，检查结束后主要负责人签字，在全厂范围内进行通报，由各车间认领整改，由属地安全员对现场存在问题回头看，督促整改，确保闭环管理。</w:t>
            </w:r>
          </w:p>
        </w:tc>
      </w:tr>
      <w:tr w14:paraId="566E34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7" w:hRule="atLeast"/>
        </w:trPr>
        <w:tc>
          <w:tcPr>
            <w:tcW w:w="3706" w:type="dxa"/>
            <w:vMerge w:val="continue"/>
            <w:vAlign w:val="center"/>
          </w:tcPr>
          <w:p w14:paraId="14B1994F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816" w:type="dxa"/>
            <w:vAlign w:val="center"/>
          </w:tcPr>
          <w:p w14:paraId="69B26B49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firstLine="0" w:firstLineChars="0"/>
              <w:jc w:val="both"/>
              <w:textAlignment w:val="auto"/>
              <w:rPr>
                <w:rFonts w:hint="default" w:ascii="仿宋_GB2312" w:hAnsi="黑体" w:eastAsia="仿宋_GB2312" w:cs="宋体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2.宁夏神州轮胎现员工招录起点高，员工文化程度基本处于高中以上学历，其中高中学历占比30%,大专占比50%，本科及以上占比15%</w:t>
            </w:r>
          </w:p>
        </w:tc>
      </w:tr>
    </w:tbl>
    <w:p w14:paraId="56B16A2E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</w:p>
    <w:p w14:paraId="318F3C1E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</w:p>
    <w:p w14:paraId="611A8775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</w:p>
    <w:p w14:paraId="13E24EE2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</w:p>
    <w:p w14:paraId="424D48D1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</w:p>
    <w:p w14:paraId="42955BBF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</w:p>
    <w:p w14:paraId="4CEAE9AD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</w:p>
    <w:p w14:paraId="46D6CEF1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</w:p>
    <w:p w14:paraId="0496570B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</w:p>
    <w:p w14:paraId="0CD13300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</w:p>
    <w:p w14:paraId="3145C66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QwY2ViNGEwZTYxNmYwNTRhZTVkNmFmOGJjYTRmZDgifQ=="/>
  </w:docVars>
  <w:rsids>
    <w:rsidRoot w:val="32843106"/>
    <w:rsid w:val="32843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 21"/>
    <w:basedOn w:val="3"/>
    <w:qFormat/>
    <w:uiPriority w:val="0"/>
    <w:pPr>
      <w:ind w:firstLine="420" w:firstLineChars="200"/>
    </w:pPr>
  </w:style>
  <w:style w:type="paragraph" w:customStyle="1" w:styleId="3">
    <w:name w:val="Body Text Indent1"/>
    <w:basedOn w:val="1"/>
    <w:qFormat/>
    <w:uiPriority w:val="0"/>
    <w:pPr>
      <w:spacing w:after="120" w:afterLines="0"/>
      <w:ind w:left="420" w:leftChars="200"/>
    </w:pPr>
    <w:rPr>
      <w:rFonts w:ascii="Times New Roman" w:hAnsi="Times New Roman" w:eastAsia="仿宋_GB2312" w:cs="Times New Roman"/>
      <w:sz w:val="32"/>
      <w:szCs w:val="24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Normal Indent1"/>
    <w:basedOn w:val="1"/>
    <w:qFormat/>
    <w:uiPriority w:val="0"/>
    <w:pPr>
      <w:ind w:firstLine="200" w:firstLineChars="200"/>
    </w:pPr>
    <w:rPr>
      <w:rFonts w:ascii="Times New Roman" w:hAnsi="Times New Roman" w:eastAsia="宋体" w:cs="Times New Roman"/>
      <w:sz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2024-09-19T02:32:00Z</dcterms:created>
  <dc:creator>张崟</dc:creator>
  <cp:lastModifiedBy>张崟</cp:lastModifiedBy>
  <dcterms:modified xsi:type="dcterms:W3CDTF">2024-09-19T02:32:40Z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CE9CB98519D644A5BF28D9D901291589_11</vt:lpwstr>
  </property>
</Properties>
</file>