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23" w:type="dxa"/>
        <w:jc w:val="center"/>
        <w:tblInd w:w="0" w:type="dxa"/>
        <w:tblLayout w:type="fixed"/>
        <w:tblCellMar>
          <w:top w:w="0" w:type="dxa"/>
          <w:left w:w="0" w:type="dxa"/>
          <w:bottom w:w="0" w:type="dxa"/>
          <w:right w:w="0" w:type="dxa"/>
        </w:tblCellMar>
      </w:tblPr>
      <w:tblGrid>
        <w:gridCol w:w="1180"/>
        <w:gridCol w:w="465"/>
        <w:gridCol w:w="4215"/>
        <w:gridCol w:w="1980"/>
        <w:gridCol w:w="5205"/>
        <w:gridCol w:w="878"/>
      </w:tblGrid>
      <w:tr>
        <w:tblPrEx>
          <w:tblLayout w:type="fixed"/>
          <w:tblCellMar>
            <w:top w:w="0" w:type="dxa"/>
            <w:left w:w="0" w:type="dxa"/>
            <w:bottom w:w="0" w:type="dxa"/>
            <w:right w:w="0" w:type="dxa"/>
          </w:tblCellMar>
        </w:tblPrEx>
        <w:trPr>
          <w:trHeight w:val="600" w:hRule="atLeast"/>
          <w:jc w:val="center"/>
        </w:trPr>
        <w:tc>
          <w:tcPr>
            <w:tcW w:w="1180" w:type="dxa"/>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kern w:val="0"/>
                <w:sz w:val="32"/>
                <w:szCs w:val="32"/>
                <w:lang w:eastAsia="zh-CN" w:bidi="ar"/>
              </w:rPr>
              <w:t>附件</w:t>
            </w:r>
            <w:r>
              <w:rPr>
                <w:rFonts w:hint="default" w:ascii="Times New Roman" w:hAnsi="Times New Roman" w:eastAsia="黑体" w:cs="Times New Roman"/>
                <w:color w:val="000000"/>
                <w:kern w:val="0"/>
                <w:sz w:val="32"/>
                <w:szCs w:val="32"/>
                <w:lang w:val="en-US" w:eastAsia="zh-CN" w:bidi="ar"/>
              </w:rPr>
              <w:t>1：</w:t>
            </w:r>
          </w:p>
        </w:tc>
        <w:tc>
          <w:tcPr>
            <w:tcW w:w="46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黑体" w:cs="Times New Roman"/>
                <w:color w:val="000000"/>
                <w:sz w:val="21"/>
                <w:szCs w:val="21"/>
              </w:rPr>
            </w:pPr>
          </w:p>
        </w:tc>
        <w:tc>
          <w:tcPr>
            <w:tcW w:w="421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5205"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878" w:type="dxa"/>
            <w:tcBorders>
              <w:top w:val="nil"/>
              <w:left w:val="nil"/>
              <w:bottom w:val="nil"/>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799" w:hRule="atLeast"/>
          <w:jc w:val="center"/>
        </w:trPr>
        <w:tc>
          <w:tcPr>
            <w:tcW w:w="13923"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方正小标宋简体" w:cs="Times New Roman"/>
                <w:color w:val="000000"/>
                <w:kern w:val="0"/>
                <w:sz w:val="44"/>
                <w:szCs w:val="44"/>
                <w:lang w:bidi="ar"/>
              </w:rPr>
              <w:t>平罗县落实提高自然灾害防治能力建设重点工程任务分工</w:t>
            </w:r>
          </w:p>
        </w:tc>
      </w:tr>
      <w:tr>
        <w:tblPrEx>
          <w:tblLayout w:type="fixed"/>
          <w:tblCellMar>
            <w:top w:w="0" w:type="dxa"/>
            <w:left w:w="0" w:type="dxa"/>
            <w:bottom w:w="0" w:type="dxa"/>
            <w:right w:w="0" w:type="dxa"/>
          </w:tblCellMar>
        </w:tblPrEx>
        <w:trPr>
          <w:trHeight w:val="799"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重点工程</w:t>
            </w:r>
            <w:r>
              <w:rPr>
                <w:rFonts w:hint="default" w:ascii="Times New Roman" w:hAnsi="Times New Roman" w:eastAsia="黑体" w:cs="Times New Roman"/>
                <w:b/>
                <w:color w:val="000000"/>
                <w:sz w:val="21"/>
                <w:szCs w:val="21"/>
                <w:lang w:bidi="ar"/>
              </w:rPr>
              <w:br w:type="textWrapping"/>
            </w:r>
            <w:r>
              <w:rPr>
                <w:rFonts w:hint="default" w:ascii="Times New Roman" w:hAnsi="Times New Roman" w:eastAsia="黑体" w:cs="Times New Roman"/>
                <w:color w:val="000000"/>
                <w:sz w:val="21"/>
                <w:szCs w:val="21"/>
                <w:lang w:bidi="ar"/>
              </w:rPr>
              <w:t>（有多个牵头部门的排位最前加黑的为</w:t>
            </w:r>
            <w:r>
              <w:rPr>
                <w:rFonts w:hint="default" w:ascii="Times New Roman" w:hAnsi="Times New Roman" w:eastAsia="黑体" w:cs="Times New Roman"/>
                <w:b/>
                <w:color w:val="000000"/>
                <w:sz w:val="21"/>
                <w:szCs w:val="21"/>
                <w:lang w:bidi="ar"/>
              </w:rPr>
              <w:t>第一责任单位</w:t>
            </w:r>
            <w:r>
              <w:rPr>
                <w:rFonts w:hint="default" w:ascii="Times New Roman" w:hAnsi="Times New Roman" w:eastAsia="黑体" w:cs="Times New Roman"/>
                <w:color w:val="000000"/>
                <w:sz w:val="21"/>
                <w:szCs w:val="21"/>
                <w:lang w:bidi="ar"/>
              </w:rPr>
              <w:t>）</w:t>
            </w:r>
          </w:p>
        </w:tc>
        <w:tc>
          <w:tcPr>
            <w:tcW w:w="468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kern w:val="0"/>
                <w:sz w:val="21"/>
                <w:szCs w:val="21"/>
                <w:lang w:bidi="ar"/>
              </w:rPr>
              <w:t>分项任务</w:t>
            </w:r>
          </w:p>
        </w:tc>
        <w:tc>
          <w:tcPr>
            <w:tcW w:w="19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color w:val="000000"/>
                <w:sz w:val="21"/>
                <w:szCs w:val="21"/>
                <w:lang w:bidi="ar"/>
              </w:rPr>
            </w:pPr>
            <w:r>
              <w:rPr>
                <w:rFonts w:hint="default" w:ascii="Times New Roman" w:hAnsi="Times New Roman" w:eastAsia="黑体" w:cs="Times New Roman"/>
                <w:b/>
                <w:color w:val="000000"/>
                <w:sz w:val="21"/>
                <w:szCs w:val="21"/>
                <w:lang w:bidi="ar"/>
              </w:rPr>
              <w:t>分项任务责任</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单位</w:t>
            </w:r>
            <w:r>
              <w:rPr>
                <w:rFonts w:hint="default" w:ascii="Times New Roman" w:hAnsi="Times New Roman" w:eastAsia="黑体" w:cs="Times New Roman"/>
                <w:b/>
                <w:color w:val="000000"/>
                <w:sz w:val="21"/>
                <w:szCs w:val="21"/>
                <w:lang w:bidi="ar"/>
              </w:rPr>
              <w:br w:type="textWrapping"/>
            </w:r>
            <w:r>
              <w:rPr>
                <w:rFonts w:hint="default" w:ascii="Times New Roman" w:hAnsi="Times New Roman" w:eastAsia="仿宋_GB2312" w:cs="Times New Roman"/>
                <w:color w:val="000000"/>
                <w:sz w:val="21"/>
                <w:szCs w:val="21"/>
                <w:lang w:bidi="ar"/>
              </w:rPr>
              <w:t>（有多个责任单位的排在最前加黑的为</w:t>
            </w:r>
            <w:r>
              <w:rPr>
                <w:rFonts w:hint="default" w:ascii="Times New Roman" w:hAnsi="Times New Roman" w:eastAsia="仿宋_GB2312" w:cs="Times New Roman"/>
                <w:b/>
                <w:color w:val="000000"/>
                <w:sz w:val="21"/>
                <w:szCs w:val="21"/>
                <w:lang w:bidi="ar"/>
              </w:rPr>
              <w:t>第一责任单位</w:t>
            </w:r>
            <w:r>
              <w:rPr>
                <w:rFonts w:hint="default" w:ascii="Times New Roman" w:hAnsi="Times New Roman" w:eastAsia="仿宋_GB2312" w:cs="Times New Roman"/>
                <w:color w:val="000000"/>
                <w:sz w:val="21"/>
                <w:szCs w:val="21"/>
                <w:lang w:bidi="ar"/>
              </w:rPr>
              <w:t>）</w:t>
            </w:r>
          </w:p>
        </w:tc>
        <w:tc>
          <w:tcPr>
            <w:tcW w:w="5205" w:type="dxa"/>
            <w:tcBorders>
              <w:top w:val="single" w:color="000000" w:sz="4" w:space="0"/>
              <w:left w:val="single" w:color="000000" w:sz="4" w:space="0"/>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kern w:val="0"/>
                <w:sz w:val="21"/>
                <w:szCs w:val="21"/>
                <w:lang w:bidi="ar"/>
              </w:rPr>
              <w:t>分项任务落实</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kern w:val="0"/>
                <w:sz w:val="21"/>
                <w:szCs w:val="21"/>
                <w:lang w:bidi="ar"/>
              </w:rPr>
              <w:t>完成时间</w:t>
            </w:r>
          </w:p>
        </w:tc>
      </w:tr>
      <w:tr>
        <w:tblPrEx>
          <w:tblLayout w:type="fixed"/>
          <w:tblCellMar>
            <w:top w:w="0" w:type="dxa"/>
            <w:left w:w="0" w:type="dxa"/>
            <w:bottom w:w="0" w:type="dxa"/>
            <w:right w:w="0" w:type="dxa"/>
          </w:tblCellMar>
        </w:tblPrEx>
        <w:trPr>
          <w:trHeight w:val="90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68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阶段性目标任务、实施项目名称</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r>
      <w:tr>
        <w:tblPrEx>
          <w:tblLayout w:type="fixed"/>
          <w:tblCellMar>
            <w:top w:w="0" w:type="dxa"/>
            <w:left w:w="0" w:type="dxa"/>
            <w:bottom w:w="0" w:type="dxa"/>
            <w:right w:w="0" w:type="dxa"/>
          </w:tblCellMar>
        </w:tblPrEx>
        <w:trPr>
          <w:trHeight w:val="1410"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center"/>
              <w:rPr>
                <w:rFonts w:hint="default" w:ascii="Times New Roman" w:hAnsi="Times New Roman" w:eastAsia="楷体_GB2312" w:cs="Times New Roman"/>
                <w:b/>
                <w:bCs/>
                <w:color w:val="000000"/>
                <w:sz w:val="21"/>
                <w:szCs w:val="21"/>
                <w:lang w:bidi="ar"/>
              </w:rPr>
            </w:pPr>
            <w:r>
              <w:rPr>
                <w:rFonts w:hint="eastAsia" w:ascii="黑体" w:hAnsi="黑体" w:eastAsia="黑体" w:cs="黑体"/>
                <w:b w:val="0"/>
                <w:bCs w:val="0"/>
                <w:color w:val="000000"/>
                <w:sz w:val="21"/>
                <w:szCs w:val="21"/>
                <w:lang w:bidi="ar"/>
              </w:rPr>
              <w:t>实施灾害风险调查和重点隐患排查工程</w:t>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牵头单位：平罗县</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楷体_GB2312" w:cs="Times New Roman"/>
                <w:b/>
                <w:bCs/>
                <w:color w:val="000000"/>
                <w:sz w:val="21"/>
                <w:szCs w:val="21"/>
                <w:lang w:bidi="ar"/>
              </w:rPr>
              <w:t>应急局</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开展气象灾害风险隐患排查，筛查各类气象灾害的重点隐患，建立基层气象防灾减灾数据库，绘制气象防灾减灾区划图。</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气象局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2020年2月20日前完成气象灾害风险隐患排查，筛查各类气象灾害的重点隐患；2020年7月前完成基层气象防灾减灾数据库建设；2020年11月前完成气象防灾减灾区划图绘制。</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2020年</w:t>
            </w:r>
          </w:p>
        </w:tc>
      </w:tr>
      <w:tr>
        <w:tblPrEx>
          <w:tblLayout w:type="fixed"/>
          <w:tblCellMar>
            <w:top w:w="0" w:type="dxa"/>
            <w:left w:w="0" w:type="dxa"/>
            <w:bottom w:w="0" w:type="dxa"/>
            <w:right w:w="0" w:type="dxa"/>
          </w:tblCellMar>
        </w:tblPrEx>
        <w:trPr>
          <w:trHeight w:val="2045"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开展地震灾害风险隐患排查和抗震性能普查，对重大建设工程、重大基础设施、危险化学品企业、次生地质灾害等进行地震风险性评价，对重点地区地震可能产生灾害损失进行预评估，建立动态风险数据库。</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住建局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（地震局）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协调配合区、市地震局完成平罗县地震灾害风险预测评估，对普查出的风险点给出抗震设防要求和未来可能发生的地震灾害风险评估结果，并提出防治整改意见。协调相关部门对重大建设工程、重大基础设施、危险化学品企业、次生地质灾害等进行复核比对，提出不符合规范规定的风险点。</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1069"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配合住建局（地震局）对重大建设工程、重大基础设施、次生地质灾害进行地震风险性评价，建立动态风险数据库。</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765" w:hRule="atLeast"/>
          <w:jc w:val="center"/>
        </w:trPr>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配合住建局（地震局）对危险化学品企业进行地震风险性评价，建立动态风险数据库。</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90"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jc w:val="center"/>
              <w:rPr>
                <w:rFonts w:hint="default" w:ascii="Times New Roman" w:hAnsi="Times New Roman" w:eastAsia="楷体_GB2312" w:cs="Times New Roman"/>
                <w:b/>
                <w:bCs/>
                <w:color w:val="000000"/>
                <w:sz w:val="21"/>
                <w:szCs w:val="21"/>
                <w:lang w:bidi="ar"/>
              </w:rPr>
            </w:pPr>
            <w:r>
              <w:rPr>
                <w:rFonts w:hint="eastAsia" w:ascii="黑体" w:hAnsi="黑体" w:eastAsia="黑体" w:cs="黑体"/>
                <w:b w:val="0"/>
                <w:bCs w:val="0"/>
                <w:color w:val="000000"/>
                <w:sz w:val="21"/>
                <w:szCs w:val="21"/>
                <w:lang w:bidi="ar"/>
              </w:rPr>
              <w:t>实施灾害风险调查和重点隐患排查工程</w:t>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楷体_GB2312" w:cs="Times New Roman"/>
                <w:b/>
                <w:bCs/>
                <w:color w:val="000000"/>
                <w:sz w:val="21"/>
                <w:szCs w:val="21"/>
                <w:lang w:bidi="ar"/>
              </w:rPr>
              <w:t>应急</w:t>
            </w:r>
            <w:r>
              <w:rPr>
                <w:rFonts w:hint="eastAsia" w:ascii="Times New Roman" w:hAnsi="Times New Roman" w:eastAsia="楷体_GB2312" w:cs="Times New Roman"/>
                <w:b/>
                <w:bCs/>
                <w:color w:val="000000"/>
                <w:sz w:val="21"/>
                <w:szCs w:val="21"/>
                <w:lang w:eastAsia="zh-CN" w:bidi="ar"/>
              </w:rPr>
              <w:t>管理</w:t>
            </w:r>
            <w:r>
              <w:rPr>
                <w:rFonts w:hint="default" w:ascii="Times New Roman" w:hAnsi="Times New Roman" w:eastAsia="楷体_GB2312" w:cs="Times New Roman"/>
                <w:b/>
                <w:bCs/>
                <w:color w:val="000000"/>
                <w:sz w:val="21"/>
                <w:szCs w:val="21"/>
                <w:lang w:bidi="ar"/>
              </w:rPr>
              <w:t>局</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3</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开展地质灾害风险调查与隐患排查，划定地质灾害易发区和危险区，建立地质灾害风险隐患数据库，编制市县两级地质灾害风险图。</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开展地质灾害风险调查与隐患排查，划定地质灾害易发区和危险区，建立地质灾害风险隐患数据库，编制县级地质灾害风险图。</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2020年</w:t>
            </w:r>
          </w:p>
        </w:tc>
      </w:tr>
      <w:tr>
        <w:tblPrEx>
          <w:tblLayout w:type="fixed"/>
          <w:tblCellMar>
            <w:top w:w="0" w:type="dxa"/>
            <w:left w:w="0" w:type="dxa"/>
            <w:bottom w:w="0" w:type="dxa"/>
            <w:right w:w="0" w:type="dxa"/>
          </w:tblCellMar>
        </w:tblPrEx>
        <w:trPr>
          <w:trHeight w:val="1360"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4</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开展森林草原综合风险隐患排查，建立分类型分区域的森林草原风险和隐患数据库，划定森林草原火灾易发、多发区和重点防护区，编制森林草原风险隐患图和重点防治区划图。</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配合自治区、市林草局做好相关工作。</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2020年</w:t>
            </w:r>
          </w:p>
        </w:tc>
      </w:tr>
      <w:tr>
        <w:tblPrEx>
          <w:tblLayout w:type="fixed"/>
          <w:tblCellMar>
            <w:top w:w="0" w:type="dxa"/>
            <w:left w:w="0" w:type="dxa"/>
            <w:bottom w:w="0" w:type="dxa"/>
            <w:right w:w="0" w:type="dxa"/>
          </w:tblCellMar>
        </w:tblPrEx>
        <w:trPr>
          <w:trHeight w:val="1045"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5</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开展防洪工程安全隐患排查，对可能发生洪灾风险和隐患的地域进行摸底排查，建立隐患台账，编制洪水风险隐患图和洪水防治区划图。</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水务局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开展防洪工程安全隐患排查，对可能发生洪灾风险和隐患的地域进行摸底排查，建立隐患台账，编制洪水风险隐患图和洪水防治区划图。</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85"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6</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开展自然灾害综合风险与减灾能力调查评估并建立数据库，编制县级自然灾害隐患综合风险图和自然灾害综合防治区划图。</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组织相关单位开展自然灾害风险与减灾能力调查评估并建立数据库，绘制县级自然灾害隐患综合风险图和自然灾害综合防治区划图。</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1039"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自然资源局、水务局、农业农村局、统计局、气象局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开展地质灾害、森林草原火灾、水旱灾害、农业灾害、气象灾害风险与减灾能力调查评估并建立数据库，向县应急管理指挥部办公室报相关灾害隐患风险图和防治区划图。</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935" w:hRule="atLeast"/>
          <w:jc w:val="center"/>
        </w:trPr>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住建局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（地震局）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依据本县地震活动断层探测及断层活动性鉴定成果，给出建设工程项目选址避让范围，向县应急管理指挥部办公室提供地震灾害隐患风险图和防治区划图。</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495"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黑体" w:hAnsi="黑体" w:eastAsia="黑体" w:cs="黑体"/>
                <w:b w:val="0"/>
                <w:bCs w:val="0"/>
                <w:color w:val="000000"/>
                <w:sz w:val="21"/>
                <w:szCs w:val="21"/>
                <w:lang w:bidi="ar"/>
              </w:rPr>
            </w:pPr>
            <w:r>
              <w:rPr>
                <w:rFonts w:hint="default" w:ascii="黑体" w:hAnsi="黑体" w:eastAsia="黑体" w:cs="黑体"/>
                <w:b w:val="0"/>
                <w:bCs w:val="0"/>
                <w:color w:val="000000"/>
                <w:sz w:val="21"/>
                <w:szCs w:val="21"/>
                <w:lang w:bidi="ar"/>
              </w:rPr>
              <w:t>实施重点生态功能区生态修复工程</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both"/>
              <w:textAlignment w:val="center"/>
              <w:rPr>
                <w:rFonts w:hint="default" w:ascii="Times New Roman" w:hAnsi="Times New Roman" w:eastAsia="仿宋_GB2312" w:cs="Times New Roman"/>
                <w:color w:val="000000"/>
                <w:sz w:val="21"/>
                <w:szCs w:val="21"/>
              </w:rPr>
            </w:pPr>
            <w:r>
              <w:rPr>
                <w:rFonts w:hint="default" w:ascii="Times New Roman" w:hAnsi="Times New Roman" w:eastAsia="楷体_GB2312" w:cs="Times New Roman"/>
                <w:b/>
                <w:bCs/>
                <w:color w:val="000000"/>
                <w:sz w:val="21"/>
                <w:szCs w:val="21"/>
                <w:lang w:bidi="ar"/>
              </w:rPr>
              <w:t>牵头单位：  自然资源局</w:t>
            </w:r>
            <w:r>
              <w:rPr>
                <w:rFonts w:hint="default" w:ascii="Times New Roman" w:hAnsi="Times New Roman" w:eastAsia="楷体_GB2312" w:cs="Times New Roman"/>
                <w:b/>
                <w:bCs/>
                <w:color w:val="000000"/>
                <w:sz w:val="21"/>
                <w:szCs w:val="21"/>
                <w:lang w:bidi="ar"/>
              </w:rPr>
              <w:br w:type="textWrapping"/>
            </w: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val="0"/>
                <w:color w:val="000000"/>
                <w:kern w:val="0"/>
                <w:sz w:val="21"/>
                <w:szCs w:val="21"/>
                <w:lang w:bidi="ar"/>
              </w:rPr>
            </w:pP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bCs w:val="0"/>
                <w:color w:val="000000"/>
                <w:kern w:val="0"/>
                <w:sz w:val="21"/>
                <w:szCs w:val="21"/>
                <w:lang w:bidi="ar"/>
              </w:rPr>
              <w:t>7</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开展重点生态功能区修复及国土整治，实施贺兰山东麓山水林田湖草生态保护修复项目，实施国土综合整治。开展矿山环境恢复治理项目。</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实施国土综合整治，统筹开展矿山环境恢复治理项目。</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670" w:hRule="atLeast"/>
          <w:jc w:val="center"/>
        </w:trPr>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市生态环境局平罗分局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配合做好重点生态功能区修复及实施贺兰山东麓山水林田湖草生态保护修复项目等工作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400"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0" w:firstLineChars="0"/>
              <w:jc w:val="center"/>
              <w:rPr>
                <w:rFonts w:hint="default" w:ascii="黑体" w:hAnsi="黑体" w:eastAsia="黑体" w:cs="黑体"/>
                <w:b w:val="0"/>
                <w:bCs w:val="0"/>
                <w:color w:val="000000"/>
                <w:sz w:val="21"/>
                <w:szCs w:val="21"/>
                <w:lang w:bidi="ar"/>
              </w:rPr>
            </w:pPr>
            <w:r>
              <w:rPr>
                <w:rFonts w:hint="default" w:ascii="黑体" w:hAnsi="黑体" w:eastAsia="黑体" w:cs="黑体"/>
                <w:b w:val="0"/>
                <w:bCs w:val="0"/>
                <w:color w:val="000000"/>
                <w:sz w:val="21"/>
                <w:szCs w:val="21"/>
                <w:lang w:bidi="ar"/>
              </w:rPr>
              <w:t>实施重点生态功能区生态修复工程</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rPr>
                <w:rFonts w:hint="default" w:ascii="Times New Roman" w:hAnsi="Times New Roman" w:eastAsia="楷体_GB2312" w:cs="Times New Roman"/>
                <w:b/>
                <w:bCs/>
                <w:color w:val="000000"/>
                <w:sz w:val="21"/>
                <w:szCs w:val="21"/>
                <w:lang w:bidi="ar"/>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rPr>
                <w:rFonts w:hint="default" w:ascii="Times New Roman" w:hAnsi="Times New Roman" w:eastAsia="仿宋_GB2312" w:cs="Times New Roman"/>
                <w:color w:val="000000"/>
                <w:sz w:val="21"/>
                <w:szCs w:val="21"/>
              </w:rPr>
            </w:pPr>
            <w:r>
              <w:rPr>
                <w:rFonts w:hint="default" w:ascii="Times New Roman" w:hAnsi="Times New Roman" w:eastAsia="楷体_GB2312" w:cs="Times New Roman"/>
                <w:b/>
                <w:bCs/>
                <w:color w:val="000000"/>
                <w:sz w:val="21"/>
                <w:szCs w:val="21"/>
                <w:lang w:bidi="ar"/>
              </w:rPr>
              <w:t>牵头单位：  自然资源局</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8</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开展黄河平罗段、沙湖、镇朔湖、翰泉海、五湖四海等水生态治理和修复，推动水系连通、水资源调配、岸线划界确权、河湖空间管控、水环境治理。开展地下水超采摸底调查和综合治理。</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水务局、自然资源局、市生态环境局平罗分局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开展黄河平罗段、沙湖、镇朔湖、翰泉海、五湖四海等水生态治理和修复，推动水系连通、水资源调配、岸线划界确权、河湖空间管控、水环境治理。开展地下水超采摸底调查和综合治理。</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20"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9</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开展造林补植与生态修复，组织开展引黄灌区及平原绿州生态区绿网提升工程、银川都市圈绿色生态廊道建设工程。</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开展造林补植与生态修复，组织开展引黄灌区及平原绿州生态区绿网提升工程、银川都市圈绿色生态廊道建设工程。</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600"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10</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深入开展退耕还林、封山育林育草。</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自然资源局、农业农村局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深入开展退耕还林、封山育林育草。</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570" w:hRule="atLeast"/>
          <w:jc w:val="center"/>
        </w:trPr>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11</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全面实施造林护沙、草格治沙，在实现人进沙退上有新突破。</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组织实施造林护沙、草格治沙。</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0"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z w:val="21"/>
                <w:szCs w:val="21"/>
                <w:lang w:bidi="ar"/>
              </w:rPr>
              <w:t>三、实施地震易发区房屋设施加固工程</w:t>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     住建局（地震局）、发改局、应急局</w:t>
            </w: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12</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抗震防灾排查加固工程，重点对居民小区、大中小学校舍、医院，以及重要交通生命线、电力和电信网络、输油输气管道、危险化学品厂库、水库大坝、隧道桥梁、重要军事设施等开展抗震性能排查，对低于新的抗震设防烈度标准的建筑和设施进行排险加固。</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pacing w:val="-20"/>
                <w:sz w:val="21"/>
                <w:szCs w:val="21"/>
                <w:lang w:bidi="ar"/>
              </w:rPr>
              <w:t>住建局、发改局、教体局、交通局、水务局、农业农村局、卫生健康局、工信局、武装部、国网平罗供电分公司</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开展抗震防灾排查加固工程，重点对居民小区、大中小学校舍、医院，以及重要交通生命线、电力和电信网络、输油输气管道、危险化学品厂库、水库大坝、隧道桥梁、重要军事设施等开展抗震性能排查，对低于新的抗震设防烈度标准的建筑和设施进行排险加固。</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05"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配合住建局（地震局）、对危险化学品厂库开展抗震性能排查，对低于新的抗震设防烈度标准的建筑和设施进行排险加固。</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290"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13</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提升新建住宅和公共设施抗震防灾能力，对学校、医院等人员密集场所的建设工程，按照重点设防类要求开展设计、施工和验收，确保新建项目符合抗震要求。</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住建局、发改局、教体局、卫生健康局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提升新建住宅和公共设施抗震防灾能力，对学校、医院等人员密集场所的建设工程，按照重点设防类要求开展设计、施工和验收，确保新建项目符合抗震要求。</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765" w:hRule="atLeast"/>
          <w:jc w:val="center"/>
        </w:trPr>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住建局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（地震局）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按照宁夏地震局的安排布署，强化建设工程抗震设防事中、事后监管。</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085"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z w:val="21"/>
                <w:szCs w:val="21"/>
                <w:lang w:bidi="ar"/>
              </w:rPr>
              <w:t>三、实施地震易发区房屋设施加固工程</w:t>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     住建局（地震局）、发改局、应急局</w:t>
            </w: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14</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实施农村民居抗震安全工程，统筹新农村建设、移民搬迁、农村危窑危房改造等项目，在地震灾害易发区实施农村民居抗震安全工程，对抗震性能不足的农村民居进行抗震加固。</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住建局、农业农村局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实施农村民居抗震安全工程，统筹新农村建设、移民搬迁、农村危房改造等项目，在地震灾害易发区实施农村民居抗震安全工程，对抗震性能不足的农村民居进行抗震加固。</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610"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住建局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w:t>
            </w:r>
            <w:r>
              <w:rPr>
                <w:rFonts w:hint="default" w:ascii="Times New Roman" w:hAnsi="Times New Roman" w:eastAsia="仿宋_GB2312" w:cs="Times New Roman"/>
                <w:color w:val="000000"/>
                <w:kern w:val="0"/>
                <w:sz w:val="21"/>
                <w:szCs w:val="21"/>
                <w:lang w:bidi="ar"/>
              </w:rPr>
              <w:t>地震局</w:t>
            </w:r>
            <w:r>
              <w:rPr>
                <w:rFonts w:hint="default" w:ascii="Times New Roman" w:hAnsi="Times New Roman" w:eastAsia="仿宋_GB2312" w:cs="Times New Roman"/>
                <w:color w:val="000000"/>
                <w:sz w:val="21"/>
                <w:szCs w:val="21"/>
                <w:lang w:bidi="ar"/>
              </w:rPr>
              <w:t>）</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实施农村民居抗震安全工程，给出抗震设防要求。</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085" w:hRule="atLeast"/>
          <w:jc w:val="center"/>
        </w:trPr>
        <w:tc>
          <w:tcPr>
            <w:tcW w:w="118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15</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规划建设一批应急避难场所，建立完善应急医疗救护、应急物资储备、应急棚宿区、应急供电供水消防等主要应急避险功能及配套设施，满足群众避险需求。</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住建局（人防办）、自然资源局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规划建设一批应急避难场所，建立完善应急医疗救护、应急物资储备、应急棚宿区、应急供电供水消防等主要应急避险功能及配套设施，满足群众避险需求。</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730" w:hRule="atLeast"/>
          <w:jc w:val="center"/>
        </w:trPr>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住建局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w:t>
            </w:r>
            <w:r>
              <w:rPr>
                <w:rFonts w:hint="default" w:ascii="Times New Roman" w:hAnsi="Times New Roman" w:eastAsia="仿宋_GB2312" w:cs="Times New Roman"/>
                <w:color w:val="000000"/>
                <w:kern w:val="0"/>
                <w:sz w:val="21"/>
                <w:szCs w:val="21"/>
                <w:lang w:bidi="ar"/>
              </w:rPr>
              <w:t>地震局</w:t>
            </w:r>
            <w:r>
              <w:rPr>
                <w:rFonts w:hint="default" w:ascii="Times New Roman" w:hAnsi="Times New Roman" w:eastAsia="仿宋_GB2312" w:cs="Times New Roman"/>
                <w:color w:val="000000"/>
                <w:sz w:val="21"/>
                <w:szCs w:val="21"/>
                <w:lang w:bidi="ar"/>
              </w:rPr>
              <w:t>）</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对已有避难场所建设情况进行调查摸底，做好应急避难场所建设工作。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206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z w:val="21"/>
                <w:szCs w:val="21"/>
                <w:lang w:bidi="ar"/>
              </w:rPr>
              <w:t>四、实施防汛抗旱水利提升工程</w:t>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  水务局</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16</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实施河湖隐患治理工程，完成黄河平罗段二期防洪和城市段治理，加大贺兰山东麓、红崖子山防洪体系建设。开展蓄泄洪区（镇朔湖、翰泉海）建设，加快推进中小河流、山洪沟道治理和病险水库、水闸堤坝除险加固，清理疏通河流和湖泊被侵占的行蓄洪空间。</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水务局、发改局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实施河湖隐患治理工程，完成黄河平罗段二期防洪和城市段治理，加大贺兰山东麓防洪体系建设。开展蓄泄洪区建设，加快推进中小河流、山洪沟道治理和病险水库、水闸堤坝除险加固，清理疏通河流和湖泊被侵占的行蓄洪空间。</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1755"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17</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加快抗旱应急水源建设，新建引扬黄灌区水库调蓄工程，加大人畜饮水、抗旱应急水源保障建设，规划实施银川都市圈城乡供水等工程，推进城镇备用水源建设，建设人工影响天气标准化作业站点。</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水务局、发改局、气象局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加快抗旱应急水源建设，新建引扬黄灌区水库调蓄工程，加大人畜饮水、抗旱应急水源保障建设，规划实施银川都市圈城乡供水等工程，推进城镇备用水源建设，建设人工影响天气标准化作业站点。</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505"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18</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完善城市防洪排涝工程体系，提升城市防洪排涝能力，配套做好城市泄涝沟道治理。</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住建局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进一步完善城区雨水收集系统，保障城市安全运行</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475"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水务局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配合做好泄涝沟道治理。</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580" w:hRule="atLeast"/>
          <w:jc w:val="center"/>
        </w:trPr>
        <w:tc>
          <w:tcPr>
            <w:tcW w:w="1180"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pacing w:val="-20"/>
                <w:sz w:val="21"/>
                <w:szCs w:val="21"/>
                <w:lang w:bidi="ar"/>
              </w:rPr>
              <w:t>五、实施地质灾害综合治理和避险移民搬迁工程</w:t>
            </w:r>
            <w:r>
              <w:rPr>
                <w:rFonts w:hint="default" w:ascii="Times New Roman" w:hAnsi="Times New Roman" w:eastAsia="楷体_GB2312" w:cs="Times New Roman"/>
                <w:b/>
                <w:bCs/>
                <w:color w:val="000000"/>
                <w:spacing w:val="-20"/>
                <w:sz w:val="21"/>
                <w:szCs w:val="21"/>
                <w:lang w:bidi="ar"/>
              </w:rPr>
              <w:br w:type="textWrapping"/>
            </w:r>
            <w:r>
              <w:rPr>
                <w:rFonts w:hint="default" w:ascii="Times New Roman" w:hAnsi="Times New Roman" w:eastAsia="楷体_GB2312" w:cs="Times New Roman"/>
                <w:b/>
                <w:bCs/>
                <w:color w:val="000000"/>
                <w:spacing w:val="-20"/>
                <w:sz w:val="21"/>
                <w:szCs w:val="21"/>
                <w:lang w:bidi="ar"/>
              </w:rPr>
              <w:t>牵头单位：自然资源局</w:t>
            </w:r>
          </w:p>
        </w:tc>
        <w:tc>
          <w:tcPr>
            <w:tcW w:w="46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lang w:val="en-US" w:eastAsia="zh-CN"/>
              </w:rPr>
            </w:pPr>
            <w:r>
              <w:rPr>
                <w:rFonts w:hint="eastAsia" w:ascii="Times New Roman" w:hAnsi="Times New Roman" w:eastAsia="仿宋_GB2312" w:cs="Times New Roman"/>
                <w:b/>
                <w:color w:val="000000"/>
                <w:sz w:val="21"/>
                <w:szCs w:val="21"/>
                <w:lang w:val="en-US" w:eastAsia="zh-CN"/>
              </w:rPr>
              <w:t>19</w:t>
            </w:r>
          </w:p>
        </w:tc>
        <w:tc>
          <w:tcPr>
            <w:tcW w:w="4215" w:type="dxa"/>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对已查明的泥石流、崩塌滑坡等地质灾害隐患点，加大工程治理和除险排危，重点推进威胁30人以上地质灾害隐患点的搬迁和治理，对一些地质灾害风险特别大、群众疏散困难的地区，科学选址评估，组织搬迁移民。</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对已查明的地质灾害隐患点加大工程治理和除险排危。</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1195" w:hRule="atLeast"/>
          <w:jc w:val="center"/>
        </w:trPr>
        <w:tc>
          <w:tcPr>
            <w:tcW w:w="1180" w:type="dxa"/>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市生态环境局平罗分局、住建局、水务局、农业农村局、发改局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配合做好相关工作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425" w:hRule="atLeast"/>
          <w:jc w:val="center"/>
        </w:trPr>
        <w:tc>
          <w:tcPr>
            <w:tcW w:w="1180"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pPr>
              <w:keepNext w:val="0"/>
              <w:keepLines w:val="0"/>
              <w:pageBreakBefore w:val="0"/>
              <w:numPr>
                <w:ilvl w:val="0"/>
                <w:numId w:val="3"/>
              </w:numPr>
              <w:kinsoku/>
              <w:wordWrap/>
              <w:overflowPunct/>
              <w:topLinePunct w:val="0"/>
              <w:autoSpaceDE/>
              <w:autoSpaceDN/>
              <w:bidi w:val="0"/>
              <w:adjustRightInd/>
              <w:snapToGrid/>
              <w:spacing w:line="320" w:lineRule="exact"/>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实施应急救援中心建设</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rPr>
                <w:rFonts w:hint="eastAsia" w:ascii="Times New Roman" w:hAnsi="Times New Roman" w:eastAsia="仿宋_GB2312" w:cs="Times New Roman"/>
                <w:color w:val="000000"/>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rPr>
                <w:rFonts w:hint="eastAsia" w:ascii="Times New Roman" w:hAnsi="Times New Roman" w:eastAsia="仿宋_GB2312" w:cs="Times New Roman"/>
                <w:color w:val="000000"/>
                <w:sz w:val="21"/>
                <w:szCs w:val="21"/>
                <w:lang w:eastAsia="zh-CN"/>
              </w:rPr>
            </w:pPr>
            <w:r>
              <w:rPr>
                <w:rFonts w:hint="eastAsia" w:ascii="楷体_GB2312" w:hAnsi="楷体_GB2312" w:eastAsia="楷体_GB2312" w:cs="楷体_GB2312"/>
                <w:b/>
                <w:bCs/>
                <w:color w:val="000000"/>
                <w:sz w:val="21"/>
                <w:szCs w:val="21"/>
                <w:lang w:eastAsia="zh-CN"/>
              </w:rPr>
              <w:t>牵头单位：应急局、发改局、住建局</w:t>
            </w:r>
          </w:p>
        </w:tc>
        <w:tc>
          <w:tcPr>
            <w:tcW w:w="46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lang w:val="en-US" w:eastAsia="zh-CN"/>
              </w:rPr>
            </w:pPr>
            <w:r>
              <w:rPr>
                <w:rFonts w:hint="eastAsia" w:ascii="Times New Roman" w:hAnsi="Times New Roman" w:eastAsia="仿宋_GB2312" w:cs="Times New Roman"/>
                <w:b/>
                <w:color w:val="000000"/>
                <w:sz w:val="21"/>
                <w:szCs w:val="21"/>
                <w:lang w:val="en-US" w:eastAsia="zh-CN"/>
              </w:rPr>
              <w:t>20</w:t>
            </w:r>
          </w:p>
        </w:tc>
        <w:tc>
          <w:tcPr>
            <w:tcW w:w="4215"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建设应急指挥（救援）中心，市县应急指挥调度、应急值守、监测监控、预测预警、通信协同、信息报送等功能，形成覆盖全县的应急指挥网络体系。</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应急管理局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建设县应急指挥（救援）中心，完善应急指挥网络体系。</w:t>
            </w:r>
          </w:p>
        </w:tc>
        <w:tc>
          <w:tcPr>
            <w:tcW w:w="8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75" w:hRule="atLeast"/>
          <w:jc w:val="center"/>
        </w:trPr>
        <w:tc>
          <w:tcPr>
            <w:tcW w:w="118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left w:val="single" w:color="auto" w:sz="4" w:space="0"/>
              <w:bottom w:val="single" w:color="000000" w:sz="6"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Times New Roman"/>
                <w:b/>
                <w:color w:val="000000"/>
                <w:sz w:val="21"/>
                <w:szCs w:val="21"/>
                <w:lang w:val="en-US" w:eastAsia="zh-CN"/>
              </w:rPr>
            </w:pPr>
          </w:p>
        </w:tc>
        <w:tc>
          <w:tcPr>
            <w:tcW w:w="4215"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imes New Roman" w:hAnsi="Times New Roman" w:eastAsia="仿宋_GB2312" w:cs="Times New Roman"/>
                <w:color w:val="000000"/>
                <w:sz w:val="21"/>
                <w:szCs w:val="21"/>
                <w:lang w:eastAsia="zh-CN"/>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pacing w:val="-20"/>
                <w:kern w:val="0"/>
                <w:sz w:val="21"/>
                <w:szCs w:val="21"/>
                <w:lang w:bidi="ar"/>
              </w:rPr>
              <w:t>公安局、住建局、交通局、工信局、发改局、武装部消防救援大队、</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配合应急局做好数据及系统应用接口等协调提供工作。</w:t>
            </w:r>
          </w:p>
        </w:tc>
        <w:tc>
          <w:tcPr>
            <w:tcW w:w="87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690" w:hRule="atLeast"/>
          <w:jc w:val="center"/>
        </w:trPr>
        <w:tc>
          <w:tcPr>
            <w:tcW w:w="118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6" w:space="0"/>
              <w:left w:val="single" w:color="000000" w:sz="4" w:space="0"/>
              <w:bottom w:val="single" w:color="000000" w:sz="6"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21</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加强应急救援物资储备基础建设，完善县储备物资管理信息化系统，新建1座县级综合性应急物资储备库，建立完善应急物资储备机制和应急调运机制。</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发改局（粮食和储备局）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加强应急救援物资储备基础建设，配套储备物资管理信息化系统，建立完善应急物资储备机制和应急调运机制。</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455" w:hRule="atLeast"/>
          <w:jc w:val="center"/>
        </w:trPr>
        <w:tc>
          <w:tcPr>
            <w:tcW w:w="118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6" w:space="0"/>
              <w:left w:val="single" w:color="000000" w:sz="4" w:space="0"/>
              <w:bottom w:val="single" w:color="000000" w:sz="6"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发改局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配合做好规划事宜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460" w:hRule="atLeast"/>
          <w:jc w:val="center"/>
        </w:trPr>
        <w:tc>
          <w:tcPr>
            <w:tcW w:w="118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6" w:space="0"/>
              <w:left w:val="single" w:color="000000" w:sz="4" w:space="0"/>
              <w:bottom w:val="single" w:color="000000" w:sz="6"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水务局、供销社</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完成年度防汛物资储备任务。</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615" w:hRule="atLeast"/>
          <w:jc w:val="center"/>
        </w:trPr>
        <w:tc>
          <w:tcPr>
            <w:tcW w:w="1180" w:type="dxa"/>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6" w:space="0"/>
              <w:left w:val="single" w:color="000000" w:sz="4" w:space="0"/>
              <w:bottom w:val="single" w:color="000000" w:sz="6"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会同水务局下达年度防汛物资装备储备计划，会同发改局制定年度救灾物资储备计划，建立应急物资装备调度调用机制。</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205" w:hRule="atLeast"/>
          <w:jc w:val="center"/>
        </w:trPr>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z w:val="21"/>
                <w:szCs w:val="21"/>
                <w:lang w:bidi="ar"/>
              </w:rPr>
              <w:t>七、实施自然灾害监测预警信息化工程</w:t>
            </w:r>
            <w:r>
              <w:rPr>
                <w:rFonts w:hint="default" w:ascii="Times New Roman" w:hAnsi="Times New Roman" w:eastAsia="楷体_GB2312" w:cs="Times New Roman"/>
                <w:b/>
                <w:bCs/>
                <w:color w:val="000000"/>
                <w:sz w:val="21"/>
                <w:szCs w:val="21"/>
                <w:lang w:bidi="ar"/>
              </w:rPr>
              <w:br w:type="textWrapping"/>
            </w:r>
          </w:p>
        </w:tc>
        <w:tc>
          <w:tcPr>
            <w:tcW w:w="465"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22</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建设气象灾害监测和预警系统，升级气象观测站网，建立气象灾害智能化识别分析系统。建立灾害性天气预报技术体系，建设重点行业气象灾害风险评估系统。</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气象局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建设气象灾害监测和预警系统，升级气象观测站网，建立气象灾害智能化识别分析系统。建立灾害性天气预报技术体系，建设重点行业气象灾害风险评估系统。</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0" w:hRule="atLeast"/>
          <w:jc w:val="center"/>
        </w:trPr>
        <w:tc>
          <w:tcPr>
            <w:tcW w:w="118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23</w:t>
            </w:r>
          </w:p>
        </w:tc>
        <w:tc>
          <w:tcPr>
            <w:tcW w:w="42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pacing w:val="-11"/>
                <w:kern w:val="0"/>
                <w:sz w:val="21"/>
                <w:szCs w:val="21"/>
                <w:lang w:bidi="ar"/>
              </w:rPr>
              <w:t>建设水文和水利工程监测预警系统，重点提升防洪区域监测能力，继续实施视频监控站点建设；建设洪水预报信息化系统，加强水旱灾害防治监测设施配备与升级改造、监测预警系统建设。</w:t>
            </w:r>
          </w:p>
        </w:tc>
        <w:tc>
          <w:tcPr>
            <w:tcW w:w="19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水务局、气象局</w:t>
            </w:r>
          </w:p>
        </w:tc>
        <w:tc>
          <w:tcPr>
            <w:tcW w:w="52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建设水文和水利工程监测预警系统，重点提升防洪区域监测能力，继续实施视频监控站点建设；建设洪水预报信息化系统，加强水旱灾害防治监测设施配备与升级改造、监测预警系统建设。</w:t>
            </w:r>
          </w:p>
        </w:tc>
        <w:tc>
          <w:tcPr>
            <w:tcW w:w="87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1215" w:hRule="atLeast"/>
          <w:jc w:val="center"/>
        </w:trPr>
        <w:tc>
          <w:tcPr>
            <w:tcW w:w="1180"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240" w:lineRule="exact"/>
              <w:jc w:val="center"/>
              <w:textAlignment w:val="auto"/>
              <w:rPr>
                <w:rFonts w:hint="default" w:ascii="黑体" w:hAnsi="黑体" w:eastAsia="黑体" w:cs="黑体"/>
                <w:b w:val="0"/>
                <w:bCs w:val="0"/>
                <w:color w:val="000000"/>
                <w:sz w:val="21"/>
                <w:szCs w:val="21"/>
                <w:lang w:bidi="ar"/>
              </w:rPr>
            </w:pPr>
            <w:r>
              <w:rPr>
                <w:rFonts w:hint="default" w:ascii="黑体" w:hAnsi="黑体" w:eastAsia="黑体" w:cs="黑体"/>
                <w:b w:val="0"/>
                <w:bCs w:val="0"/>
                <w:color w:val="000000"/>
                <w:sz w:val="21"/>
                <w:szCs w:val="21"/>
                <w:lang w:bidi="ar"/>
              </w:rPr>
              <w:t>实施自然灾害监测预警信息化工程</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楷体_GB2312" w:cs="Times New Roman"/>
                <w:b/>
                <w:bCs/>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牵头单位：应急局、发改局</w:t>
            </w:r>
          </w:p>
        </w:tc>
        <w:tc>
          <w:tcPr>
            <w:tcW w:w="46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24</w:t>
            </w:r>
          </w:p>
        </w:tc>
        <w:tc>
          <w:tcPr>
            <w:tcW w:w="421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加强地质灾害监测预警网建设，建设重大地质灾害隐患点专业监测点，落实卫星数据的集成管理、分析预警，全面提升地质灾害监测预警科技水平、信息化水平和高效决策支撑能力。</w:t>
            </w:r>
          </w:p>
        </w:tc>
        <w:tc>
          <w:tcPr>
            <w:tcW w:w="198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根据区、市自然资源局安排统一推进相关工作。</w:t>
            </w:r>
          </w:p>
        </w:tc>
        <w:tc>
          <w:tcPr>
            <w:tcW w:w="87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2310" w:hRule="atLeast"/>
          <w:jc w:val="center"/>
        </w:trPr>
        <w:tc>
          <w:tcPr>
            <w:tcW w:w="118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25</w:t>
            </w:r>
          </w:p>
        </w:tc>
        <w:tc>
          <w:tcPr>
            <w:tcW w:w="421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加强现代化地震监测预测预警体系建设，实施地震烈度速报预警工程建设，加密地震烈度速报站点和信息发布终端。实施“一带一路”地震监测项目、国家子午工程、地震综合台站建设。</w:t>
            </w:r>
          </w:p>
        </w:tc>
        <w:tc>
          <w:tcPr>
            <w:tcW w:w="19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住建局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（地震局）</w:t>
            </w:r>
          </w:p>
        </w:tc>
        <w:tc>
          <w:tcPr>
            <w:tcW w:w="520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积极推进国家地震烈度速报与预警工程项目，配合完成平罗县分项建设任务，主要完成建设基防站、基本站建设，在学校、医院、商场、企业、政府部门等人员密集场所选定、安装地震预警信息发布终端，建成全县地震烈度速报与预警网格。                                        2.向社会提供地震预警、烈度速报等信息报务，实现震后5－30秒钟发布预警信号，1－2分钟发布地震参数，2－5分钟发布地震烈度结果。</w:t>
            </w:r>
          </w:p>
        </w:tc>
        <w:tc>
          <w:tcPr>
            <w:tcW w:w="87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0" w:hRule="atLeast"/>
          <w:jc w:val="center"/>
        </w:trPr>
        <w:tc>
          <w:tcPr>
            <w:tcW w:w="1180"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26</w:t>
            </w:r>
          </w:p>
        </w:tc>
        <w:tc>
          <w:tcPr>
            <w:tcW w:w="4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建设森林草原火险预警系统和卫星监测系统，建设重点林区草原、重点部位视频监控点，更新补充森林草原火险监测站和可燃物因子采集站，增补瞭望塔，实现早发现早预警。</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自然资源局、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气象局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由自治区林草局统一组织实施，配合做好相关工作。</w:t>
            </w:r>
          </w:p>
        </w:tc>
        <w:tc>
          <w:tcPr>
            <w:tcW w:w="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1210" w:hRule="atLeast"/>
          <w:jc w:val="center"/>
        </w:trPr>
        <w:tc>
          <w:tcPr>
            <w:tcW w:w="1180"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27</w:t>
            </w:r>
          </w:p>
        </w:tc>
        <w:tc>
          <w:tcPr>
            <w:tcW w:w="421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建设自然灾害综合监测预警信息系统，整合利用部门监测信息资源，推进自然灾害综合监测预警信息系统建设，建设应急处突信息精准定向发布平台，提升应对自然灾害突发事件指挥协调和公共服务处突能力。</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自然灾害综合监测预警信息系统，整合利用相关部门监测信息资源，推进自然灾害综合监测预警信息系统建设，建设应急处突信息精准定向发布平台，提升应对自然灾害突发事件指挥协调和公共服务处突能力。</w:t>
            </w:r>
          </w:p>
        </w:tc>
        <w:tc>
          <w:tcPr>
            <w:tcW w:w="8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90" w:hRule="atLeast"/>
          <w:jc w:val="center"/>
        </w:trPr>
        <w:tc>
          <w:tcPr>
            <w:tcW w:w="1180"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水务局、农业农村局、气象局、发改局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建设水旱、气象、农业灾害等监测预警信息系统，建设应急处突信息精准定向发布平台，协调做好向县应急局提供相关数据及平台接口等工作。</w:t>
            </w:r>
          </w:p>
        </w:tc>
        <w:tc>
          <w:tcPr>
            <w:tcW w:w="8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876" w:hRule="atLeast"/>
          <w:jc w:val="center"/>
        </w:trPr>
        <w:tc>
          <w:tcPr>
            <w:tcW w:w="1180" w:type="dxa"/>
            <w:vMerge w:val="continue"/>
            <w:tcBorders>
              <w:left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1"/>
                <w:szCs w:val="21"/>
              </w:rPr>
            </w:pPr>
          </w:p>
        </w:tc>
        <w:tc>
          <w:tcPr>
            <w:tcW w:w="46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lang w:val="en-US" w:eastAsia="zh-CN"/>
              </w:rPr>
            </w:pPr>
          </w:p>
        </w:tc>
        <w:tc>
          <w:tcPr>
            <w:tcW w:w="421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自然资源局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配合市自然资源局、林草局做好森林草原火灾及地质灾害监测预警相关工作，协调做好向应急局提供相关数据及平台接口等工作。</w:t>
            </w:r>
          </w:p>
        </w:tc>
        <w:tc>
          <w:tcPr>
            <w:tcW w:w="8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809" w:hRule="atLeast"/>
          <w:jc w:val="center"/>
        </w:trPr>
        <w:tc>
          <w:tcPr>
            <w:tcW w:w="118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住建局（地震局）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配合县应急局完成自然灾害综合监测预警信息系统建设任务，协调做好提供相关数据等工作。</w:t>
            </w:r>
          </w:p>
        </w:tc>
        <w:tc>
          <w:tcPr>
            <w:tcW w:w="87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45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z w:val="21"/>
                <w:szCs w:val="21"/>
                <w:lang w:bidi="ar"/>
              </w:rPr>
              <w:t>八、实施自然灾害防治技术装备现代化工程</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楷体_GB2312" w:cs="Times New Roman"/>
                <w:b/>
                <w:bCs/>
                <w:color w:val="000000"/>
                <w:sz w:val="21"/>
                <w:szCs w:val="21"/>
                <w:lang w:bidi="ar"/>
              </w:rPr>
              <w:t>牵头单位：工信局、科技局、应急局</w:t>
            </w: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28</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强森林火灾综合防控技术装备引进配备，建设野外飞机取水水源地、停机坪，加大无人机技术、高清数字图像传输技术等在森林防火管理中的应用，根据需要新建和修复改造林区防火道路、防火隔离带、防火线等。</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自然资源局、科技局、工信局、交通局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强森林火灾综合防控技术装备引进配备，建设野外飞机取水水源地、停机坪，加大无人机技术、高清数字图像传输技术等在森林防火管理中的应用，根据需要新建和修复改造林区防火道路、防火隔离带、防火线等。</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63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加大无人机技术、高清数字图像传输技术在应急救援领域的应用。</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53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市场监管局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配合做好相关工作。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88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29</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推进地震应急技术保障能力建设，建设地震现场灾情快速采集、识别、处理及发布系统，构建应急通信保障模式，建成智能电网成套用电信息采集设备项目，升级地震应急流动观测系统。</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住建局（地震局）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1.与科技局、工信局、国网平罗县供分电公司加强联系沟通，成立工作小组，强化工作协调配合。                                                                   2.配合区、市地震局建设地震现场灾情快速采集、识别、处理及发布系统和相关系统升级工作，拓展地震灾情数据传输渠道和灾情快速获取手段，提升现场灾情的快速获取能力。</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2021年</w:t>
            </w:r>
          </w:p>
        </w:tc>
      </w:tr>
      <w:tr>
        <w:tblPrEx>
          <w:tblLayout w:type="fixed"/>
          <w:tblCellMar>
            <w:top w:w="0" w:type="dxa"/>
            <w:left w:w="0" w:type="dxa"/>
            <w:bottom w:w="0" w:type="dxa"/>
            <w:right w:w="0" w:type="dxa"/>
          </w:tblCellMar>
        </w:tblPrEx>
        <w:trPr>
          <w:trHeight w:val="765"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科技局、工信局、国网平罗供电分公司</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配合做好建设地震现场灾情快速采集、识别、处理及发布系统及建成智能电网成套用电信息采集设备项目等工作。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14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kern w:val="0"/>
                <w:sz w:val="21"/>
                <w:szCs w:val="21"/>
                <w:lang w:bidi="ar"/>
              </w:rPr>
              <w:t>30</w:t>
            </w:r>
          </w:p>
        </w:tc>
        <w:tc>
          <w:tcPr>
            <w:tcW w:w="4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提高综合救援专业化技术装备水平，统筹配备自然灾害综合性救援技术装备，加强防汛抗旱应急抢险和保障装备建设，扩大无人机及卫星监测定位等抗洪抢险新技术新装备引进应用，加大易旱区人畜饮水拉运输送装备配备。</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应急局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提高综合救援专业化技术装备水平，统筹配备自然灾害综合性救援技术装备，加强防汛抗旱应急抢险和保障装备建设，扩大无人机及卫星监测定位等抗洪抢险新技术新装备引进应用，加大易旱区人畜饮水拉运输送装备配备。</w:t>
            </w:r>
          </w:p>
        </w:tc>
        <w:tc>
          <w:tcPr>
            <w:tcW w:w="8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2020年</w:t>
            </w:r>
          </w:p>
        </w:tc>
      </w:tr>
      <w:tr>
        <w:tblPrEx>
          <w:tblLayout w:type="fixed"/>
          <w:tblCellMar>
            <w:top w:w="0" w:type="dxa"/>
            <w:left w:w="0" w:type="dxa"/>
            <w:bottom w:w="0" w:type="dxa"/>
            <w:right w:w="0" w:type="dxa"/>
          </w:tblCellMar>
        </w:tblPrEx>
        <w:trPr>
          <w:trHeight w:val="835"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科技局、工信局、水务局、消防救援支队</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配合应急局做好新技术应用、救援装备配置等相关工作。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47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c>
          <w:tcPr>
            <w:tcW w:w="4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color w:val="000000"/>
                <w:sz w:val="21"/>
                <w:szCs w:val="21"/>
              </w:rPr>
            </w:pPr>
          </w:p>
        </w:tc>
        <w:tc>
          <w:tcPr>
            <w:tcW w:w="4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color w:val="000000"/>
                <w:sz w:val="21"/>
                <w:szCs w:val="21"/>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市场监管局</w:t>
            </w:r>
          </w:p>
        </w:tc>
        <w:tc>
          <w:tcPr>
            <w:tcW w:w="5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配合做好相关工作。</w:t>
            </w:r>
          </w:p>
        </w:tc>
        <w:tc>
          <w:tcPr>
            <w:tcW w:w="8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color w:val="000000"/>
                <w:sz w:val="21"/>
                <w:szCs w:val="21"/>
              </w:rPr>
            </w:pPr>
          </w:p>
        </w:tc>
      </w:tr>
      <w:tr>
        <w:tblPrEx>
          <w:tblLayout w:type="fixed"/>
          <w:tblCellMar>
            <w:top w:w="0" w:type="dxa"/>
            <w:left w:w="0" w:type="dxa"/>
            <w:bottom w:w="0" w:type="dxa"/>
            <w:right w:w="0" w:type="dxa"/>
          </w:tblCellMar>
        </w:tblPrEx>
        <w:trPr>
          <w:trHeight w:val="624" w:hRule="atLeast"/>
          <w:jc w:val="center"/>
        </w:trPr>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val="0"/>
                <w:color w:val="000000"/>
                <w:sz w:val="21"/>
                <w:szCs w:val="21"/>
                <w:lang w:bidi="ar"/>
              </w:rPr>
            </w:pPr>
            <w:r>
              <w:rPr>
                <w:rFonts w:hint="default" w:ascii="黑体" w:hAnsi="黑体" w:eastAsia="黑体" w:cs="黑体"/>
                <w:b w:val="0"/>
                <w:bCs w:val="0"/>
                <w:color w:val="000000"/>
                <w:sz w:val="21"/>
                <w:szCs w:val="21"/>
                <w:lang w:bidi="ar"/>
              </w:rPr>
              <w:t>重点工程落实</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sz w:val="21"/>
                <w:szCs w:val="21"/>
              </w:rPr>
            </w:pPr>
            <w:r>
              <w:rPr>
                <w:rFonts w:hint="default" w:ascii="黑体" w:hAnsi="黑体" w:eastAsia="黑体" w:cs="黑体"/>
                <w:b w:val="0"/>
                <w:bCs w:val="0"/>
                <w:color w:val="000000"/>
                <w:sz w:val="21"/>
                <w:szCs w:val="21"/>
                <w:lang w:bidi="ar"/>
              </w:rPr>
              <w:t>要求</w:t>
            </w:r>
          </w:p>
        </w:tc>
        <w:tc>
          <w:tcPr>
            <w:tcW w:w="122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
                <w:color w:val="000000"/>
                <w:sz w:val="21"/>
                <w:szCs w:val="21"/>
                <w:lang w:bidi="ar"/>
              </w:rPr>
              <w:t>任务分工共8项重点工程、30项分项任务：有多个牵头、责任单位的，排位最前加黑的为第一责任单位。</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t>1.组织重点工程的责任单位进一步细化《任务分工》，明确指标要求、时间节点、实施步骤、阶段性目标任务。</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t>2.细化《任务分工》后，属于牵头部门具体实施的，第一责任单位要及时将任务细化成具体的项目清单。项目清单要明确每一个项目的实施主体、实施内容、资金预算、绩效目标、进度安排等，切实保障所有项目能够落地建成。</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t>3.实行“一月一汇总、一旬一督办、半年一报告、一年一总结”制度，加强对重点工程实施的动态监测、跟踪评估，全面掌握重点工程进展和存在的问题。</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t xml:space="preserve">4.每月末、每季度末、每年11月15日前，由各分项任务第一责任单位负责收集、汇总各分项任务的阶段性目标任务完成情况、年度实施情况，并报所属重点工程第一责任单位；重点工程第一责任单位负责收集、汇总所属重点工程各分项任务的阶段性目标任务完成情况、年度实施情况，并报应急管理局。 </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t>5.及时收集分项任务第一责任单位制定的细化措施、项目清单，作为考核督促落实的依据。</w:t>
            </w:r>
            <w:r>
              <w:rPr>
                <w:rFonts w:hint="default" w:ascii="Times New Roman" w:hAnsi="Times New Roman" w:eastAsia="仿宋_GB2312" w:cs="Times New Roman"/>
                <w:color w:val="000000"/>
                <w:sz w:val="21"/>
                <w:szCs w:val="21"/>
                <w:lang w:bidi="ar"/>
              </w:rPr>
              <w:br w:type="textWrapping"/>
            </w:r>
            <w:r>
              <w:rPr>
                <w:rFonts w:hint="default" w:ascii="Times New Roman" w:hAnsi="Times New Roman" w:eastAsia="仿宋_GB2312" w:cs="Times New Roman"/>
                <w:color w:val="000000"/>
                <w:sz w:val="21"/>
                <w:szCs w:val="21"/>
                <w:lang w:bidi="ar"/>
              </w:rPr>
              <w:t>6.各重点工程、分项任务的牵头、责任单位确定一名分管领导和一名科室负责人及联系电话报应急管理局。</w:t>
            </w:r>
          </w:p>
        </w:tc>
      </w:tr>
    </w:tbl>
    <w:p>
      <w:pPr>
        <w:rPr>
          <w:rFonts w:hint="default" w:ascii="Times New Roman" w:hAnsi="Times New Roman" w:eastAsia="方正小标宋简体" w:cs="Times New Roman"/>
          <w:color w:val="000000"/>
          <w:kern w:val="0"/>
          <w:sz w:val="44"/>
          <w:szCs w:val="44"/>
          <w:lang w:bidi="ar"/>
        </w:rPr>
      </w:pPr>
    </w:p>
    <w:p>
      <w:pPr>
        <w:rPr>
          <w:rFonts w:hint="default" w:ascii="Times New Roman" w:hAnsi="Times New Roman" w:eastAsia="方正小标宋简体" w:cs="Times New Roman"/>
          <w:color w:val="000000"/>
          <w:kern w:val="0"/>
          <w:sz w:val="44"/>
          <w:szCs w:val="44"/>
          <w:lang w:bidi="ar"/>
        </w:rPr>
      </w:pPr>
    </w:p>
    <w:p>
      <w:pPr>
        <w:rPr>
          <w:rFonts w:hint="default" w:ascii="Times New Roman" w:hAnsi="Times New Roman" w:eastAsia="方正小标宋简体" w:cs="Times New Roman"/>
          <w:color w:val="000000"/>
          <w:kern w:val="0"/>
          <w:sz w:val="44"/>
          <w:szCs w:val="44"/>
          <w:lang w:bidi="ar"/>
        </w:rPr>
      </w:pPr>
    </w:p>
    <w:p>
      <w:pPr>
        <w:jc w:val="left"/>
        <w:rPr>
          <w:rFonts w:hint="default" w:ascii="Times New Roman" w:hAnsi="Times New Roman" w:eastAsia="黑体" w:cs="Times New Roman"/>
          <w:color w:val="000000"/>
          <w:kern w:val="0"/>
          <w:sz w:val="32"/>
          <w:szCs w:val="32"/>
          <w:lang w:eastAsia="zh-CN" w:bidi="ar"/>
        </w:rPr>
      </w:pPr>
    </w:p>
    <w:p>
      <w:pPr>
        <w:jc w:val="left"/>
        <w:rPr>
          <w:rFonts w:hint="default" w:ascii="Times New Roman" w:hAnsi="Times New Roman" w:eastAsia="黑体" w:cs="Times New Roman"/>
          <w:color w:val="000000"/>
          <w:kern w:val="0"/>
          <w:sz w:val="32"/>
          <w:szCs w:val="32"/>
          <w:lang w:eastAsia="zh-CN" w:bidi="ar"/>
        </w:rPr>
      </w:pPr>
    </w:p>
    <w:p>
      <w:pPr>
        <w:jc w:val="left"/>
        <w:rPr>
          <w:rFonts w:hint="default" w:ascii="Times New Roman" w:hAnsi="Times New Roman" w:eastAsia="黑体" w:cs="Times New Roman"/>
          <w:color w:val="000000"/>
          <w:kern w:val="0"/>
          <w:sz w:val="32"/>
          <w:szCs w:val="32"/>
          <w:lang w:eastAsia="zh-CN" w:bidi="ar"/>
        </w:rPr>
      </w:pPr>
    </w:p>
    <w:p>
      <w:pPr>
        <w:jc w:val="left"/>
        <w:rPr>
          <w:rFonts w:hint="default" w:ascii="Times New Roman" w:hAnsi="Times New Roman" w:eastAsia="黑体" w:cs="Times New Roman"/>
          <w:color w:val="000000"/>
          <w:kern w:val="0"/>
          <w:sz w:val="32"/>
          <w:szCs w:val="32"/>
          <w:lang w:eastAsia="zh-CN" w:bidi="ar"/>
        </w:rPr>
      </w:pPr>
    </w:p>
    <w:p>
      <w:pPr>
        <w:jc w:val="left"/>
        <w:rPr>
          <w:rFonts w:hint="default" w:ascii="Times New Roman" w:hAnsi="Times New Roman" w:eastAsia="黑体" w:cs="Times New Roman"/>
          <w:color w:val="000000"/>
          <w:kern w:val="0"/>
          <w:sz w:val="32"/>
          <w:szCs w:val="32"/>
          <w:lang w:eastAsia="zh-CN" w:bidi="ar"/>
        </w:rPr>
      </w:pPr>
    </w:p>
    <w:p>
      <w:pPr>
        <w:jc w:val="left"/>
        <w:rPr>
          <w:rFonts w:hint="default" w:ascii="Times New Roman" w:hAnsi="Times New Roman" w:eastAsia="黑体" w:cs="Times New Roman"/>
          <w:color w:val="000000"/>
          <w:kern w:val="0"/>
          <w:sz w:val="32"/>
          <w:szCs w:val="32"/>
          <w:lang w:eastAsia="zh-CN" w:bidi="ar"/>
        </w:rPr>
      </w:pPr>
    </w:p>
    <w:p>
      <w:pPr>
        <w:jc w:val="left"/>
        <w:rPr>
          <w:rFonts w:hint="default" w:ascii="Times New Roman" w:hAnsi="Times New Roman" w:eastAsia="黑体" w:cs="Times New Roman"/>
          <w:color w:val="000000"/>
          <w:kern w:val="0"/>
          <w:sz w:val="32"/>
          <w:szCs w:val="32"/>
          <w:lang w:val="en-US" w:eastAsia="zh-CN" w:bidi="ar"/>
        </w:rPr>
      </w:pPr>
      <w:bookmarkStart w:id="0" w:name="_GoBack"/>
      <w:bookmarkEnd w:id="0"/>
      <w:r>
        <w:rPr>
          <w:rFonts w:hint="default" w:ascii="Times New Roman" w:hAnsi="Times New Roman" w:eastAsia="黑体" w:cs="Times New Roman"/>
          <w:color w:val="000000"/>
          <w:kern w:val="0"/>
          <w:sz w:val="32"/>
          <w:szCs w:val="32"/>
          <w:lang w:eastAsia="zh-CN" w:bidi="ar"/>
        </w:rPr>
        <w:t>附件</w:t>
      </w:r>
      <w:r>
        <w:rPr>
          <w:rFonts w:hint="default" w:ascii="Times New Roman" w:hAnsi="Times New Roman" w:eastAsia="黑体" w:cs="Times New Roman"/>
          <w:color w:val="000000"/>
          <w:kern w:val="0"/>
          <w:sz w:val="32"/>
          <w:szCs w:val="32"/>
          <w:lang w:val="en-US" w:eastAsia="zh-CN" w:bidi="ar"/>
        </w:rPr>
        <w:t>2：</w:t>
      </w:r>
    </w:p>
    <w:p>
      <w:pPr>
        <w:jc w:val="center"/>
        <w:rPr>
          <w:rFonts w:hint="eastAsia" w:ascii="Times New Roman" w:hAnsi="Times New Roman" w:eastAsia="方正小标宋简体" w:cs="Times New Roman"/>
          <w:lang w:eastAsia="zh-CN"/>
        </w:rPr>
      </w:pPr>
      <w:r>
        <w:rPr>
          <w:rFonts w:hint="default" w:ascii="Times New Roman" w:hAnsi="Times New Roman" w:eastAsia="方正小标宋简体" w:cs="Times New Roman"/>
          <w:color w:val="000000"/>
          <w:kern w:val="0"/>
          <w:sz w:val="44"/>
          <w:szCs w:val="44"/>
          <w:lang w:bidi="ar"/>
        </w:rPr>
        <w:t>平罗县落实提高自然灾害防治能力建设重点工程任务</w:t>
      </w:r>
      <w:r>
        <w:rPr>
          <w:rFonts w:hint="eastAsia" w:ascii="Times New Roman" w:hAnsi="Times New Roman" w:eastAsia="方正小标宋简体" w:cs="Times New Roman"/>
          <w:color w:val="000000"/>
          <w:kern w:val="0"/>
          <w:sz w:val="44"/>
          <w:szCs w:val="44"/>
          <w:lang w:eastAsia="zh-CN" w:bidi="ar"/>
        </w:rPr>
        <w:t>联络表</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834" w:type="dxa"/>
            <w:vMerge w:val="restart"/>
            <w:vAlign w:val="center"/>
          </w:tcPr>
          <w:p>
            <w:pPr>
              <w:jc w:val="center"/>
              <w:rPr>
                <w:rFonts w:hint="eastAsia" w:ascii="黑体" w:hAnsi="黑体" w:eastAsia="黑体" w:cs="黑体"/>
                <w:sz w:val="32"/>
                <w:szCs w:val="32"/>
              </w:rPr>
            </w:pPr>
            <w:r>
              <w:rPr>
                <w:rFonts w:hint="eastAsia" w:ascii="黑体" w:hAnsi="黑体" w:eastAsia="黑体" w:cs="黑体"/>
                <w:sz w:val="32"/>
                <w:szCs w:val="32"/>
              </w:rPr>
              <w:t>重点工程</w:t>
            </w: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分管领导</w:t>
            </w:r>
          </w:p>
        </w:tc>
        <w:tc>
          <w:tcPr>
            <w:tcW w:w="2835" w:type="dxa"/>
            <w:vAlign w:val="center"/>
          </w:tcPr>
          <w:p>
            <w:pPr>
              <w:jc w:val="center"/>
              <w:rPr>
                <w:rFonts w:hint="default" w:ascii="Times New Roman" w:hAnsi="Times New Roman" w:cs="Times New Roman"/>
                <w:sz w:val="32"/>
                <w:szCs w:val="32"/>
              </w:rPr>
            </w:pP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电话</w:t>
            </w:r>
          </w:p>
        </w:tc>
        <w:tc>
          <w:tcPr>
            <w:tcW w:w="2835" w:type="dxa"/>
            <w:vAlign w:val="center"/>
          </w:tcPr>
          <w:p>
            <w:pPr>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834" w:type="dxa"/>
            <w:vMerge w:val="continue"/>
            <w:vAlign w:val="center"/>
          </w:tcPr>
          <w:p>
            <w:pPr>
              <w:jc w:val="center"/>
              <w:rPr>
                <w:rFonts w:hint="eastAsia" w:ascii="黑体" w:hAnsi="黑体" w:eastAsia="黑体" w:cs="黑体"/>
                <w:sz w:val="32"/>
                <w:szCs w:val="32"/>
              </w:rPr>
            </w:pP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科室负责人</w:t>
            </w:r>
          </w:p>
        </w:tc>
        <w:tc>
          <w:tcPr>
            <w:tcW w:w="2835" w:type="dxa"/>
            <w:vAlign w:val="center"/>
          </w:tcPr>
          <w:p>
            <w:pPr>
              <w:jc w:val="center"/>
              <w:rPr>
                <w:rFonts w:hint="default" w:ascii="Times New Roman" w:hAnsi="Times New Roman" w:cs="Times New Roman"/>
                <w:sz w:val="32"/>
                <w:szCs w:val="32"/>
              </w:rPr>
            </w:pP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电话</w:t>
            </w:r>
          </w:p>
        </w:tc>
        <w:tc>
          <w:tcPr>
            <w:tcW w:w="2835" w:type="dxa"/>
            <w:vAlign w:val="center"/>
          </w:tcPr>
          <w:p>
            <w:pPr>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834" w:type="dxa"/>
            <w:vMerge w:val="restart"/>
            <w:vAlign w:val="center"/>
          </w:tcPr>
          <w:p>
            <w:pPr>
              <w:jc w:val="center"/>
              <w:rPr>
                <w:rFonts w:hint="eastAsia" w:ascii="黑体" w:hAnsi="黑体" w:eastAsia="黑体" w:cs="黑体"/>
                <w:sz w:val="32"/>
                <w:szCs w:val="32"/>
              </w:rPr>
            </w:pPr>
            <w:r>
              <w:rPr>
                <w:rFonts w:hint="eastAsia" w:ascii="黑体" w:hAnsi="黑体" w:eastAsia="黑体" w:cs="黑体"/>
                <w:sz w:val="32"/>
                <w:szCs w:val="32"/>
              </w:rPr>
              <w:t>分项任务责任单位</w:t>
            </w: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分管领导</w:t>
            </w:r>
          </w:p>
        </w:tc>
        <w:tc>
          <w:tcPr>
            <w:tcW w:w="2835" w:type="dxa"/>
            <w:vAlign w:val="center"/>
          </w:tcPr>
          <w:p>
            <w:pPr>
              <w:jc w:val="center"/>
              <w:rPr>
                <w:rFonts w:hint="default" w:ascii="Times New Roman" w:hAnsi="Times New Roman" w:cs="Times New Roman"/>
                <w:sz w:val="32"/>
                <w:szCs w:val="32"/>
              </w:rPr>
            </w:pP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电话</w:t>
            </w:r>
          </w:p>
        </w:tc>
        <w:tc>
          <w:tcPr>
            <w:tcW w:w="2835" w:type="dxa"/>
            <w:vAlign w:val="center"/>
          </w:tcPr>
          <w:p>
            <w:pPr>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834" w:type="dxa"/>
            <w:vMerge w:val="continue"/>
            <w:vAlign w:val="center"/>
          </w:tcPr>
          <w:p>
            <w:pPr>
              <w:jc w:val="center"/>
              <w:rPr>
                <w:rFonts w:hint="default" w:ascii="Times New Roman" w:hAnsi="Times New Roman" w:cs="Times New Roman"/>
                <w:sz w:val="32"/>
                <w:szCs w:val="32"/>
              </w:rPr>
            </w:pP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科室负责人</w:t>
            </w:r>
          </w:p>
        </w:tc>
        <w:tc>
          <w:tcPr>
            <w:tcW w:w="2835" w:type="dxa"/>
            <w:vAlign w:val="center"/>
          </w:tcPr>
          <w:p>
            <w:pPr>
              <w:jc w:val="center"/>
              <w:rPr>
                <w:rFonts w:hint="default" w:ascii="Times New Roman" w:hAnsi="Times New Roman" w:cs="Times New Roman"/>
                <w:sz w:val="32"/>
                <w:szCs w:val="32"/>
              </w:rPr>
            </w:pPr>
          </w:p>
        </w:tc>
        <w:tc>
          <w:tcPr>
            <w:tcW w:w="2835" w:type="dxa"/>
            <w:vAlign w:val="center"/>
          </w:tcPr>
          <w:p>
            <w:pPr>
              <w:jc w:val="center"/>
              <w:rPr>
                <w:rFonts w:hint="default" w:ascii="Times New Roman" w:hAnsi="Times New Roman" w:cs="Times New Roman"/>
                <w:sz w:val="32"/>
                <w:szCs w:val="32"/>
              </w:rPr>
            </w:pPr>
            <w:r>
              <w:rPr>
                <w:rFonts w:hint="default" w:ascii="Times New Roman" w:hAnsi="Times New Roman" w:cs="Times New Roman"/>
                <w:sz w:val="32"/>
                <w:szCs w:val="32"/>
              </w:rPr>
              <w:t>电话</w:t>
            </w:r>
          </w:p>
        </w:tc>
        <w:tc>
          <w:tcPr>
            <w:tcW w:w="2835" w:type="dxa"/>
            <w:vAlign w:val="center"/>
          </w:tcPr>
          <w:p>
            <w:pPr>
              <w:jc w:val="center"/>
              <w:rPr>
                <w:rFonts w:hint="default" w:ascii="Times New Roman" w:hAnsi="Times New Roman" w:cs="Times New Roman"/>
                <w:sz w:val="32"/>
                <w:szCs w:val="32"/>
              </w:rPr>
            </w:pPr>
          </w:p>
        </w:tc>
      </w:tr>
    </w:tbl>
    <w:p>
      <w:pPr>
        <w:rPr>
          <w:rFonts w:hint="default" w:ascii="Times New Roman" w:hAnsi="Times New Roman" w:cs="Times New Roman"/>
        </w:rPr>
      </w:pPr>
    </w:p>
    <w:p/>
    <w:sectPr>
      <w:pgSz w:w="16838" w:h="11906" w:orient="landscape"/>
      <w:pgMar w:top="1440" w:right="1417" w:bottom="1440" w:left="141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787FC"/>
    <w:multiLevelType w:val="singleLevel"/>
    <w:tmpl w:val="BDF787FC"/>
    <w:lvl w:ilvl="0" w:tentative="0">
      <w:start w:val="1"/>
      <w:numFmt w:val="chineseCounting"/>
      <w:suff w:val="nothing"/>
      <w:lvlText w:val="%1、"/>
      <w:lvlJc w:val="left"/>
      <w:rPr>
        <w:rFonts w:hint="eastAsia"/>
      </w:rPr>
    </w:lvl>
  </w:abstractNum>
  <w:abstractNum w:abstractNumId="1">
    <w:nsid w:val="031423A9"/>
    <w:multiLevelType w:val="singleLevel"/>
    <w:tmpl w:val="031423A9"/>
    <w:lvl w:ilvl="0" w:tentative="0">
      <w:start w:val="1"/>
      <w:numFmt w:val="chineseCounting"/>
      <w:suff w:val="nothing"/>
      <w:lvlText w:val="%1、"/>
      <w:lvlJc w:val="left"/>
      <w:rPr>
        <w:rFonts w:hint="eastAsia"/>
      </w:rPr>
    </w:lvl>
  </w:abstractNum>
  <w:abstractNum w:abstractNumId="2">
    <w:nsid w:val="50C33981"/>
    <w:multiLevelType w:val="singleLevel"/>
    <w:tmpl w:val="50C33981"/>
    <w:lvl w:ilvl="0" w:tentative="0">
      <w:start w:val="7"/>
      <w:numFmt w:val="chineseCounting"/>
      <w:suff w:val="nothing"/>
      <w:lvlText w:val="%1、"/>
      <w:lvlJc w:val="left"/>
      <w:rPr>
        <w:rFonts w:hint="eastAsia"/>
      </w:rPr>
    </w:lvl>
  </w:abstractNum>
  <w:abstractNum w:abstractNumId="3">
    <w:nsid w:val="6987B368"/>
    <w:multiLevelType w:val="singleLevel"/>
    <w:tmpl w:val="6987B368"/>
    <w:lvl w:ilvl="0" w:tentative="0">
      <w:start w:val="6"/>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E3A78"/>
    <w:rsid w:val="4E2E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sz w:val="21"/>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2020-01-16T01:55:00Z</dcterms:created>
  <dc:creator>Administrator</dc:creator>
  <cp:lastModifiedBy>Administrator</cp:lastModifiedBy>
  <dcterms:modified xsi:type="dcterms:W3CDTF">2020-01-16T01:56:11Z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