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6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spacing w:val="-20"/>
          <w:sz w:val="44"/>
          <w:szCs w:val="44"/>
          <w:lang w:eastAsia="zh-CN"/>
        </w:rPr>
      </w:pPr>
      <w:bookmarkStart w:id="0" w:name="_GoBack"/>
      <w:r>
        <w:rPr>
          <w:rFonts w:hint="eastAsia" w:ascii="方正小标宋简体" w:hAnsi="方正小标宋简体" w:eastAsia="方正小标宋简体" w:cs="方正小标宋简体"/>
          <w:color w:val="000000"/>
          <w:spacing w:val="-20"/>
          <w:sz w:val="44"/>
          <w:szCs w:val="44"/>
        </w:rPr>
        <w:t>平罗县</w:t>
      </w:r>
      <w:r>
        <w:rPr>
          <w:rFonts w:hint="eastAsia" w:ascii="方正小标宋简体" w:hAnsi="方正小标宋简体" w:eastAsia="方正小标宋简体" w:cs="方正小标宋简体"/>
          <w:color w:val="000000"/>
          <w:spacing w:val="-20"/>
          <w:sz w:val="44"/>
          <w:szCs w:val="44"/>
          <w:lang w:eastAsia="zh-CN"/>
        </w:rPr>
        <w:t>招商引资</w:t>
      </w:r>
      <w:r>
        <w:rPr>
          <w:rFonts w:hint="eastAsia" w:ascii="方正小标宋简体" w:hAnsi="方正小标宋简体" w:eastAsia="方正小标宋简体" w:cs="方正小标宋简体"/>
          <w:color w:val="000000"/>
          <w:spacing w:val="-20"/>
          <w:sz w:val="44"/>
          <w:szCs w:val="44"/>
        </w:rPr>
        <w:t>工作</w:t>
      </w:r>
      <w:r>
        <w:rPr>
          <w:rFonts w:hint="eastAsia" w:ascii="方正小标宋简体" w:hAnsi="方正小标宋简体" w:eastAsia="方正小标宋简体" w:cs="方正小标宋简体"/>
          <w:color w:val="000000"/>
          <w:spacing w:val="-20"/>
          <w:sz w:val="44"/>
          <w:szCs w:val="44"/>
          <w:lang w:eastAsia="zh-CN"/>
        </w:rPr>
        <w:t>考评</w:t>
      </w:r>
      <w:r>
        <w:rPr>
          <w:rFonts w:hint="eastAsia" w:ascii="方正小标宋简体" w:hAnsi="方正小标宋简体" w:eastAsia="方正小标宋简体" w:cs="方正小标宋简体"/>
          <w:color w:val="000000"/>
          <w:spacing w:val="-20"/>
          <w:sz w:val="44"/>
          <w:szCs w:val="44"/>
        </w:rPr>
        <w:t>办法</w:t>
      </w:r>
      <w:r>
        <w:rPr>
          <w:rFonts w:hint="eastAsia" w:ascii="方正小标宋简体" w:hAnsi="方正小标宋简体" w:eastAsia="方正小标宋简体" w:cs="方正小标宋简体"/>
          <w:color w:val="000000"/>
          <w:spacing w:val="-20"/>
          <w:sz w:val="44"/>
          <w:szCs w:val="44"/>
          <w:lang w:eastAsia="zh-CN"/>
        </w:rPr>
        <w:t>（试行）</w:t>
      </w:r>
    </w:p>
    <w:bookmarkEnd w:id="0"/>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color w:val="auto"/>
          <w:spacing w:val="-8"/>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color w:val="auto"/>
          <w:spacing w:val="-6"/>
          <w:sz w:val="32"/>
          <w:szCs w:val="32"/>
        </w:rPr>
      </w:pPr>
      <w:r>
        <w:rPr>
          <w:rFonts w:hint="eastAsia" w:ascii="黑体" w:hAnsi="黑体" w:eastAsia="黑体" w:cs="黑体"/>
          <w:color w:val="auto"/>
          <w:spacing w:val="-8"/>
          <w:sz w:val="32"/>
          <w:szCs w:val="32"/>
        </w:rPr>
        <w:t>第一章  总 则</w:t>
      </w:r>
    </w:p>
    <w:p>
      <w:pPr>
        <w:keepNext w:val="0"/>
        <w:keepLines w:val="0"/>
        <w:pageBreakBefore w:val="0"/>
        <w:widowControl w:val="0"/>
        <w:kinsoku/>
        <w:wordWrap/>
        <w:overflowPunct/>
        <w:topLinePunct w:val="0"/>
        <w:autoSpaceDE/>
        <w:autoSpaceDN/>
        <w:bidi w:val="0"/>
        <w:adjustRightInd/>
        <w:snapToGrid/>
        <w:spacing w:line="560" w:lineRule="exact"/>
        <w:ind w:left="0" w:leftChars="0" w:right="-147" w:rightChars="-70" w:firstLine="608" w:firstLineChars="200"/>
        <w:jc w:val="left"/>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auto"/>
          <w:spacing w:val="-8"/>
          <w:sz w:val="32"/>
          <w:szCs w:val="32"/>
          <w:lang w:eastAsia="zh-CN"/>
        </w:rPr>
        <w:t>第一条</w:t>
      </w:r>
      <w:r>
        <w:rPr>
          <w:rFonts w:hint="eastAsia" w:ascii="黑体" w:hAnsi="黑体" w:eastAsia="黑体" w:cs="黑体"/>
          <w:color w:val="auto"/>
          <w:spacing w:val="-8"/>
          <w:sz w:val="32"/>
          <w:szCs w:val="32"/>
          <w:lang w:val="en-US" w:eastAsia="zh-CN"/>
        </w:rPr>
        <w:t xml:space="preserve">  </w:t>
      </w:r>
      <w:r>
        <w:rPr>
          <w:rFonts w:hint="eastAsia" w:ascii="仿宋_GB2312" w:hAnsi="仿宋_GB2312" w:eastAsia="仿宋_GB2312" w:cs="仿宋_GB2312"/>
          <w:color w:val="auto"/>
          <w:spacing w:val="-6"/>
          <w:sz w:val="32"/>
          <w:szCs w:val="32"/>
          <w:lang w:val="en-US" w:eastAsia="zh-CN"/>
        </w:rPr>
        <w:t>为进一步加大招商引资力度，</w:t>
      </w:r>
      <w:r>
        <w:rPr>
          <w:rFonts w:hint="eastAsia" w:ascii="仿宋_GB2312" w:hAnsi="仿宋_GB2312" w:eastAsia="仿宋_GB2312" w:cs="仿宋_GB2312"/>
          <w:color w:val="000000"/>
          <w:kern w:val="0"/>
          <w:sz w:val="32"/>
          <w:szCs w:val="32"/>
          <w:lang w:val="en-US" w:eastAsia="zh-CN" w:bidi="ar"/>
        </w:rPr>
        <w:t>压实招商工作主体责任，</w:t>
      </w:r>
      <w:r>
        <w:rPr>
          <w:rFonts w:hint="eastAsia" w:ascii="仿宋_GB2312" w:hAnsi="仿宋_GB2312" w:eastAsia="仿宋_GB2312" w:cs="仿宋_GB2312"/>
          <w:color w:val="auto"/>
          <w:spacing w:val="-6"/>
          <w:sz w:val="32"/>
          <w:szCs w:val="32"/>
          <w:lang w:val="en-US" w:eastAsia="zh-CN"/>
        </w:rPr>
        <w:t>提升招商引资质效，全面落实县委“六争两招两引”</w:t>
      </w:r>
      <w:r>
        <w:rPr>
          <w:rFonts w:hint="eastAsia" w:ascii="仿宋_GB2312" w:hAnsi="仿宋_GB2312" w:eastAsia="仿宋_GB2312" w:cs="仿宋_GB2312"/>
          <w:color w:val="auto"/>
          <w:spacing w:val="-6"/>
          <w:sz w:val="32"/>
          <w:szCs w:val="32"/>
        </w:rPr>
        <w:t>工作，推动</w:t>
      </w:r>
      <w:r>
        <w:rPr>
          <w:rFonts w:hint="eastAsia" w:ascii="仿宋_GB2312" w:hAnsi="仿宋_GB2312" w:eastAsia="仿宋_GB2312" w:cs="仿宋_GB2312"/>
          <w:color w:val="auto"/>
          <w:spacing w:val="-6"/>
          <w:sz w:val="32"/>
          <w:szCs w:val="32"/>
          <w:lang w:eastAsia="zh-CN"/>
        </w:rPr>
        <w:t>全县</w:t>
      </w:r>
      <w:r>
        <w:rPr>
          <w:rFonts w:hint="eastAsia" w:ascii="仿宋_GB2312" w:hAnsi="仿宋_GB2312" w:eastAsia="仿宋_GB2312" w:cs="仿宋_GB2312"/>
          <w:color w:val="auto"/>
          <w:spacing w:val="-6"/>
          <w:sz w:val="32"/>
          <w:szCs w:val="32"/>
        </w:rPr>
        <w:t>经济</w:t>
      </w:r>
      <w:r>
        <w:rPr>
          <w:rFonts w:hint="eastAsia" w:ascii="仿宋_GB2312" w:hAnsi="仿宋_GB2312" w:eastAsia="仿宋_GB2312" w:cs="仿宋_GB2312"/>
          <w:color w:val="auto"/>
          <w:spacing w:val="-6"/>
          <w:sz w:val="32"/>
          <w:szCs w:val="32"/>
          <w:lang w:eastAsia="zh-CN"/>
        </w:rPr>
        <w:t>转型</w:t>
      </w:r>
      <w:r>
        <w:rPr>
          <w:rFonts w:hint="eastAsia" w:ascii="仿宋_GB2312" w:hAnsi="仿宋_GB2312" w:eastAsia="仿宋_GB2312" w:cs="仿宋_GB2312"/>
          <w:color w:val="auto"/>
          <w:spacing w:val="-6"/>
          <w:sz w:val="32"/>
          <w:szCs w:val="32"/>
        </w:rPr>
        <w:t>高质量发展，</w:t>
      </w:r>
      <w:r>
        <w:rPr>
          <w:rFonts w:hint="eastAsia" w:ascii="仿宋_GB2312" w:hAnsi="仿宋_GB2312" w:eastAsia="仿宋_GB2312" w:cs="仿宋_GB2312"/>
          <w:color w:val="000000"/>
          <w:kern w:val="0"/>
          <w:sz w:val="32"/>
          <w:szCs w:val="32"/>
          <w:lang w:val="en-US" w:eastAsia="zh-CN" w:bidi="ar"/>
        </w:rPr>
        <w:t>特制定本考评办法。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textAlignment w:val="auto"/>
        <w:outlineLvl w:val="9"/>
        <w:rPr>
          <w:rFonts w:hint="eastAsia" w:ascii="仿宋_GB2312" w:hAnsi="仿宋_GB2312" w:eastAsia="仿宋_GB2312" w:cs="仿宋_GB2312"/>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第二条</w:t>
      </w:r>
      <w:r>
        <w:rPr>
          <w:rFonts w:hint="eastAsia" w:ascii="仿宋_GB2312" w:hAnsi="仿宋" w:eastAsia="仿宋_GB2312" w:cs="仿宋_GB2312"/>
          <w:color w:val="000000"/>
          <w:kern w:val="0"/>
          <w:sz w:val="32"/>
          <w:szCs w:val="32"/>
          <w:lang w:val="en-US" w:eastAsia="zh-CN" w:bidi="ar"/>
        </w:rPr>
        <w:t xml:space="preserve">  </w:t>
      </w:r>
      <w:r>
        <w:rPr>
          <w:rFonts w:hint="eastAsia" w:ascii="仿宋_GB2312" w:hAnsi="仿宋_GB2312" w:eastAsia="仿宋_GB2312" w:cs="仿宋_GB2312"/>
          <w:color w:val="000000"/>
          <w:kern w:val="0"/>
          <w:sz w:val="32"/>
          <w:szCs w:val="32"/>
          <w:lang w:val="en-US" w:eastAsia="zh-CN" w:bidi="ar"/>
        </w:rPr>
        <w:t>本办法适用于宁夏平罗工业园区管委会及承担年度招商目标任务的乡镇、部门，以当年下达的招商目标任务为准。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textAlignment w:val="auto"/>
        <w:outlineLvl w:val="9"/>
        <w:rPr>
          <w:rFonts w:hint="eastAsia" w:ascii="仿宋_GB2312" w:hAnsi="仿宋_GB2312" w:eastAsia="仿宋_GB2312" w:cs="仿宋_GB2312"/>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第三条</w:t>
      </w:r>
      <w:r>
        <w:rPr>
          <w:rFonts w:hint="eastAsia" w:ascii="仿宋_GB2312" w:hAnsi="仿宋" w:eastAsia="仿宋_GB2312" w:cs="仿宋_GB2312"/>
          <w:color w:val="000000"/>
          <w:kern w:val="0"/>
          <w:sz w:val="32"/>
          <w:szCs w:val="32"/>
          <w:lang w:val="en-US" w:eastAsia="zh-CN" w:bidi="ar"/>
        </w:rPr>
        <w:t xml:space="preserve">  </w:t>
      </w:r>
      <w:r>
        <w:rPr>
          <w:rFonts w:hint="eastAsia" w:ascii="仿宋_GB2312" w:hAnsi="仿宋_GB2312" w:eastAsia="仿宋_GB2312" w:cs="仿宋_GB2312"/>
          <w:color w:val="000000"/>
          <w:kern w:val="0"/>
          <w:sz w:val="32"/>
          <w:szCs w:val="32"/>
          <w:lang w:val="en-US" w:eastAsia="zh-CN" w:bidi="ar"/>
        </w:rPr>
        <w:t>成立县招商引资项目推进考评工作领导小组（简称考评组），负责全县招商考评工作。考评组组长由县政府分管领导担任，成员单位由县委督查室、政府督查室、发改局、统计局、工信局、农业农村局、商</w:t>
      </w:r>
      <w:r>
        <w:rPr>
          <w:rFonts w:hint="eastAsia" w:ascii="仿宋_GB2312" w:hAnsi="仿宋_GB2312" w:eastAsia="仿宋_GB2312" w:cs="仿宋_GB2312"/>
          <w:color w:val="000000"/>
          <w:sz w:val="32"/>
          <w:szCs w:val="32"/>
          <w:lang w:val="en-US" w:eastAsia="zh-CN"/>
        </w:rPr>
        <w:t>务局</w:t>
      </w:r>
      <w:r>
        <w:rPr>
          <w:rFonts w:hint="eastAsia" w:ascii="仿宋_GB2312" w:hAnsi="仿宋_GB2312" w:eastAsia="仿宋_GB2312" w:cs="仿宋_GB2312"/>
          <w:color w:val="000000"/>
          <w:kern w:val="0"/>
          <w:sz w:val="32"/>
          <w:szCs w:val="32"/>
          <w:lang w:val="en-US" w:eastAsia="zh-CN" w:bidi="ar"/>
        </w:rPr>
        <w:t>等部门组成。考评组下设办公室，办公室设在县商务局，负责牵头对当年各目标任务责任单位招商工作进行考核评价。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textAlignment w:val="auto"/>
        <w:outlineLvl w:val="9"/>
        <w:rPr>
          <w:rFonts w:hint="eastAsia" w:ascii="仿宋_GB2312" w:hAnsi="仿宋_GB2312" w:eastAsia="仿宋_GB2312" w:cs="仿宋_GB2312"/>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第四条</w:t>
      </w:r>
      <w:r>
        <w:rPr>
          <w:rFonts w:hint="eastAsia" w:ascii="仿宋_GB2312" w:hAnsi="仿宋" w:eastAsia="仿宋_GB2312" w:cs="仿宋_GB2312"/>
          <w:color w:val="000000"/>
          <w:kern w:val="0"/>
          <w:sz w:val="32"/>
          <w:szCs w:val="32"/>
          <w:lang w:val="en-US" w:eastAsia="zh-CN" w:bidi="ar"/>
        </w:rPr>
        <w:t xml:space="preserve">  </w:t>
      </w:r>
      <w:r>
        <w:rPr>
          <w:rFonts w:hint="eastAsia" w:ascii="仿宋_GB2312" w:hAnsi="仿宋_GB2312" w:eastAsia="仿宋_GB2312" w:cs="仿宋_GB2312"/>
          <w:color w:val="000000"/>
          <w:kern w:val="0"/>
          <w:sz w:val="32"/>
          <w:szCs w:val="32"/>
          <w:lang w:val="en-US" w:eastAsia="zh-CN" w:bidi="ar"/>
        </w:rPr>
        <w:t>考评结果纳入全县效能目标管理考核，分值按比例计入。</w:t>
      </w:r>
    </w:p>
    <w:p>
      <w:pPr>
        <w:keepNext w:val="0"/>
        <w:keepLines w:val="0"/>
        <w:pageBreakBefore w:val="0"/>
        <w:widowControl w:val="0"/>
        <w:numPr>
          <w:ilvl w:val="0"/>
          <w:numId w:val="0"/>
        </w:numPr>
        <w:kinsoku/>
        <w:wordWrap/>
        <w:overflowPunct/>
        <w:topLinePunct w:val="0"/>
        <w:autoSpaceDE/>
        <w:bidi w:val="0"/>
        <w:snapToGrid w:val="0"/>
        <w:spacing w:line="560" w:lineRule="exact"/>
        <w:ind w:leftChars="0" w:right="0" w:rightChars="0"/>
        <w:jc w:val="center"/>
        <w:textAlignment w:val="auto"/>
        <w:outlineLvl w:val="9"/>
        <w:rPr>
          <w:rFonts w:hint="eastAsia"/>
        </w:rPr>
      </w:pPr>
      <w:r>
        <w:rPr>
          <w:rFonts w:hint="eastAsia" w:ascii="黑体" w:hAnsi="黑体" w:eastAsia="黑体" w:cs="黑体"/>
          <w:color w:val="auto"/>
          <w:spacing w:val="-8"/>
          <w:sz w:val="32"/>
          <w:szCs w:val="32"/>
          <w:lang w:eastAsia="zh-CN"/>
        </w:rPr>
        <w:t>第二章</w:t>
      </w:r>
      <w:r>
        <w:rPr>
          <w:rFonts w:hint="eastAsia" w:ascii="黑体" w:hAnsi="黑体" w:eastAsia="黑体" w:cs="黑体"/>
          <w:color w:val="auto"/>
          <w:spacing w:val="-8"/>
          <w:sz w:val="32"/>
          <w:szCs w:val="32"/>
          <w:lang w:val="en-US" w:eastAsia="zh-CN"/>
        </w:rPr>
        <w:t xml:space="preserve">  </w:t>
      </w:r>
      <w:r>
        <w:rPr>
          <w:rFonts w:hint="eastAsia" w:ascii="黑体" w:hAnsi="黑体" w:eastAsia="黑体" w:cs="黑体"/>
          <w:color w:val="auto"/>
          <w:spacing w:val="-8"/>
          <w:sz w:val="32"/>
          <w:szCs w:val="32"/>
        </w:rPr>
        <w:t>考核内容及评分标准</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default" w:ascii="仿宋_GB2312" w:hAnsi="仿宋_GB2312" w:eastAsia="仿宋_GB2312" w:cs="仿宋_GB2312"/>
          <w:color w:val="000000"/>
          <w:kern w:val="0"/>
          <w:sz w:val="32"/>
          <w:szCs w:val="32"/>
          <w:lang w:val="en-US" w:eastAsia="zh-CN" w:bidi="ar"/>
        </w:rPr>
      </w:pPr>
      <w:r>
        <w:rPr>
          <w:rFonts w:hint="default" w:ascii="黑体" w:hAnsi="黑体" w:eastAsia="黑体" w:cs="黑体"/>
          <w:color w:val="000000"/>
          <w:kern w:val="0"/>
          <w:sz w:val="32"/>
          <w:szCs w:val="32"/>
          <w:lang w:val="en-US" w:eastAsia="zh-CN" w:bidi="ar"/>
        </w:rPr>
        <w:t>第五条</w:t>
      </w:r>
      <w:r>
        <w:rPr>
          <w:rFonts w:hint="default" w:ascii="Times New Roman" w:hAnsi="Times New Roman" w:eastAsia="方正仿宋_GBK" w:cs="Times New Roman"/>
          <w:color w:val="auto"/>
          <w:spacing w:val="0"/>
          <w:sz w:val="32"/>
          <w:szCs w:val="32"/>
        </w:rPr>
        <w:t xml:space="preserve">  </w:t>
      </w:r>
      <w:r>
        <w:rPr>
          <w:rFonts w:hint="default" w:ascii="仿宋_GB2312" w:hAnsi="仿宋_GB2312" w:eastAsia="仿宋_GB2312" w:cs="仿宋_GB2312"/>
          <w:color w:val="000000"/>
          <w:kern w:val="0"/>
          <w:sz w:val="32"/>
          <w:szCs w:val="32"/>
          <w:lang w:val="en-US" w:eastAsia="zh-CN" w:bidi="ar"/>
        </w:rPr>
        <w:t>招商绩效考核实行百分制，</w:t>
      </w:r>
      <w:r>
        <w:rPr>
          <w:rFonts w:hint="eastAsia" w:ascii="仿宋_GB2312" w:hAnsi="仿宋_GB2312" w:eastAsia="仿宋_GB2312" w:cs="仿宋_GB2312"/>
          <w:color w:val="000000"/>
          <w:sz w:val="32"/>
          <w:szCs w:val="32"/>
          <w:lang w:eastAsia="zh-CN"/>
        </w:rPr>
        <w:t>采取基础分值与加分值、扣分值相结合的办法进行计分，</w:t>
      </w:r>
      <w:r>
        <w:rPr>
          <w:rFonts w:hint="default" w:ascii="仿宋_GB2312" w:hAnsi="仿宋_GB2312" w:eastAsia="仿宋_GB2312" w:cs="仿宋_GB2312"/>
          <w:color w:val="000000"/>
          <w:kern w:val="0"/>
          <w:sz w:val="32"/>
          <w:szCs w:val="32"/>
          <w:lang w:val="en-US" w:eastAsia="zh-CN" w:bidi="ar"/>
        </w:rPr>
        <w:t>按照“外出+对接+</w:t>
      </w:r>
      <w:r>
        <w:rPr>
          <w:rFonts w:hint="eastAsia" w:ascii="仿宋_GB2312" w:hAnsi="仿宋_GB2312" w:eastAsia="仿宋_GB2312" w:cs="仿宋_GB2312"/>
          <w:color w:val="000000"/>
          <w:kern w:val="0"/>
          <w:sz w:val="32"/>
          <w:szCs w:val="32"/>
          <w:lang w:val="en-US" w:eastAsia="zh-CN" w:bidi="ar"/>
        </w:rPr>
        <w:t>落户建设</w:t>
      </w:r>
      <w:r>
        <w:rPr>
          <w:rFonts w:hint="default" w:ascii="仿宋_GB2312" w:hAnsi="仿宋_GB2312" w:eastAsia="仿宋_GB2312" w:cs="仿宋_GB2312"/>
          <w:color w:val="000000"/>
          <w:kern w:val="0"/>
          <w:sz w:val="32"/>
          <w:szCs w:val="32"/>
          <w:lang w:val="en-US" w:eastAsia="zh-CN" w:bidi="ar"/>
        </w:rPr>
        <w:t>”进行全过程考</w:t>
      </w:r>
      <w:r>
        <w:rPr>
          <w:rFonts w:hint="eastAsia" w:ascii="仿宋_GB2312" w:hAnsi="仿宋_GB2312" w:eastAsia="仿宋_GB2312" w:cs="仿宋_GB2312"/>
          <w:color w:val="000000"/>
          <w:kern w:val="0"/>
          <w:sz w:val="32"/>
          <w:szCs w:val="32"/>
          <w:lang w:val="en-US" w:eastAsia="zh-CN" w:bidi="ar"/>
        </w:rPr>
        <w:t>评</w:t>
      </w:r>
      <w:r>
        <w:rPr>
          <w:rFonts w:hint="default" w:ascii="仿宋_GB2312" w:hAnsi="仿宋_GB2312" w:eastAsia="仿宋_GB2312" w:cs="仿宋_GB2312"/>
          <w:color w:val="000000"/>
          <w:kern w:val="0"/>
          <w:sz w:val="32"/>
          <w:szCs w:val="32"/>
          <w:lang w:val="en-US" w:eastAsia="zh-CN" w:bidi="ar"/>
        </w:rPr>
        <w:t>。</w:t>
      </w:r>
    </w:p>
    <w:p>
      <w:pPr>
        <w:keepNext w:val="0"/>
        <w:keepLines w:val="0"/>
        <w:pageBreakBefore w:val="0"/>
        <w:widowControl w:val="0"/>
        <w:kinsoku/>
        <w:wordWrap/>
        <w:overflowPunct/>
        <w:topLinePunct w:val="0"/>
        <w:autoSpaceDE/>
        <w:autoSpaceDN/>
        <w:bidi w:val="0"/>
        <w:adjustRightInd/>
        <w:snapToGrid w:val="0"/>
        <w:spacing w:line="560" w:lineRule="exact"/>
        <w:ind w:right="0" w:rightChars="0"/>
        <w:jc w:val="both"/>
        <w:textAlignment w:val="auto"/>
        <w:outlineLvl w:val="9"/>
        <w:rPr>
          <w:rFonts w:hint="default"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 xml:space="preserve">    </w:t>
      </w:r>
      <w:r>
        <w:rPr>
          <w:rFonts w:hint="default" w:ascii="黑体" w:hAnsi="黑体" w:eastAsia="黑体" w:cs="黑体"/>
          <w:color w:val="000000"/>
          <w:kern w:val="0"/>
          <w:sz w:val="32"/>
          <w:szCs w:val="32"/>
          <w:lang w:val="en-US" w:eastAsia="zh-CN" w:bidi="ar"/>
        </w:rPr>
        <w:t>（</w:t>
      </w:r>
      <w:r>
        <w:rPr>
          <w:rFonts w:hint="eastAsia" w:ascii="黑体" w:hAnsi="黑体" w:eastAsia="黑体" w:cs="黑体"/>
          <w:color w:val="000000"/>
          <w:kern w:val="0"/>
          <w:sz w:val="32"/>
          <w:szCs w:val="32"/>
          <w:lang w:val="en-US" w:eastAsia="zh-CN" w:bidi="ar"/>
        </w:rPr>
        <w:t>一</w:t>
      </w:r>
      <w:r>
        <w:rPr>
          <w:rFonts w:hint="default" w:ascii="黑体" w:hAnsi="黑体" w:eastAsia="黑体" w:cs="黑体"/>
          <w:color w:val="000000"/>
          <w:kern w:val="0"/>
          <w:sz w:val="32"/>
          <w:szCs w:val="32"/>
          <w:lang w:val="en-US" w:eastAsia="zh-CN" w:bidi="ar"/>
        </w:rPr>
        <w:t>）</w:t>
      </w:r>
      <w:r>
        <w:rPr>
          <w:rFonts w:hint="eastAsia" w:ascii="黑体" w:hAnsi="黑体" w:eastAsia="黑体" w:cs="黑体"/>
          <w:color w:val="000000"/>
          <w:kern w:val="0"/>
          <w:sz w:val="32"/>
          <w:szCs w:val="32"/>
          <w:lang w:val="en-US" w:eastAsia="zh-CN" w:bidi="ar"/>
        </w:rPr>
        <w:t>招商活动开展及项目谋划</w:t>
      </w:r>
      <w:r>
        <w:rPr>
          <w:rFonts w:hint="default" w:ascii="黑体" w:hAnsi="黑体" w:eastAsia="黑体" w:cs="黑体"/>
          <w:color w:val="000000"/>
          <w:kern w:val="0"/>
          <w:sz w:val="32"/>
          <w:szCs w:val="32"/>
          <w:lang w:val="en-US" w:eastAsia="zh-CN" w:bidi="ar"/>
        </w:rPr>
        <w:t>指标（</w:t>
      </w:r>
      <w:r>
        <w:rPr>
          <w:rFonts w:hint="eastAsia" w:ascii="黑体" w:hAnsi="黑体" w:eastAsia="黑体" w:cs="黑体"/>
          <w:color w:val="000000"/>
          <w:kern w:val="0"/>
          <w:sz w:val="32"/>
          <w:szCs w:val="32"/>
          <w:lang w:val="en-US" w:eastAsia="zh-CN" w:bidi="ar"/>
        </w:rPr>
        <w:t>14分</w:t>
      </w:r>
      <w:r>
        <w:rPr>
          <w:rFonts w:hint="default" w:ascii="黑体" w:hAnsi="黑体" w:eastAsia="黑体" w:cs="黑体"/>
          <w:color w:val="000000"/>
          <w:kern w:val="0"/>
          <w:sz w:val="32"/>
          <w:szCs w:val="32"/>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right="0" w:rightChars="0"/>
        <w:jc w:val="both"/>
        <w:textAlignment w:val="auto"/>
        <w:outlineLvl w:val="9"/>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 xml:space="preserve">    </w:t>
      </w:r>
      <w:r>
        <w:rPr>
          <w:rFonts w:hint="eastAsia" w:ascii="楷体_GB2312" w:hAnsi="楷体_GB2312" w:eastAsia="楷体_GB2312" w:cs="楷体_GB2312"/>
          <w:b/>
          <w:bCs/>
          <w:color w:val="000000"/>
          <w:kern w:val="0"/>
          <w:sz w:val="32"/>
          <w:szCs w:val="32"/>
          <w:lang w:val="en-US" w:eastAsia="zh-CN" w:bidi="ar"/>
        </w:rPr>
        <w:t>1.招商项目谋划（5分）。</w:t>
      </w:r>
      <w:r>
        <w:rPr>
          <w:rFonts w:hint="eastAsia" w:ascii="仿宋_GB2312" w:hAnsi="仿宋_GB2312" w:eastAsia="仿宋_GB2312" w:cs="仿宋_GB2312"/>
          <w:color w:val="000000"/>
          <w:kern w:val="0"/>
          <w:sz w:val="32"/>
          <w:szCs w:val="32"/>
          <w:lang w:val="en-US" w:eastAsia="zh-CN" w:bidi="ar"/>
        </w:rPr>
        <w:t>平罗工业园区全年谋划招商项目5个，各</w:t>
      </w:r>
      <w:r>
        <w:rPr>
          <w:rFonts w:hint="default" w:ascii="仿宋_GB2312" w:hAnsi="仿宋_GB2312" w:eastAsia="仿宋_GB2312" w:cs="仿宋_GB2312"/>
          <w:color w:val="000000"/>
          <w:kern w:val="0"/>
          <w:sz w:val="32"/>
          <w:szCs w:val="32"/>
          <w:lang w:val="en-US" w:eastAsia="zh-CN" w:bidi="ar"/>
        </w:rPr>
        <w:t>经济部门全年谋划推介项目</w:t>
      </w:r>
      <w:r>
        <w:rPr>
          <w:rFonts w:hint="eastAsia" w:ascii="仿宋_GB2312" w:hAnsi="仿宋_GB2312" w:eastAsia="仿宋_GB2312" w:cs="仿宋_GB2312"/>
          <w:color w:val="000000"/>
          <w:kern w:val="0"/>
          <w:sz w:val="32"/>
          <w:szCs w:val="32"/>
          <w:lang w:val="en-US" w:eastAsia="zh-CN" w:bidi="ar"/>
        </w:rPr>
        <w:t>2</w:t>
      </w:r>
      <w:r>
        <w:rPr>
          <w:rFonts w:hint="default" w:ascii="仿宋_GB2312" w:hAnsi="仿宋_GB2312" w:eastAsia="仿宋_GB2312" w:cs="仿宋_GB2312"/>
          <w:color w:val="000000"/>
          <w:kern w:val="0"/>
          <w:sz w:val="32"/>
          <w:szCs w:val="32"/>
          <w:lang w:val="en-US" w:eastAsia="zh-CN" w:bidi="ar"/>
        </w:rPr>
        <w:t>个；其他部门</w:t>
      </w:r>
      <w:r>
        <w:rPr>
          <w:rFonts w:hint="eastAsia" w:ascii="仿宋_GB2312" w:hAnsi="仿宋_GB2312" w:eastAsia="仿宋_GB2312" w:cs="仿宋_GB2312"/>
          <w:color w:val="000000"/>
          <w:kern w:val="0"/>
          <w:sz w:val="32"/>
          <w:szCs w:val="32"/>
          <w:lang w:val="en-US" w:eastAsia="zh-CN" w:bidi="ar"/>
        </w:rPr>
        <w:t>、乡镇</w:t>
      </w:r>
      <w:r>
        <w:rPr>
          <w:rFonts w:hint="default" w:ascii="仿宋_GB2312" w:hAnsi="仿宋_GB2312" w:eastAsia="仿宋_GB2312" w:cs="仿宋_GB2312"/>
          <w:color w:val="000000"/>
          <w:kern w:val="0"/>
          <w:sz w:val="32"/>
          <w:szCs w:val="32"/>
          <w:lang w:val="en-US" w:eastAsia="zh-CN" w:bidi="ar"/>
        </w:rPr>
        <w:t>全年谋划推介项目</w:t>
      </w:r>
      <w:r>
        <w:rPr>
          <w:rFonts w:hint="eastAsia" w:ascii="仿宋_GB2312" w:hAnsi="仿宋_GB2312" w:eastAsia="仿宋_GB2312" w:cs="仿宋_GB2312"/>
          <w:color w:val="000000"/>
          <w:kern w:val="0"/>
          <w:sz w:val="32"/>
          <w:szCs w:val="32"/>
          <w:lang w:val="en-US" w:eastAsia="zh-CN" w:bidi="ar"/>
        </w:rPr>
        <w:t>1</w:t>
      </w:r>
      <w:r>
        <w:rPr>
          <w:rFonts w:hint="default" w:ascii="仿宋_GB2312" w:hAnsi="仿宋_GB2312" w:eastAsia="仿宋_GB2312" w:cs="仿宋_GB2312"/>
          <w:color w:val="000000"/>
          <w:kern w:val="0"/>
          <w:sz w:val="32"/>
          <w:szCs w:val="32"/>
          <w:lang w:val="en-US" w:eastAsia="zh-CN" w:bidi="ar"/>
        </w:rPr>
        <w:t>个。</w:t>
      </w:r>
      <w:r>
        <w:rPr>
          <w:rFonts w:hint="eastAsia" w:ascii="仿宋_GB2312" w:hAnsi="仿宋_GB2312" w:eastAsia="仿宋_GB2312" w:cs="仿宋_GB2312"/>
          <w:color w:val="000000"/>
          <w:kern w:val="0"/>
          <w:sz w:val="32"/>
          <w:szCs w:val="32"/>
          <w:lang w:val="en-US" w:eastAsia="zh-CN" w:bidi="ar"/>
        </w:rPr>
        <w:t>完成计4分，未完成的按比例计分。超额完成的，每多谋划1个加计0.5分，加分不超过1分。</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right="0" w:rightChars="0"/>
        <w:jc w:val="both"/>
        <w:textAlignment w:val="auto"/>
        <w:outlineLvl w:val="9"/>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 xml:space="preserve">   </w:t>
      </w:r>
      <w:r>
        <w:rPr>
          <w:rFonts w:hint="eastAsia" w:ascii="楷体_GB2312" w:hAnsi="楷体_GB2312" w:eastAsia="楷体_GB2312" w:cs="楷体_GB2312"/>
          <w:b/>
          <w:bCs/>
          <w:color w:val="000000"/>
          <w:kern w:val="0"/>
          <w:sz w:val="32"/>
          <w:szCs w:val="32"/>
          <w:lang w:val="en-US" w:eastAsia="zh-CN" w:bidi="ar"/>
        </w:rPr>
        <w:t xml:space="preserve"> 2</w:t>
      </w:r>
      <w:r>
        <w:rPr>
          <w:rFonts w:hint="default" w:ascii="楷体_GB2312" w:hAnsi="楷体_GB2312" w:eastAsia="楷体_GB2312" w:cs="楷体_GB2312"/>
          <w:b/>
          <w:bCs/>
          <w:color w:val="000000"/>
          <w:kern w:val="0"/>
          <w:sz w:val="32"/>
          <w:szCs w:val="32"/>
          <w:lang w:val="en-US" w:eastAsia="zh-CN" w:bidi="ar"/>
        </w:rPr>
        <w:t>.</w:t>
      </w:r>
      <w:r>
        <w:rPr>
          <w:rFonts w:hint="eastAsia" w:ascii="楷体_GB2312" w:hAnsi="楷体_GB2312" w:eastAsia="楷体_GB2312" w:cs="楷体_GB2312"/>
          <w:b/>
          <w:bCs/>
          <w:color w:val="000000"/>
          <w:kern w:val="0"/>
          <w:sz w:val="32"/>
          <w:szCs w:val="32"/>
          <w:lang w:val="en-US" w:eastAsia="zh-CN" w:bidi="ar"/>
        </w:rPr>
        <w:t>开展或参加各类招商活动（5分）。</w:t>
      </w:r>
      <w:r>
        <w:rPr>
          <w:rFonts w:hint="eastAsia" w:ascii="仿宋_GB2312" w:hAnsi="仿宋_GB2312" w:eastAsia="仿宋_GB2312" w:cs="仿宋_GB2312"/>
          <w:color w:val="000000"/>
          <w:kern w:val="0"/>
          <w:sz w:val="32"/>
          <w:szCs w:val="32"/>
          <w:lang w:val="en-US" w:eastAsia="zh-CN" w:bidi="ar"/>
        </w:rPr>
        <w:t>平罗工业园区全年开展或参加各类招商活动4次，各</w:t>
      </w:r>
      <w:r>
        <w:rPr>
          <w:rFonts w:hint="default" w:ascii="仿宋_GB2312" w:hAnsi="仿宋_GB2312" w:eastAsia="仿宋_GB2312" w:cs="仿宋_GB2312"/>
          <w:color w:val="000000"/>
          <w:kern w:val="0"/>
          <w:sz w:val="32"/>
          <w:szCs w:val="32"/>
          <w:lang w:val="en-US" w:eastAsia="zh-CN" w:bidi="ar"/>
        </w:rPr>
        <w:t>经济部门全年</w:t>
      </w:r>
      <w:r>
        <w:rPr>
          <w:rFonts w:hint="eastAsia" w:ascii="仿宋_GB2312" w:hAnsi="仿宋_GB2312" w:eastAsia="仿宋_GB2312" w:cs="仿宋_GB2312"/>
          <w:color w:val="000000"/>
          <w:kern w:val="0"/>
          <w:sz w:val="32"/>
          <w:szCs w:val="32"/>
          <w:lang w:val="en-US" w:eastAsia="zh-CN" w:bidi="ar"/>
        </w:rPr>
        <w:t>开展或参加各类招商活动2次</w:t>
      </w:r>
      <w:r>
        <w:rPr>
          <w:rFonts w:hint="default" w:ascii="仿宋_GB2312" w:hAnsi="仿宋_GB2312" w:eastAsia="仿宋_GB2312" w:cs="仿宋_GB2312"/>
          <w:color w:val="000000"/>
          <w:kern w:val="0"/>
          <w:sz w:val="32"/>
          <w:szCs w:val="32"/>
          <w:lang w:val="en-US" w:eastAsia="zh-CN" w:bidi="ar"/>
        </w:rPr>
        <w:t>；其他部门</w:t>
      </w:r>
      <w:r>
        <w:rPr>
          <w:rFonts w:hint="eastAsia" w:ascii="仿宋_GB2312" w:hAnsi="仿宋_GB2312" w:eastAsia="仿宋_GB2312" w:cs="仿宋_GB2312"/>
          <w:color w:val="000000"/>
          <w:kern w:val="0"/>
          <w:sz w:val="32"/>
          <w:szCs w:val="32"/>
          <w:lang w:val="en-US" w:eastAsia="zh-CN" w:bidi="ar"/>
        </w:rPr>
        <w:t>、乡镇</w:t>
      </w:r>
      <w:r>
        <w:rPr>
          <w:rFonts w:hint="default" w:ascii="仿宋_GB2312" w:hAnsi="仿宋_GB2312" w:eastAsia="仿宋_GB2312" w:cs="仿宋_GB2312"/>
          <w:color w:val="000000"/>
          <w:kern w:val="0"/>
          <w:sz w:val="32"/>
          <w:szCs w:val="32"/>
          <w:lang w:val="en-US" w:eastAsia="zh-CN" w:bidi="ar"/>
        </w:rPr>
        <w:t>全年</w:t>
      </w:r>
      <w:r>
        <w:rPr>
          <w:rFonts w:hint="eastAsia" w:ascii="仿宋_GB2312" w:hAnsi="仿宋_GB2312" w:eastAsia="仿宋_GB2312" w:cs="仿宋_GB2312"/>
          <w:color w:val="000000"/>
          <w:kern w:val="0"/>
          <w:sz w:val="32"/>
          <w:szCs w:val="32"/>
          <w:lang w:val="en-US" w:eastAsia="zh-CN" w:bidi="ar"/>
        </w:rPr>
        <w:t>开展或参加各类招商活动1次</w:t>
      </w:r>
      <w:r>
        <w:rPr>
          <w:rFonts w:hint="default"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完成计4分，未完成的按比例计分。超额完成的，每多参加1次加计0.5分，加分不超过1分。</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3" w:firstLineChars="200"/>
        <w:jc w:val="both"/>
        <w:textAlignment w:val="auto"/>
        <w:outlineLvl w:val="9"/>
        <w:rPr>
          <w:rFonts w:hint="default" w:ascii="仿宋_GB2312" w:hAnsi="仿宋_GB2312" w:eastAsia="仿宋_GB2312" w:cs="仿宋_GB2312"/>
          <w:color w:val="000000"/>
          <w:kern w:val="0"/>
          <w:sz w:val="32"/>
          <w:szCs w:val="32"/>
          <w:lang w:val="en-US" w:eastAsia="zh-CN" w:bidi="ar"/>
        </w:rPr>
      </w:pPr>
      <w:r>
        <w:rPr>
          <w:rFonts w:hint="eastAsia" w:ascii="楷体_GB2312" w:hAnsi="楷体_GB2312" w:eastAsia="楷体_GB2312" w:cs="楷体_GB2312"/>
          <w:b/>
          <w:bCs/>
          <w:color w:val="000000"/>
          <w:kern w:val="0"/>
          <w:sz w:val="32"/>
          <w:szCs w:val="32"/>
          <w:lang w:val="en-US" w:eastAsia="zh-CN" w:bidi="ar"/>
        </w:rPr>
        <w:t>3</w:t>
      </w:r>
      <w:r>
        <w:rPr>
          <w:rFonts w:hint="default" w:ascii="楷体_GB2312" w:hAnsi="楷体_GB2312" w:eastAsia="楷体_GB2312" w:cs="楷体_GB2312"/>
          <w:b/>
          <w:bCs/>
          <w:color w:val="000000"/>
          <w:kern w:val="0"/>
          <w:sz w:val="32"/>
          <w:szCs w:val="32"/>
          <w:lang w:val="en-US" w:eastAsia="zh-CN" w:bidi="ar"/>
        </w:rPr>
        <w:t>.</w:t>
      </w:r>
      <w:r>
        <w:rPr>
          <w:rFonts w:hint="eastAsia" w:ascii="楷体_GB2312" w:hAnsi="楷体_GB2312" w:eastAsia="楷体_GB2312" w:cs="楷体_GB2312"/>
          <w:b/>
          <w:bCs/>
          <w:color w:val="000000"/>
          <w:kern w:val="0"/>
          <w:sz w:val="32"/>
          <w:szCs w:val="32"/>
          <w:lang w:val="en-US" w:eastAsia="zh-CN" w:bidi="ar"/>
        </w:rPr>
        <w:t>招商统计报表报送情况（4分）。</w:t>
      </w:r>
      <w:r>
        <w:rPr>
          <w:rFonts w:hint="eastAsia" w:ascii="仿宋_GB2312" w:hAnsi="仿宋_GB2312" w:eastAsia="仿宋_GB2312" w:cs="仿宋_GB2312"/>
          <w:color w:val="000000"/>
          <w:kern w:val="0"/>
          <w:sz w:val="32"/>
          <w:szCs w:val="32"/>
          <w:lang w:val="en-US" w:eastAsia="zh-CN" w:bidi="ar"/>
        </w:rPr>
        <w:t>各责任单位招商统计报表从3月份开始报送，每缺报一次扣0.5分，扣完为止。</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default" w:ascii="黑体" w:hAnsi="黑体" w:eastAsia="黑体" w:cs="黑体"/>
          <w:color w:val="000000"/>
          <w:kern w:val="0"/>
          <w:sz w:val="32"/>
          <w:szCs w:val="32"/>
          <w:lang w:val="en-US" w:eastAsia="zh-CN" w:bidi="ar"/>
        </w:rPr>
      </w:pPr>
      <w:r>
        <w:rPr>
          <w:rFonts w:hint="default" w:ascii="黑体" w:hAnsi="黑体" w:eastAsia="黑体" w:cs="黑体"/>
          <w:color w:val="000000"/>
          <w:kern w:val="0"/>
          <w:sz w:val="32"/>
          <w:szCs w:val="32"/>
          <w:lang w:val="en-US" w:eastAsia="zh-CN" w:bidi="ar"/>
        </w:rPr>
        <w:t>（</w:t>
      </w:r>
      <w:r>
        <w:rPr>
          <w:rFonts w:hint="eastAsia" w:ascii="黑体" w:hAnsi="黑体" w:eastAsia="黑体" w:cs="黑体"/>
          <w:color w:val="000000"/>
          <w:kern w:val="0"/>
          <w:sz w:val="32"/>
          <w:szCs w:val="32"/>
          <w:lang w:val="en-US" w:eastAsia="zh-CN" w:bidi="ar"/>
        </w:rPr>
        <w:t>二</w:t>
      </w:r>
      <w:r>
        <w:rPr>
          <w:rFonts w:hint="default" w:ascii="黑体" w:hAnsi="黑体" w:eastAsia="黑体" w:cs="黑体"/>
          <w:color w:val="000000"/>
          <w:kern w:val="0"/>
          <w:sz w:val="32"/>
          <w:szCs w:val="32"/>
          <w:lang w:val="en-US" w:eastAsia="zh-CN" w:bidi="ar"/>
        </w:rPr>
        <w:t>）外出招商和摸排线索指标（</w:t>
      </w:r>
      <w:r>
        <w:rPr>
          <w:rFonts w:hint="eastAsia" w:ascii="黑体" w:hAnsi="黑体" w:eastAsia="黑体" w:cs="黑体"/>
          <w:color w:val="000000"/>
          <w:kern w:val="0"/>
          <w:sz w:val="32"/>
          <w:szCs w:val="32"/>
          <w:lang w:val="en-US" w:eastAsia="zh-CN" w:bidi="ar"/>
        </w:rPr>
        <w:t>16分</w:t>
      </w:r>
      <w:r>
        <w:rPr>
          <w:rFonts w:hint="default" w:ascii="黑体" w:hAnsi="黑体" w:eastAsia="黑体" w:cs="黑体"/>
          <w:color w:val="000000"/>
          <w:kern w:val="0"/>
          <w:sz w:val="32"/>
          <w:szCs w:val="32"/>
          <w:lang w:val="en-US" w:eastAsia="zh-CN" w:bidi="ar"/>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3" w:firstLineChars="200"/>
        <w:jc w:val="both"/>
        <w:textAlignment w:val="auto"/>
        <w:outlineLvl w:val="9"/>
        <w:rPr>
          <w:rFonts w:hint="default" w:ascii="仿宋_GB2312" w:hAnsi="仿宋_GB2312" w:eastAsia="仿宋_GB2312" w:cs="仿宋_GB2312"/>
          <w:color w:val="000000"/>
          <w:kern w:val="0"/>
          <w:sz w:val="32"/>
          <w:szCs w:val="32"/>
          <w:lang w:val="en-US" w:eastAsia="zh-CN" w:bidi="ar"/>
        </w:rPr>
      </w:pPr>
      <w:r>
        <w:rPr>
          <w:rFonts w:hint="default" w:ascii="楷体_GB2312" w:hAnsi="楷体_GB2312" w:eastAsia="楷体_GB2312" w:cs="楷体_GB2312"/>
          <w:b/>
          <w:bCs/>
          <w:color w:val="000000"/>
          <w:kern w:val="0"/>
          <w:sz w:val="32"/>
          <w:szCs w:val="32"/>
          <w:lang w:val="en-US" w:eastAsia="zh-CN" w:bidi="ar"/>
        </w:rPr>
        <w:t>1.领导带头外出招商</w:t>
      </w:r>
      <w:r>
        <w:rPr>
          <w:rFonts w:hint="eastAsia" w:ascii="楷体_GB2312" w:hAnsi="楷体_GB2312" w:eastAsia="楷体_GB2312" w:cs="楷体_GB2312"/>
          <w:b/>
          <w:bCs/>
          <w:color w:val="000000"/>
          <w:kern w:val="0"/>
          <w:sz w:val="32"/>
          <w:szCs w:val="32"/>
          <w:lang w:val="en-US" w:eastAsia="zh-CN" w:bidi="ar"/>
        </w:rPr>
        <w:t>（6分）</w:t>
      </w:r>
      <w:r>
        <w:rPr>
          <w:rFonts w:hint="default" w:ascii="楷体_GB2312" w:hAnsi="楷体_GB2312" w:eastAsia="楷体_GB2312" w:cs="楷体_GB2312"/>
          <w:b/>
          <w:bCs/>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平罗工业园区全年外出开展招商工作8次，各经济部门全年外出开展招商活动3次，其它</w:t>
      </w:r>
      <w:r>
        <w:rPr>
          <w:rFonts w:hint="default" w:ascii="仿宋_GB2312" w:hAnsi="仿宋_GB2312" w:eastAsia="仿宋_GB2312" w:cs="仿宋_GB2312"/>
          <w:color w:val="000000"/>
          <w:kern w:val="0"/>
          <w:sz w:val="32"/>
          <w:szCs w:val="32"/>
          <w:lang w:val="en-US" w:eastAsia="zh-CN" w:bidi="ar"/>
        </w:rPr>
        <w:t>部门</w:t>
      </w:r>
      <w:r>
        <w:rPr>
          <w:rFonts w:hint="eastAsia" w:ascii="仿宋_GB2312" w:hAnsi="仿宋_GB2312" w:eastAsia="仿宋_GB2312" w:cs="仿宋_GB2312"/>
          <w:color w:val="000000"/>
          <w:kern w:val="0"/>
          <w:sz w:val="32"/>
          <w:szCs w:val="32"/>
          <w:lang w:val="en-US" w:eastAsia="zh-CN" w:bidi="ar"/>
        </w:rPr>
        <w:t>、乡镇</w:t>
      </w:r>
      <w:r>
        <w:rPr>
          <w:rFonts w:hint="default" w:ascii="仿宋_GB2312" w:hAnsi="仿宋_GB2312" w:eastAsia="仿宋_GB2312" w:cs="仿宋_GB2312"/>
          <w:color w:val="000000"/>
          <w:kern w:val="0"/>
          <w:sz w:val="32"/>
          <w:szCs w:val="32"/>
          <w:lang w:val="en-US" w:eastAsia="zh-CN" w:bidi="ar"/>
        </w:rPr>
        <w:t>外出</w:t>
      </w:r>
      <w:r>
        <w:rPr>
          <w:rFonts w:hint="eastAsia" w:ascii="仿宋_GB2312" w:hAnsi="仿宋_GB2312" w:eastAsia="仿宋_GB2312" w:cs="仿宋_GB2312"/>
          <w:color w:val="000000"/>
          <w:kern w:val="0"/>
          <w:sz w:val="32"/>
          <w:szCs w:val="32"/>
          <w:lang w:val="en-US" w:eastAsia="zh-CN" w:bidi="ar"/>
        </w:rPr>
        <w:t>开展</w:t>
      </w:r>
      <w:r>
        <w:rPr>
          <w:rFonts w:hint="default" w:ascii="仿宋_GB2312" w:hAnsi="仿宋_GB2312" w:eastAsia="仿宋_GB2312" w:cs="仿宋_GB2312"/>
          <w:color w:val="000000"/>
          <w:kern w:val="0"/>
          <w:sz w:val="32"/>
          <w:szCs w:val="32"/>
          <w:lang w:val="en-US" w:eastAsia="zh-CN" w:bidi="ar"/>
        </w:rPr>
        <w:t>招商</w:t>
      </w:r>
      <w:r>
        <w:rPr>
          <w:rFonts w:hint="eastAsia" w:ascii="仿宋_GB2312" w:hAnsi="仿宋_GB2312" w:eastAsia="仿宋_GB2312" w:cs="仿宋_GB2312"/>
          <w:color w:val="000000"/>
          <w:kern w:val="0"/>
          <w:sz w:val="32"/>
          <w:szCs w:val="32"/>
          <w:lang w:val="en-US" w:eastAsia="zh-CN" w:bidi="ar"/>
        </w:rPr>
        <w:t>2</w:t>
      </w:r>
      <w:r>
        <w:rPr>
          <w:rFonts w:hint="default" w:ascii="仿宋_GB2312" w:hAnsi="仿宋_GB2312" w:eastAsia="仿宋_GB2312" w:cs="仿宋_GB2312"/>
          <w:color w:val="000000"/>
          <w:kern w:val="0"/>
          <w:sz w:val="32"/>
          <w:szCs w:val="32"/>
          <w:lang w:val="en-US" w:eastAsia="zh-CN" w:bidi="ar"/>
        </w:rPr>
        <w:t>次。</w:t>
      </w:r>
      <w:r>
        <w:rPr>
          <w:rFonts w:hint="eastAsia" w:ascii="仿宋_GB2312" w:hAnsi="仿宋_GB2312" w:eastAsia="仿宋_GB2312" w:cs="仿宋_GB2312"/>
          <w:color w:val="000000"/>
          <w:kern w:val="0"/>
          <w:sz w:val="32"/>
          <w:szCs w:val="32"/>
          <w:lang w:val="en-US" w:eastAsia="zh-CN" w:bidi="ar"/>
        </w:rPr>
        <w:t>完成任务的计5分，未完成任务的按比例计分。超额完成任务的，每超额一次加计0.5分，加分不超过1分。</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3" w:firstLineChars="200"/>
        <w:jc w:val="both"/>
        <w:textAlignment w:val="auto"/>
        <w:outlineLvl w:val="9"/>
        <w:rPr>
          <w:rFonts w:hint="default" w:ascii="仿宋_GB2312" w:hAnsi="仿宋_GB2312" w:eastAsia="仿宋_GB2312" w:cs="仿宋_GB2312"/>
          <w:color w:val="000000"/>
          <w:kern w:val="0"/>
          <w:sz w:val="32"/>
          <w:szCs w:val="32"/>
          <w:lang w:val="en-US" w:eastAsia="zh-CN" w:bidi="ar"/>
        </w:rPr>
      </w:pPr>
      <w:r>
        <w:rPr>
          <w:rFonts w:hint="default" w:ascii="楷体_GB2312" w:hAnsi="楷体_GB2312" w:eastAsia="楷体_GB2312" w:cs="楷体_GB2312"/>
          <w:b/>
          <w:bCs/>
          <w:color w:val="000000"/>
          <w:kern w:val="0"/>
          <w:sz w:val="32"/>
          <w:szCs w:val="32"/>
          <w:lang w:val="en-US" w:eastAsia="zh-CN" w:bidi="ar"/>
        </w:rPr>
        <w:t>2.积极搜集</w:t>
      </w:r>
      <w:r>
        <w:rPr>
          <w:rFonts w:hint="eastAsia" w:ascii="楷体_GB2312" w:hAnsi="楷体_GB2312" w:eastAsia="楷体_GB2312" w:cs="楷体_GB2312"/>
          <w:b/>
          <w:bCs/>
          <w:color w:val="000000"/>
          <w:kern w:val="0"/>
          <w:sz w:val="32"/>
          <w:szCs w:val="32"/>
          <w:lang w:val="en-US" w:eastAsia="zh-CN" w:bidi="ar"/>
        </w:rPr>
        <w:t>招商</w:t>
      </w:r>
      <w:r>
        <w:rPr>
          <w:rFonts w:hint="default" w:ascii="楷体_GB2312" w:hAnsi="楷体_GB2312" w:eastAsia="楷体_GB2312" w:cs="楷体_GB2312"/>
          <w:b/>
          <w:bCs/>
          <w:color w:val="000000"/>
          <w:kern w:val="0"/>
          <w:sz w:val="32"/>
          <w:szCs w:val="32"/>
          <w:lang w:val="en-US" w:eastAsia="zh-CN" w:bidi="ar"/>
        </w:rPr>
        <w:t>项目线索</w:t>
      </w:r>
      <w:r>
        <w:rPr>
          <w:rFonts w:hint="eastAsia" w:ascii="楷体_GB2312" w:hAnsi="楷体_GB2312" w:eastAsia="楷体_GB2312" w:cs="楷体_GB2312"/>
          <w:b/>
          <w:bCs/>
          <w:color w:val="000000"/>
          <w:kern w:val="0"/>
          <w:sz w:val="32"/>
          <w:szCs w:val="32"/>
          <w:lang w:val="en-US" w:eastAsia="zh-CN" w:bidi="ar"/>
        </w:rPr>
        <w:t>（10分）</w:t>
      </w:r>
      <w:r>
        <w:rPr>
          <w:rFonts w:hint="default" w:ascii="楷体_GB2312" w:hAnsi="楷体_GB2312" w:eastAsia="楷体_GB2312" w:cs="楷体_GB2312"/>
          <w:b/>
          <w:bCs/>
          <w:color w:val="000000"/>
          <w:kern w:val="0"/>
          <w:sz w:val="32"/>
          <w:szCs w:val="32"/>
          <w:lang w:val="en-US" w:eastAsia="zh-CN" w:bidi="ar"/>
        </w:rPr>
        <w:t>。</w:t>
      </w:r>
      <w:r>
        <w:rPr>
          <w:rFonts w:hint="eastAsia" w:ascii="仿宋_GB2312" w:hAnsi="仿宋_GB2312" w:eastAsia="仿宋_GB2312" w:cs="仿宋_GB2312"/>
          <w:b w:val="0"/>
          <w:bCs/>
          <w:color w:val="000000"/>
          <w:sz w:val="32"/>
          <w:szCs w:val="32"/>
          <w:lang w:eastAsia="zh-CN"/>
        </w:rPr>
        <w:t>宁夏平罗工业园区管委会</w:t>
      </w:r>
      <w:r>
        <w:rPr>
          <w:rFonts w:hint="eastAsia" w:ascii="仿宋_GB2312" w:hAnsi="仿宋_GB2312" w:eastAsia="仿宋_GB2312" w:cs="仿宋_GB2312"/>
          <w:b w:val="0"/>
          <w:bCs/>
          <w:color w:val="000000"/>
          <w:sz w:val="32"/>
          <w:szCs w:val="32"/>
          <w:lang w:val="en-US" w:eastAsia="zh-CN"/>
        </w:rPr>
        <w:t>全年对接</w:t>
      </w:r>
      <w:r>
        <w:rPr>
          <w:rFonts w:hint="default" w:ascii="仿宋_GB2312" w:hAnsi="仿宋_GB2312" w:eastAsia="仿宋_GB2312" w:cs="仿宋_GB2312"/>
          <w:color w:val="000000"/>
          <w:kern w:val="0"/>
          <w:sz w:val="32"/>
          <w:szCs w:val="32"/>
          <w:lang w:val="en-US" w:eastAsia="zh-CN" w:bidi="ar"/>
        </w:rPr>
        <w:t>有价值</w:t>
      </w:r>
      <w:r>
        <w:rPr>
          <w:rFonts w:hint="eastAsia" w:ascii="仿宋_GB2312" w:hAnsi="仿宋_GB2312" w:eastAsia="仿宋_GB2312" w:cs="仿宋_GB2312"/>
          <w:b w:val="0"/>
          <w:bCs/>
          <w:color w:val="000000"/>
          <w:sz w:val="32"/>
          <w:szCs w:val="32"/>
          <w:lang w:val="en-US" w:eastAsia="zh-CN"/>
        </w:rPr>
        <w:t>招商线索20条</w:t>
      </w:r>
      <w:r>
        <w:rPr>
          <w:rFonts w:hint="eastAsia" w:ascii="仿宋_GB2312" w:hAnsi="仿宋_GB2312" w:eastAsia="仿宋_GB2312" w:cs="仿宋_GB2312"/>
          <w:b w:val="0"/>
          <w:bCs/>
          <w:color w:val="000000"/>
          <w:sz w:val="32"/>
          <w:szCs w:val="32"/>
          <w:lang w:eastAsia="zh-CN"/>
        </w:rPr>
        <w:t>，发改局、工信局、农业农村局</w:t>
      </w:r>
      <w:r>
        <w:rPr>
          <w:rFonts w:hint="eastAsia" w:ascii="仿宋_GB2312" w:hAnsi="仿宋_GB2312" w:eastAsia="仿宋_GB2312" w:cs="仿宋_GB2312"/>
          <w:b w:val="0"/>
          <w:bCs/>
          <w:color w:val="000000"/>
          <w:sz w:val="32"/>
          <w:szCs w:val="32"/>
          <w:lang w:val="en-US" w:eastAsia="zh-CN"/>
        </w:rPr>
        <w:t>全年对接</w:t>
      </w:r>
      <w:r>
        <w:rPr>
          <w:rFonts w:hint="default" w:ascii="仿宋_GB2312" w:hAnsi="仿宋_GB2312" w:eastAsia="仿宋_GB2312" w:cs="仿宋_GB2312"/>
          <w:color w:val="000000"/>
          <w:kern w:val="0"/>
          <w:sz w:val="32"/>
          <w:szCs w:val="32"/>
          <w:lang w:val="en-US" w:eastAsia="zh-CN" w:bidi="ar"/>
        </w:rPr>
        <w:t>有价值</w:t>
      </w:r>
      <w:r>
        <w:rPr>
          <w:rFonts w:hint="eastAsia" w:ascii="仿宋_GB2312" w:hAnsi="仿宋_GB2312" w:eastAsia="仿宋_GB2312" w:cs="仿宋_GB2312"/>
          <w:b w:val="0"/>
          <w:bCs/>
          <w:color w:val="000000"/>
          <w:sz w:val="32"/>
          <w:szCs w:val="32"/>
          <w:lang w:val="en-US" w:eastAsia="zh-CN"/>
        </w:rPr>
        <w:t>招商线索10条，</w:t>
      </w:r>
      <w:r>
        <w:rPr>
          <w:rFonts w:hint="eastAsia" w:ascii="仿宋_GB2312" w:hAnsi="仿宋_GB2312" w:eastAsia="仿宋_GB2312" w:cs="仿宋_GB2312"/>
          <w:b w:val="0"/>
          <w:bCs/>
          <w:color w:val="000000"/>
          <w:sz w:val="32"/>
          <w:szCs w:val="32"/>
          <w:lang w:eastAsia="zh-CN"/>
        </w:rPr>
        <w:t>其它</w:t>
      </w:r>
      <w:r>
        <w:rPr>
          <w:rFonts w:hint="eastAsia" w:ascii="仿宋_GB2312" w:hAnsi="仿宋_GB2312" w:eastAsia="仿宋_GB2312" w:cs="仿宋_GB2312"/>
          <w:color w:val="000000"/>
          <w:kern w:val="0"/>
          <w:sz w:val="32"/>
          <w:szCs w:val="32"/>
          <w:lang w:val="en-US" w:eastAsia="zh-CN" w:bidi="ar"/>
        </w:rPr>
        <w:t>责任单位和乡镇</w:t>
      </w:r>
      <w:r>
        <w:rPr>
          <w:rFonts w:hint="default" w:ascii="仿宋_GB2312" w:hAnsi="仿宋_GB2312" w:eastAsia="仿宋_GB2312" w:cs="仿宋_GB2312"/>
          <w:color w:val="000000"/>
          <w:kern w:val="0"/>
          <w:sz w:val="32"/>
          <w:szCs w:val="32"/>
          <w:lang w:val="en-US" w:eastAsia="zh-CN" w:bidi="ar"/>
        </w:rPr>
        <w:t>全年</w:t>
      </w:r>
      <w:r>
        <w:rPr>
          <w:rFonts w:hint="eastAsia" w:ascii="仿宋_GB2312" w:hAnsi="仿宋_GB2312" w:eastAsia="仿宋_GB2312" w:cs="仿宋_GB2312"/>
          <w:color w:val="000000"/>
          <w:kern w:val="0"/>
          <w:sz w:val="32"/>
          <w:szCs w:val="32"/>
          <w:lang w:val="en-US" w:eastAsia="zh-CN" w:bidi="ar"/>
        </w:rPr>
        <w:t>对接</w:t>
      </w:r>
      <w:r>
        <w:rPr>
          <w:rFonts w:hint="default" w:ascii="仿宋_GB2312" w:hAnsi="仿宋_GB2312" w:eastAsia="仿宋_GB2312" w:cs="仿宋_GB2312"/>
          <w:color w:val="000000"/>
          <w:kern w:val="0"/>
          <w:sz w:val="32"/>
          <w:szCs w:val="32"/>
          <w:lang w:val="en-US" w:eastAsia="zh-CN" w:bidi="ar"/>
        </w:rPr>
        <w:t>有价值招商线索</w:t>
      </w:r>
      <w:r>
        <w:rPr>
          <w:rFonts w:hint="eastAsia" w:ascii="仿宋_GB2312" w:hAnsi="仿宋_GB2312" w:eastAsia="仿宋_GB2312" w:cs="仿宋_GB2312"/>
          <w:color w:val="000000"/>
          <w:kern w:val="0"/>
          <w:sz w:val="32"/>
          <w:szCs w:val="32"/>
          <w:lang w:val="en-US" w:eastAsia="zh-CN" w:bidi="ar"/>
        </w:rPr>
        <w:t>5</w:t>
      </w:r>
      <w:r>
        <w:rPr>
          <w:rFonts w:hint="default" w:ascii="仿宋_GB2312" w:hAnsi="仿宋_GB2312" w:eastAsia="仿宋_GB2312" w:cs="仿宋_GB2312"/>
          <w:color w:val="000000"/>
          <w:kern w:val="0"/>
          <w:sz w:val="32"/>
          <w:szCs w:val="32"/>
          <w:lang w:val="en-US" w:eastAsia="zh-CN" w:bidi="ar"/>
        </w:rPr>
        <w:t>条</w:t>
      </w:r>
      <w:r>
        <w:rPr>
          <w:rFonts w:hint="eastAsia" w:ascii="仿宋_GB2312" w:hAnsi="仿宋_GB2312" w:eastAsia="仿宋_GB2312" w:cs="仿宋_GB2312"/>
          <w:color w:val="000000"/>
          <w:kern w:val="0"/>
          <w:sz w:val="32"/>
          <w:szCs w:val="32"/>
          <w:lang w:val="en-US" w:eastAsia="zh-CN" w:bidi="ar"/>
        </w:rPr>
        <w:t>。</w:t>
      </w:r>
      <w:r>
        <w:rPr>
          <w:rFonts w:hint="default" w:ascii="仿宋_GB2312" w:hAnsi="仿宋_GB2312" w:eastAsia="仿宋_GB2312" w:cs="仿宋_GB2312"/>
          <w:color w:val="000000"/>
          <w:kern w:val="0"/>
          <w:sz w:val="32"/>
          <w:szCs w:val="32"/>
          <w:lang w:val="en-US" w:eastAsia="zh-CN" w:bidi="ar"/>
        </w:rPr>
        <w:t>所提供的线索均为当年新对接洽谈企业，</w:t>
      </w:r>
      <w:r>
        <w:rPr>
          <w:rFonts w:hint="eastAsia" w:ascii="仿宋_GB2312" w:hAnsi="仿宋_GB2312" w:eastAsia="仿宋_GB2312" w:cs="仿宋_GB2312"/>
          <w:color w:val="000000"/>
          <w:kern w:val="0"/>
          <w:sz w:val="32"/>
          <w:szCs w:val="32"/>
          <w:lang w:val="en-US" w:eastAsia="zh-CN" w:bidi="ar"/>
        </w:rPr>
        <w:t>完成任务的计8分，未完成任务的按比例计分。超额完成任务的，每超额一次加计0.5分，加分不超过2分。</w:t>
      </w:r>
      <w:r>
        <w:rPr>
          <w:rFonts w:hint="default" w:ascii="仿宋_GB2312" w:hAnsi="仿宋_GB2312" w:eastAsia="仿宋_GB2312" w:cs="仿宋_GB2312"/>
          <w:color w:val="000000"/>
          <w:kern w:val="0"/>
          <w:sz w:val="32"/>
          <w:szCs w:val="32"/>
          <w:lang w:val="en-US" w:eastAsia="zh-CN" w:bidi="ar"/>
        </w:rPr>
        <w:t>线索有效落地率不得低于</w:t>
      </w:r>
      <w:r>
        <w:rPr>
          <w:rFonts w:hint="eastAsia" w:ascii="仿宋_GB2312" w:hAnsi="仿宋_GB2312" w:eastAsia="仿宋_GB2312" w:cs="仿宋_GB2312"/>
          <w:color w:val="000000"/>
          <w:kern w:val="0"/>
          <w:sz w:val="32"/>
          <w:szCs w:val="32"/>
          <w:lang w:val="en-US" w:eastAsia="zh-CN" w:bidi="ar"/>
        </w:rPr>
        <w:t>3</w:t>
      </w:r>
      <w:r>
        <w:rPr>
          <w:rFonts w:hint="default" w:ascii="仿宋_GB2312" w:hAnsi="仿宋_GB2312" w:eastAsia="仿宋_GB2312" w:cs="仿宋_GB2312"/>
          <w:color w:val="000000"/>
          <w:kern w:val="0"/>
          <w:sz w:val="32"/>
          <w:szCs w:val="32"/>
          <w:lang w:val="en-US" w:eastAsia="zh-CN" w:bidi="ar"/>
        </w:rPr>
        <w:t>0%</w:t>
      </w:r>
      <w:r>
        <w:rPr>
          <w:rFonts w:hint="eastAsia" w:ascii="仿宋_GB2312" w:hAnsi="仿宋_GB2312" w:eastAsia="仿宋_GB2312" w:cs="仿宋_GB2312"/>
          <w:color w:val="000000"/>
          <w:kern w:val="0"/>
          <w:sz w:val="32"/>
          <w:szCs w:val="32"/>
          <w:lang w:val="en-US" w:eastAsia="zh-CN" w:bidi="ar"/>
        </w:rPr>
        <w:t>，低于30%的扣2分。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b w:val="0"/>
          <w:bCs/>
          <w:color w:val="000000"/>
          <w:sz w:val="32"/>
          <w:szCs w:val="32"/>
          <w:lang w:val="en-US" w:eastAsia="zh-CN"/>
        </w:rPr>
      </w:pPr>
      <w:r>
        <w:rPr>
          <w:rFonts w:hint="eastAsia" w:ascii="黑体" w:hAnsi="黑体" w:eastAsia="黑体" w:cs="黑体"/>
          <w:color w:val="000000"/>
          <w:kern w:val="0"/>
          <w:sz w:val="32"/>
          <w:szCs w:val="32"/>
          <w:lang w:val="en-US" w:eastAsia="zh-CN" w:bidi="ar"/>
        </w:rPr>
        <w:t>（三）年度目标</w:t>
      </w:r>
      <w:r>
        <w:rPr>
          <w:rFonts w:hint="default" w:ascii="黑体" w:hAnsi="黑体" w:eastAsia="黑体" w:cs="黑体"/>
          <w:color w:val="000000"/>
          <w:kern w:val="0"/>
          <w:sz w:val="32"/>
          <w:szCs w:val="32"/>
          <w:lang w:val="en-US" w:eastAsia="zh-CN" w:bidi="ar"/>
        </w:rPr>
        <w:t>任务完成指标（</w:t>
      </w:r>
      <w:r>
        <w:rPr>
          <w:rFonts w:hint="eastAsia" w:ascii="黑体" w:hAnsi="黑体" w:eastAsia="黑体" w:cs="黑体"/>
          <w:color w:val="000000"/>
          <w:kern w:val="0"/>
          <w:sz w:val="32"/>
          <w:szCs w:val="32"/>
          <w:lang w:val="en-US" w:eastAsia="zh-CN" w:bidi="ar"/>
        </w:rPr>
        <w:t>7</w:t>
      </w:r>
      <w:r>
        <w:rPr>
          <w:rFonts w:hint="default" w:ascii="黑体" w:hAnsi="黑体" w:eastAsia="黑体" w:cs="黑体"/>
          <w:color w:val="000000"/>
          <w:kern w:val="0"/>
          <w:sz w:val="32"/>
          <w:szCs w:val="32"/>
          <w:lang w:val="en-US" w:eastAsia="zh-CN" w:bidi="ar"/>
        </w:rPr>
        <w:t>0</w:t>
      </w:r>
      <w:r>
        <w:rPr>
          <w:rFonts w:hint="eastAsia" w:ascii="黑体" w:hAnsi="黑体" w:eastAsia="黑体" w:cs="黑体"/>
          <w:color w:val="000000"/>
          <w:kern w:val="0"/>
          <w:sz w:val="32"/>
          <w:szCs w:val="32"/>
          <w:lang w:val="en-US" w:eastAsia="zh-CN" w:bidi="ar"/>
        </w:rPr>
        <w:t>分</w:t>
      </w:r>
      <w:r>
        <w:rPr>
          <w:rFonts w:hint="default" w:ascii="黑体" w:hAnsi="黑体" w:eastAsia="黑体" w:cs="黑体"/>
          <w:color w:val="000000"/>
          <w:kern w:val="0"/>
          <w:sz w:val="32"/>
          <w:szCs w:val="32"/>
          <w:lang w:val="en-US" w:eastAsia="zh-CN" w:bidi="ar"/>
        </w:rPr>
        <w:t>）。</w:t>
      </w:r>
      <w:r>
        <w:rPr>
          <w:rFonts w:hint="eastAsia" w:ascii="仿宋_GB2312" w:hAnsi="仿宋_GB2312" w:eastAsia="仿宋_GB2312" w:cs="仿宋_GB2312"/>
          <w:b w:val="0"/>
          <w:bCs/>
          <w:color w:val="000000"/>
          <w:sz w:val="32"/>
          <w:szCs w:val="32"/>
          <w:lang w:val="en-US" w:eastAsia="zh-CN"/>
        </w:rPr>
        <w:t>主要考评项目落地、建设成效及资金到位等情况。</w:t>
      </w:r>
      <w:r>
        <w:rPr>
          <w:rFonts w:hint="default" w:ascii="仿宋_GB2312" w:hAnsi="仿宋_GB2312" w:eastAsia="仿宋_GB2312" w:cs="仿宋_GB2312"/>
          <w:b w:val="0"/>
          <w:bCs/>
          <w:color w:val="000000"/>
          <w:sz w:val="32"/>
          <w:szCs w:val="32"/>
          <w:lang w:val="en-US" w:eastAsia="zh-CN"/>
        </w:rPr>
        <w:t>各</w:t>
      </w:r>
      <w:r>
        <w:rPr>
          <w:rFonts w:hint="eastAsia" w:ascii="仿宋_GB2312" w:hAnsi="仿宋_GB2312" w:eastAsia="仿宋_GB2312" w:cs="仿宋_GB2312"/>
          <w:b w:val="0"/>
          <w:bCs/>
          <w:color w:val="000000"/>
          <w:sz w:val="32"/>
          <w:szCs w:val="32"/>
          <w:lang w:val="en-US" w:eastAsia="zh-CN"/>
        </w:rPr>
        <w:t>责任单位</w:t>
      </w:r>
      <w:r>
        <w:rPr>
          <w:rFonts w:hint="default" w:ascii="仿宋_GB2312" w:hAnsi="仿宋_GB2312" w:eastAsia="仿宋_GB2312" w:cs="仿宋_GB2312"/>
          <w:b w:val="0"/>
          <w:bCs/>
          <w:color w:val="000000"/>
          <w:sz w:val="32"/>
          <w:szCs w:val="32"/>
          <w:lang w:val="en-US" w:eastAsia="zh-CN"/>
        </w:rPr>
        <w:t>要以项目落地和资金到位为导向，扎实推进招商引资工作，确保完成全年下</w:t>
      </w:r>
      <w:r>
        <w:rPr>
          <w:rFonts w:hint="eastAsia" w:ascii="仿宋_GB2312" w:hAnsi="仿宋_GB2312" w:eastAsia="仿宋_GB2312" w:cs="仿宋_GB2312"/>
          <w:b w:val="0"/>
          <w:bCs/>
          <w:color w:val="000000"/>
          <w:sz w:val="32"/>
          <w:szCs w:val="32"/>
          <w:lang w:val="en-US" w:eastAsia="zh-CN"/>
        </w:rPr>
        <w:t>达</w:t>
      </w:r>
      <w:r>
        <w:rPr>
          <w:rFonts w:hint="default" w:ascii="仿宋_GB2312" w:hAnsi="仿宋_GB2312" w:eastAsia="仿宋_GB2312" w:cs="仿宋_GB2312"/>
          <w:b w:val="0"/>
          <w:bCs/>
          <w:color w:val="000000"/>
          <w:sz w:val="32"/>
          <w:szCs w:val="32"/>
          <w:lang w:val="en-US" w:eastAsia="zh-CN"/>
        </w:rPr>
        <w:t>的指导性目标任务。</w:t>
      </w:r>
      <w:r>
        <w:rPr>
          <w:rFonts w:hint="eastAsia" w:ascii="仿宋_GB2312" w:hAnsi="仿宋_GB2312" w:eastAsia="仿宋_GB2312" w:cs="仿宋_GB2312"/>
          <w:b w:val="0"/>
          <w:bCs/>
          <w:color w:val="000000"/>
          <w:sz w:val="32"/>
          <w:szCs w:val="32"/>
          <w:lang w:val="en-US" w:eastAsia="zh-CN"/>
        </w:rPr>
        <w:t>各责任单位完成年度招商目标任务计65分，未完成招商目标任务按比例计分；各责任单位超额完成年度招商目标任务，每超额1000万元，加1分，加分不超过5分。没有下达年度招商目标任务的单位，确实引进新建招商项目的，以营业执照和项目备案为依据，按实际到位资金每1000万元加2分计算加分值，加分不超过10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前款加（扣）分事项由考核小组最终确定。各责任单位在招商引资项目申报过程中要依法依规、诚信守诺。对编造招商引资数据，瞒报、虚报招商引资实际到位资金的，在相应扣减考核分值的同时，对情节严重的将依法依规严肃追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jc w:val="center"/>
        <w:textAlignment w:val="auto"/>
        <w:outlineLvl w:val="9"/>
        <w:rPr>
          <w:rFonts w:hint="eastAsia" w:ascii="黑体" w:hAnsi="黑体" w:eastAsia="黑体" w:cs="黑体"/>
          <w:color w:val="000000"/>
          <w:sz w:val="32"/>
          <w:szCs w:val="32"/>
          <w:lang w:eastAsia="zh-CN"/>
        </w:rPr>
      </w:pPr>
      <w:r>
        <w:rPr>
          <w:rFonts w:hint="eastAsia" w:ascii="黑体" w:hAnsi="黑体" w:eastAsia="黑体" w:cs="黑体"/>
          <w:color w:val="auto"/>
          <w:spacing w:val="-8"/>
          <w:sz w:val="32"/>
          <w:szCs w:val="32"/>
          <w:lang w:eastAsia="zh-CN"/>
        </w:rPr>
        <w:t>第三章</w:t>
      </w:r>
      <w:r>
        <w:rPr>
          <w:rFonts w:hint="eastAsia" w:ascii="黑体" w:hAnsi="黑体" w:eastAsia="黑体" w:cs="黑体"/>
          <w:color w:val="auto"/>
          <w:spacing w:val="-8"/>
          <w:sz w:val="32"/>
          <w:szCs w:val="32"/>
          <w:lang w:val="en-US" w:eastAsia="zh-CN"/>
        </w:rPr>
        <w:t xml:space="preserve">  </w:t>
      </w:r>
      <w:r>
        <w:rPr>
          <w:rFonts w:hint="eastAsia" w:ascii="黑体" w:hAnsi="黑体" w:eastAsia="黑体" w:cs="黑体"/>
          <w:color w:val="auto"/>
          <w:spacing w:val="-8"/>
          <w:sz w:val="32"/>
          <w:szCs w:val="32"/>
          <w:lang w:eastAsia="zh-CN"/>
        </w:rPr>
        <w:t>考评方式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
        </w:rPr>
      </w:pPr>
      <w:r>
        <w:rPr>
          <w:rFonts w:hint="eastAsia" w:ascii="黑体" w:hAnsi="黑体" w:eastAsia="黑体" w:cs="黑体"/>
          <w:color w:val="000000"/>
          <w:sz w:val="32"/>
          <w:szCs w:val="32"/>
          <w:lang w:eastAsia="zh-CN"/>
        </w:rPr>
        <w:t>第六条</w:t>
      </w:r>
      <w:r>
        <w:rPr>
          <w:rFonts w:hint="eastAsia" w:ascii="仿宋_GB2312" w:eastAsia="仿宋_GB2312"/>
          <w:color w:val="000000"/>
          <w:sz w:val="32"/>
          <w:szCs w:val="32"/>
          <w:lang w:val="en-US" w:eastAsia="zh-CN"/>
        </w:rPr>
        <w:t xml:space="preserve">  </w:t>
      </w:r>
      <w:r>
        <w:rPr>
          <w:rFonts w:hint="eastAsia" w:ascii="仿宋_GB2312" w:hAnsi="仿宋_GB2312" w:eastAsia="仿宋_GB2312" w:cs="仿宋_GB2312"/>
          <w:color w:val="000000"/>
          <w:kern w:val="0"/>
          <w:sz w:val="32"/>
          <w:szCs w:val="32"/>
          <w:lang w:val="en-US" w:eastAsia="zh-CN" w:bidi="ar"/>
        </w:rPr>
        <w:t>考评采取平时考核和年终考核相结合的方式。平时考评包括招商报表统计报送、招商活动开展、招商项目推进等情况；年终考核包括招商项目资料申报、招商活动开展资料查阅复核、项目实地查验等。根据平时考核和年终考核进行综合考评打分，汇总分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color w:val="auto"/>
          <w:spacing w:val="-8"/>
          <w:sz w:val="32"/>
          <w:szCs w:val="32"/>
          <w:lang w:eastAsia="zh-CN"/>
        </w:rPr>
      </w:pPr>
      <w:r>
        <w:rPr>
          <w:rFonts w:hint="eastAsia" w:ascii="黑体" w:hAnsi="黑体" w:eastAsia="黑体" w:cs="黑体"/>
          <w:color w:val="000000"/>
          <w:sz w:val="32"/>
          <w:szCs w:val="32"/>
          <w:lang w:eastAsia="zh-CN"/>
        </w:rPr>
        <w:t>第七条</w:t>
      </w:r>
      <w:r>
        <w:rPr>
          <w:rFonts w:hint="eastAsia" w:ascii="仿宋_GB2312" w:eastAsia="仿宋_GB2312"/>
          <w:color w:val="000000"/>
          <w:sz w:val="32"/>
          <w:szCs w:val="32"/>
          <w:lang w:val="en-US" w:eastAsia="zh-CN"/>
        </w:rPr>
        <w:t xml:space="preserve">  </w:t>
      </w:r>
      <w:r>
        <w:rPr>
          <w:rFonts w:hint="eastAsia" w:ascii="仿宋_GB2312" w:hAnsi="仿宋_GB2312" w:eastAsia="仿宋_GB2312" w:cs="仿宋_GB2312"/>
          <w:color w:val="000000"/>
          <w:kern w:val="0"/>
          <w:sz w:val="32"/>
          <w:szCs w:val="32"/>
          <w:lang w:val="en-US" w:eastAsia="zh-CN" w:bidi="ar"/>
        </w:rPr>
        <w:t>各目标任务责任单位应从每年3月份开始按月上报招商目标任务完成情况、招商活动和项目跟踪服务情况、招商线索。于11月25日前将项目申报资料报送考评组办公室（县商务局），考评组于12月底完成考评工作，将考评结果报送县委督检考办。</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eastAsia="仿宋_GB2312"/>
          <w:color w:val="000000"/>
          <w:sz w:val="32"/>
          <w:szCs w:val="32"/>
          <w:lang w:val="en-US" w:eastAsia="zh-CN"/>
        </w:rPr>
      </w:pPr>
      <w:r>
        <w:rPr>
          <w:rFonts w:hint="eastAsia" w:ascii="黑体" w:hAnsi="黑体" w:eastAsia="黑体" w:cs="黑体"/>
          <w:color w:val="auto"/>
          <w:spacing w:val="-8"/>
          <w:sz w:val="32"/>
          <w:szCs w:val="32"/>
          <w:lang w:eastAsia="zh-CN"/>
        </w:rPr>
        <w:t>第四章</w:t>
      </w:r>
      <w:r>
        <w:rPr>
          <w:rFonts w:hint="eastAsia" w:ascii="黑体" w:hAnsi="黑体" w:eastAsia="黑体" w:cs="黑体"/>
          <w:color w:val="auto"/>
          <w:spacing w:val="-8"/>
          <w:sz w:val="32"/>
          <w:szCs w:val="32"/>
          <w:lang w:val="en-US" w:eastAsia="zh-CN"/>
        </w:rPr>
        <w:t xml:space="preserve">  </w:t>
      </w:r>
      <w:r>
        <w:rPr>
          <w:rFonts w:hint="eastAsia" w:ascii="黑体" w:hAnsi="黑体" w:eastAsia="黑体" w:cs="黑体"/>
          <w:color w:val="auto"/>
          <w:spacing w:val="-8"/>
          <w:sz w:val="32"/>
          <w:szCs w:val="32"/>
          <w:lang w:eastAsia="zh-CN"/>
        </w:rPr>
        <w:t>招商项目考评范围界定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color w:val="000000"/>
          <w:kern w:val="0"/>
          <w:sz w:val="32"/>
          <w:szCs w:val="32"/>
          <w:lang w:val="en-US" w:eastAsia="zh-CN" w:bidi="ar"/>
        </w:rPr>
      </w:pPr>
      <w:r>
        <w:rPr>
          <w:rFonts w:hint="eastAsia" w:ascii="仿宋_GB2312" w:eastAsia="仿宋_GB2312"/>
          <w:color w:val="000000"/>
          <w:sz w:val="32"/>
          <w:szCs w:val="32"/>
          <w:lang w:val="en-US" w:eastAsia="zh-CN"/>
        </w:rPr>
        <w:t xml:space="preserve">    </w:t>
      </w:r>
      <w:r>
        <w:rPr>
          <w:rFonts w:hint="eastAsia" w:ascii="黑体" w:hAnsi="黑体" w:eastAsia="黑体" w:cs="黑体"/>
          <w:color w:val="000000"/>
          <w:sz w:val="32"/>
          <w:szCs w:val="32"/>
          <w:lang w:val="en-US" w:eastAsia="zh-CN"/>
        </w:rPr>
        <w:t>第八条</w:t>
      </w:r>
      <w:r>
        <w:rPr>
          <w:rFonts w:hint="eastAsia" w:ascii="仿宋_GB2312" w:eastAsia="仿宋_GB2312"/>
          <w:color w:val="000000"/>
          <w:sz w:val="32"/>
          <w:szCs w:val="32"/>
          <w:lang w:val="en-US" w:eastAsia="zh-CN"/>
        </w:rPr>
        <w:t xml:space="preserve">  </w:t>
      </w:r>
      <w:r>
        <w:rPr>
          <w:rFonts w:hint="eastAsia" w:ascii="仿宋_GB2312" w:hAnsi="仿宋_GB2312" w:eastAsia="仿宋_GB2312" w:cs="仿宋_GB2312"/>
          <w:color w:val="000000"/>
          <w:kern w:val="0"/>
          <w:sz w:val="32"/>
          <w:szCs w:val="32"/>
          <w:lang w:val="en-US" w:eastAsia="zh-CN" w:bidi="ar"/>
        </w:rPr>
        <w:t>招商线索是指自治区以外自然人、法人企业等有意向在平罗县投资，具有真实性、有效性、可能性的投资信息，或已落户我县的企业与自治区以外的自然人、企业有合作意向的投资信息，已进行过投资考察或对接洽谈尚未投资的，已签约尚未投资的，均属招商项目信息线索认定申报范围。已落户续建项目或已落户我县企业再建项目不列入招商线索。</w:t>
      </w:r>
    </w:p>
    <w:p>
      <w:pPr>
        <w:keepNext w:val="0"/>
        <w:keepLines w:val="0"/>
        <w:pageBreakBefore w:val="0"/>
        <w:widowControl w:val="0"/>
        <w:numPr>
          <w:ilvl w:val="0"/>
          <w:numId w:val="0"/>
        </w:numPr>
        <w:kinsoku/>
        <w:wordWrap/>
        <w:overflowPunct/>
        <w:topLinePunct w:val="0"/>
        <w:autoSpaceDE/>
        <w:autoSpaceDN w:val="0"/>
        <w:bidi w:val="0"/>
        <w:adjustRightInd w:val="0"/>
        <w:snapToGrid w:val="0"/>
        <w:spacing w:line="560" w:lineRule="exact"/>
        <w:ind w:left="0" w:leftChars="0" w:right="0" w:rightChars="0" w:firstLine="640" w:firstLineChars="200"/>
        <w:jc w:val="left"/>
        <w:textAlignment w:val="auto"/>
        <w:outlineLvl w:val="9"/>
        <w:rPr>
          <w:rFonts w:hint="default" w:ascii="仿宋_GB2312" w:hAnsi="仿宋_GB2312" w:eastAsia="仿宋_GB2312" w:cs="仿宋_GB2312"/>
          <w:color w:val="000000"/>
          <w:kern w:val="0"/>
          <w:sz w:val="32"/>
          <w:szCs w:val="32"/>
          <w:lang w:val="en-US" w:eastAsia="zh-CN" w:bidi="ar"/>
        </w:rPr>
      </w:pPr>
      <w:r>
        <w:rPr>
          <w:rFonts w:hint="eastAsia" w:ascii="黑体" w:hAnsi="黑体" w:eastAsia="黑体" w:cs="黑体"/>
          <w:color w:val="000000"/>
          <w:sz w:val="32"/>
          <w:szCs w:val="32"/>
          <w:lang w:val="en-US" w:eastAsia="zh-CN"/>
        </w:rPr>
        <w:t>第九条</w:t>
      </w:r>
      <w:r>
        <w:rPr>
          <w:rFonts w:hint="eastAsia" w:ascii="仿宋_GB2312" w:eastAsia="仿宋_GB2312"/>
          <w:color w:val="000000"/>
          <w:sz w:val="32"/>
          <w:szCs w:val="32"/>
          <w:lang w:val="en-US" w:eastAsia="zh-CN"/>
        </w:rPr>
        <w:t xml:space="preserve">  </w:t>
      </w:r>
      <w:r>
        <w:rPr>
          <w:rFonts w:hint="eastAsia" w:ascii="仿宋_GB2312" w:hAnsi="仿宋_GB2312" w:eastAsia="仿宋_GB2312" w:cs="仿宋_GB2312"/>
          <w:color w:val="000000"/>
          <w:kern w:val="0"/>
          <w:sz w:val="32"/>
          <w:szCs w:val="32"/>
          <w:lang w:val="en-US" w:eastAsia="zh-CN" w:bidi="ar"/>
        </w:rPr>
        <w:t>招商引资项目是指引进区外法人、经济组织及社会自然人投资主体或回归宁商等，在我区以现金、实物等方式投资符合自治区产业规划，并已在自治区范围内进行工商、税务登记注册的招商引资项目，包括一、二、三产业的新建、续建、扩建、技改项目或区外投资主体与区内投资主体合资合作建设的项目，固定资产投资须在500万元以上（以项目备案为准）。到位资金是指以自治区外资金投入招商项目所实际发生的资金</w:t>
      </w:r>
      <w:r>
        <w:rPr>
          <w:rFonts w:hint="default" w:ascii="仿宋_GB2312" w:hAnsi="仿宋_GB2312" w:eastAsia="仿宋_GB2312" w:cs="仿宋_GB2312"/>
          <w:color w:val="000000"/>
          <w:kern w:val="0"/>
          <w:sz w:val="32"/>
          <w:szCs w:val="32"/>
          <w:lang w:val="en-US" w:eastAsia="zh-CN" w:bidi="ar"/>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color w:val="000000"/>
          <w:kern w:val="0"/>
          <w:sz w:val="32"/>
          <w:szCs w:val="32"/>
          <w:lang w:val="en-US" w:eastAsia="zh-CN" w:bidi="ar"/>
        </w:rPr>
      </w:pPr>
      <w:r>
        <w:rPr>
          <w:rFonts w:hint="eastAsia" w:ascii="黑体" w:hAnsi="黑体" w:eastAsia="黑体" w:cs="黑体"/>
          <w:b w:val="0"/>
          <w:bCs w:val="0"/>
          <w:color w:val="000000"/>
          <w:sz w:val="32"/>
          <w:szCs w:val="32"/>
          <w:lang w:val="en-US" w:eastAsia="zh-CN"/>
        </w:rPr>
        <w:t xml:space="preserve">第十条 </w:t>
      </w:r>
      <w:r>
        <w:rPr>
          <w:rFonts w:hint="eastAsia" w:ascii="仿宋_GB2312" w:eastAsia="仿宋_GB2312"/>
          <w:b/>
          <w:bCs/>
          <w:color w:val="000000"/>
          <w:sz w:val="32"/>
          <w:szCs w:val="32"/>
          <w:lang w:val="en-US" w:eastAsia="zh-CN"/>
        </w:rPr>
        <w:t xml:space="preserve"> </w:t>
      </w:r>
      <w:r>
        <w:rPr>
          <w:rFonts w:hint="eastAsia" w:ascii="仿宋_GB2312" w:hAnsi="仿宋_GB2312" w:eastAsia="仿宋_GB2312" w:cs="仿宋_GB2312"/>
          <w:color w:val="000000"/>
          <w:kern w:val="0"/>
          <w:sz w:val="32"/>
          <w:szCs w:val="32"/>
          <w:lang w:val="en-US" w:eastAsia="zh-CN" w:bidi="ar"/>
        </w:rPr>
        <w:t>违反国家法律、法规，不符合国家和自治区产业政策、生态环保及安全生产规定的项目；国家专项资金投资建设的项目（国企、央企投资建设的项目除外）；各级地方财政和自治区各厅局投资建设的项目，各级政府负责担保还贷的项目（国有平台采取“EPC+E+O”模式建设的项目除外）；区内企业、自然人以自治区范围内收益投资建设的项目；住宅类房地产项目（土地购置款为外部资金的除外）。</w:t>
      </w:r>
      <w:r>
        <w:rPr>
          <w:rFonts w:hint="eastAsia" w:ascii="仿宋_GB2312" w:hAnsi="仿宋_GB2312" w:eastAsia="仿宋_GB2312" w:cs="仿宋_GB2312"/>
          <w:color w:val="000000"/>
          <w:sz w:val="32"/>
          <w:szCs w:val="32"/>
          <w:lang w:val="en-US" w:eastAsia="zh-CN"/>
        </w:rPr>
        <w:t>此五类项目均不予以认定。</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outlineLvl w:val="9"/>
        <w:rPr>
          <w:rFonts w:hint="eastAsia" w:ascii="黑体" w:hAnsi="黑体" w:eastAsia="黑体" w:cs="黑体"/>
          <w:color w:val="000000"/>
          <w:kern w:val="0"/>
          <w:sz w:val="32"/>
          <w:szCs w:val="32"/>
          <w:lang w:val="en-US" w:eastAsia="zh-CN" w:bidi="ar"/>
        </w:rPr>
      </w:pPr>
      <w:r>
        <w:rPr>
          <w:rFonts w:hint="eastAsia" w:ascii="黑体" w:hAnsi="黑体" w:eastAsia="黑体" w:cs="黑体"/>
          <w:color w:val="auto"/>
          <w:spacing w:val="-8"/>
          <w:sz w:val="32"/>
          <w:szCs w:val="32"/>
          <w:lang w:eastAsia="zh-CN"/>
        </w:rPr>
        <w:t>第五章</w:t>
      </w:r>
      <w:r>
        <w:rPr>
          <w:rFonts w:hint="eastAsia" w:ascii="黑体" w:hAnsi="黑体" w:eastAsia="黑体" w:cs="黑体"/>
          <w:color w:val="auto"/>
          <w:spacing w:val="-8"/>
          <w:sz w:val="32"/>
          <w:szCs w:val="32"/>
          <w:lang w:val="en-US" w:eastAsia="zh-CN"/>
        </w:rPr>
        <w:t xml:space="preserve">  </w:t>
      </w:r>
      <w:r>
        <w:rPr>
          <w:rFonts w:hint="eastAsia" w:ascii="黑体" w:hAnsi="黑体" w:eastAsia="黑体" w:cs="黑体"/>
          <w:color w:val="auto"/>
          <w:spacing w:val="-8"/>
          <w:sz w:val="32"/>
          <w:szCs w:val="32"/>
          <w:lang w:eastAsia="zh-CN"/>
        </w:rPr>
        <w:t>考评程序及到位资金核算</w:t>
      </w:r>
    </w:p>
    <w:p>
      <w:pPr>
        <w:keepNext w:val="0"/>
        <w:keepLines w:val="0"/>
        <w:pageBreakBefore w:val="0"/>
        <w:widowControl w:val="0"/>
        <w:numPr>
          <w:ilvl w:val="0"/>
          <w:numId w:val="0"/>
        </w:numPr>
        <w:kinsoku/>
        <w:wordWrap/>
        <w:overflowPunct/>
        <w:topLinePunct w:val="0"/>
        <w:autoSpaceDE/>
        <w:autoSpaceDN w:val="0"/>
        <w:bidi w:val="0"/>
        <w:adjustRightInd w:val="0"/>
        <w:snapToGrid w:val="0"/>
        <w:spacing w:line="560" w:lineRule="exact"/>
        <w:ind w:left="0" w:leftChars="0" w:right="0" w:rightChars="0" w:firstLine="640"/>
        <w:jc w:val="both"/>
        <w:textAlignment w:val="auto"/>
        <w:outlineLvl w:val="9"/>
        <w:rPr>
          <w:rFonts w:hint="default" w:ascii="仿宋_GB2312" w:hAnsi="仿宋_GB2312" w:eastAsia="仿宋_GB2312" w:cs="仿宋_GB2312"/>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 xml:space="preserve">第十一条  </w:t>
      </w:r>
      <w:r>
        <w:rPr>
          <w:rFonts w:hint="eastAsia" w:ascii="仿宋_GB2312" w:hAnsi="仿宋_GB2312" w:eastAsia="仿宋_GB2312" w:cs="仿宋_GB2312"/>
          <w:color w:val="000000"/>
          <w:kern w:val="0"/>
          <w:sz w:val="32"/>
          <w:szCs w:val="32"/>
          <w:lang w:val="en-US" w:eastAsia="zh-CN" w:bidi="ar"/>
        </w:rPr>
        <w:t>招商项目按照谁引进、谁申报、谁负责的方式进行考评。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kern w:val="0"/>
          <w:sz w:val="32"/>
          <w:szCs w:val="32"/>
          <w:lang w:val="en-US" w:eastAsia="zh-CN" w:bidi="ar"/>
        </w:rPr>
        <w:t xml:space="preserve">    </w:t>
      </w:r>
      <w:r>
        <w:rPr>
          <w:rFonts w:hint="eastAsia" w:ascii="楷体_GB2312" w:hAnsi="楷体_GB2312" w:eastAsia="楷体_GB2312" w:cs="楷体_GB2312"/>
          <w:b/>
          <w:bCs/>
          <w:color w:val="000000"/>
          <w:kern w:val="0"/>
          <w:sz w:val="32"/>
          <w:szCs w:val="32"/>
          <w:lang w:val="en-US" w:eastAsia="zh-CN" w:bidi="ar"/>
        </w:rPr>
        <w:t>（一）项目申报。</w:t>
      </w:r>
      <w:r>
        <w:rPr>
          <w:rFonts w:hint="eastAsia" w:ascii="仿宋_GB2312" w:hAnsi="仿宋_GB2312" w:eastAsia="仿宋_GB2312" w:cs="仿宋_GB2312"/>
          <w:color w:val="000000"/>
          <w:sz w:val="32"/>
          <w:szCs w:val="32"/>
          <w:lang w:eastAsia="zh-CN"/>
        </w:rPr>
        <w:t>外出开展招商活动或邀请投资商来平考察，在活动结束后，及时将所对接的招商线索信息进行汇总，填报</w:t>
      </w:r>
      <w:r>
        <w:rPr>
          <w:rFonts w:hint="eastAsia" w:ascii="仿宋_GB2312" w:hAnsi="仿宋_GB2312" w:eastAsia="仿宋_GB2312" w:cs="仿宋_GB2312"/>
          <w:color w:val="000000"/>
          <w:sz w:val="32"/>
          <w:szCs w:val="32"/>
          <w:lang w:val="en-US" w:eastAsia="zh-CN"/>
        </w:rPr>
        <w:t>《招商线索统计申报表》，进行线索申报，按月更新对接情况。</w:t>
      </w:r>
      <w:r>
        <w:rPr>
          <w:rFonts w:hint="eastAsia" w:ascii="仿宋_GB2312" w:hAnsi="仿宋_GB2312" w:eastAsia="仿宋_GB2312" w:cs="仿宋_GB2312"/>
          <w:color w:val="000000"/>
          <w:sz w:val="32"/>
          <w:szCs w:val="32"/>
          <w:lang w:eastAsia="zh-CN"/>
        </w:rPr>
        <w:t>项目对接成熟，落地开工当月，由项目引进单位填报《招商项目引进主体界定申请表》，由项目建设单位、项目引进单位共同签字盖章后，报考评组办公室（县商务局）。并按月填报</w:t>
      </w:r>
      <w:r>
        <w:rPr>
          <w:rFonts w:hint="eastAsia" w:ascii="仿宋_GB2312" w:hAnsi="仿宋_GB2312" w:eastAsia="仿宋_GB2312" w:cs="仿宋_GB2312"/>
          <w:color w:val="000000"/>
          <w:sz w:val="32"/>
          <w:szCs w:val="32"/>
          <w:lang w:val="en-US" w:eastAsia="zh-CN"/>
        </w:rPr>
        <w:t>《已开工招商项目统计表》，及时更新项目建设情况及资金到位情况，经分管领导审核盖章后报</w:t>
      </w:r>
      <w:r>
        <w:rPr>
          <w:rFonts w:hint="eastAsia" w:ascii="仿宋_GB2312" w:hAnsi="仿宋_GB2312" w:eastAsia="仿宋_GB2312" w:cs="仿宋_GB2312"/>
          <w:color w:val="000000"/>
          <w:sz w:val="32"/>
          <w:szCs w:val="32"/>
          <w:lang w:eastAsia="zh-CN"/>
        </w:rPr>
        <w:t>考评组办公室（县商务局）。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000000"/>
          <w:kern w:val="0"/>
          <w:sz w:val="32"/>
          <w:szCs w:val="32"/>
          <w:lang w:val="en-US" w:eastAsia="zh-CN" w:bidi="ar"/>
        </w:rPr>
      </w:pPr>
      <w:r>
        <w:rPr>
          <w:rFonts w:hint="eastAsia" w:ascii="楷体_GB2312" w:hAnsi="楷体_GB2312" w:eastAsia="楷体_GB2312" w:cs="楷体_GB2312"/>
          <w:b/>
          <w:bCs/>
          <w:color w:val="000000"/>
          <w:kern w:val="0"/>
          <w:sz w:val="32"/>
          <w:szCs w:val="32"/>
          <w:lang w:val="en-US" w:eastAsia="zh-CN" w:bidi="ar"/>
        </w:rPr>
        <w:t>（二）主体界定。</w:t>
      </w:r>
      <w:r>
        <w:rPr>
          <w:rFonts w:hint="eastAsia" w:ascii="仿宋_GB2312" w:hAnsi="仿宋_GB2312" w:eastAsia="仿宋_GB2312" w:cs="仿宋_GB2312"/>
          <w:color w:val="000000"/>
          <w:sz w:val="32"/>
          <w:szCs w:val="32"/>
          <w:lang w:eastAsia="zh-CN"/>
        </w:rPr>
        <w:t>考评组办公室（县商务局）依据项目引进单位填报的《招商项目引进主体界定申请表》及前期上报的招商线索，确定项目引进主体。</w:t>
      </w:r>
      <w:r>
        <w:rPr>
          <w:rFonts w:hint="eastAsia" w:ascii="仿宋_GB2312" w:hAnsi="仿宋_GB2312" w:eastAsia="仿宋_GB2312" w:cs="仿宋_GB2312"/>
          <w:color w:val="000000"/>
          <w:sz w:val="32"/>
          <w:szCs w:val="32"/>
          <w:lang w:val="en-US" w:eastAsia="zh-CN"/>
        </w:rPr>
        <w:t>坚持“谁引进谁申报”，一个招商项目原则上只认定一个引进主体。</w:t>
      </w:r>
      <w:r>
        <w:rPr>
          <w:rFonts w:hint="eastAsia" w:ascii="仿宋_GB2312" w:hAnsi="仿宋_GB2312" w:eastAsia="仿宋_GB2312" w:cs="仿宋_GB2312"/>
          <w:color w:val="000000"/>
          <w:sz w:val="32"/>
          <w:szCs w:val="32"/>
          <w:u w:val="none"/>
          <w:lang w:val="en-US" w:eastAsia="zh-CN"/>
        </w:rPr>
        <w:t>如果招商项目确实由两个以上的单位共同引进，计划投资1亿元以下的招商项目最多可确定两个引进单位，</w:t>
      </w:r>
      <w:r>
        <w:rPr>
          <w:rFonts w:hint="eastAsia" w:ascii="仿宋_GB2312" w:hAnsi="仿宋_GB2312" w:eastAsia="仿宋_GB2312" w:cs="仿宋_GB2312"/>
          <w:color w:val="000000"/>
          <w:sz w:val="32"/>
          <w:szCs w:val="32"/>
          <w:u w:val="none"/>
          <w:lang w:eastAsia="zh-CN"/>
        </w:rPr>
        <w:t>计划投资</w:t>
      </w:r>
      <w:r>
        <w:rPr>
          <w:rFonts w:hint="eastAsia" w:ascii="仿宋_GB2312" w:hAnsi="仿宋_GB2312" w:eastAsia="仿宋_GB2312" w:cs="仿宋_GB2312"/>
          <w:color w:val="000000"/>
          <w:sz w:val="32"/>
          <w:szCs w:val="32"/>
          <w:u w:val="none"/>
          <w:lang w:val="en-US" w:eastAsia="zh-CN"/>
        </w:rPr>
        <w:t>1亿元及以上的招商</w:t>
      </w:r>
      <w:r>
        <w:rPr>
          <w:rFonts w:hint="eastAsia" w:ascii="仿宋_GB2312" w:hAnsi="仿宋_GB2312" w:eastAsia="仿宋_GB2312" w:cs="仿宋_GB2312"/>
          <w:color w:val="000000"/>
          <w:sz w:val="32"/>
          <w:szCs w:val="32"/>
          <w:u w:val="none"/>
          <w:lang w:eastAsia="zh-CN"/>
        </w:rPr>
        <w:t>项目</w:t>
      </w:r>
      <w:r>
        <w:rPr>
          <w:rFonts w:hint="eastAsia" w:ascii="仿宋_GB2312" w:hAnsi="仿宋_GB2312" w:eastAsia="仿宋_GB2312" w:cs="仿宋_GB2312"/>
          <w:color w:val="000000"/>
          <w:sz w:val="32"/>
          <w:szCs w:val="32"/>
          <w:u w:val="none"/>
          <w:lang w:val="en-US" w:eastAsia="zh-CN"/>
        </w:rPr>
        <w:t>最多可确定三个引进单位，</w:t>
      </w:r>
      <w:r>
        <w:rPr>
          <w:rFonts w:hint="eastAsia" w:ascii="仿宋_GB2312" w:hAnsi="仿宋_GB2312" w:eastAsia="仿宋_GB2312" w:cs="仿宋_GB2312"/>
          <w:color w:val="000000"/>
          <w:sz w:val="32"/>
          <w:szCs w:val="32"/>
          <w:lang w:eastAsia="zh-CN"/>
        </w:rPr>
        <w:t>依据引进单位在项目开工当月提交的《招商项目引进主体界定申请表》的时间顺序确定为第一、二、三引进单位</w:t>
      </w:r>
      <w:r>
        <w:rPr>
          <w:rFonts w:hint="eastAsia" w:ascii="仿宋_GB2312" w:hAnsi="仿宋_GB2312" w:eastAsia="仿宋_GB2312" w:cs="仿宋_GB2312"/>
          <w:color w:val="00000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2"/>
        <w:jc w:val="both"/>
        <w:textAlignment w:val="auto"/>
        <w:outlineLvl w:val="9"/>
        <w:rPr>
          <w:rFonts w:hint="default" w:ascii="仿宋_GB2312" w:hAnsi="仿宋_GB2312" w:eastAsia="仿宋_GB2312" w:cs="仿宋_GB2312"/>
          <w:color w:val="0000FF"/>
          <w:sz w:val="32"/>
          <w:szCs w:val="32"/>
          <w:lang w:val="en-US" w:eastAsia="zh-CN"/>
        </w:rPr>
      </w:pPr>
      <w:r>
        <w:rPr>
          <w:rFonts w:hint="eastAsia" w:ascii="楷体_GB2312" w:hAnsi="楷体_GB2312" w:eastAsia="楷体_GB2312" w:cs="楷体_GB2312"/>
          <w:b/>
          <w:bCs/>
          <w:color w:val="000000"/>
          <w:kern w:val="0"/>
          <w:sz w:val="32"/>
          <w:szCs w:val="32"/>
          <w:lang w:val="en-US" w:eastAsia="zh-CN" w:bidi="ar"/>
        </w:rPr>
        <w:t>（三）资料申报。</w:t>
      </w:r>
      <w:r>
        <w:rPr>
          <w:rFonts w:hint="eastAsia" w:ascii="仿宋_GB2312" w:hAnsi="仿宋_GB2312" w:eastAsia="仿宋_GB2312" w:cs="仿宋_GB2312"/>
          <w:color w:val="000000"/>
          <w:sz w:val="32"/>
          <w:szCs w:val="32"/>
          <w:lang w:val="en-US" w:eastAsia="zh-CN"/>
        </w:rPr>
        <w:t>项目引进单位确定后，由第一引进单位提交</w:t>
      </w:r>
      <w:r>
        <w:rPr>
          <w:rFonts w:hint="eastAsia" w:ascii="仿宋_GB2312" w:hAnsi="仿宋_GB2312" w:eastAsia="仿宋_GB2312" w:cs="仿宋_GB2312"/>
          <w:color w:val="000000"/>
          <w:sz w:val="32"/>
          <w:szCs w:val="32"/>
          <w:lang w:eastAsia="zh-CN"/>
        </w:rPr>
        <w:t>《招商项目引进主体界定申请表》、</w:t>
      </w:r>
      <w:r>
        <w:rPr>
          <w:rFonts w:hint="eastAsia" w:ascii="仿宋_GB2312" w:hAnsi="仿宋_GB2312" w:eastAsia="仿宋_GB2312" w:cs="仿宋_GB2312"/>
          <w:color w:val="000000"/>
          <w:sz w:val="32"/>
          <w:szCs w:val="32"/>
          <w:lang w:val="en-US" w:eastAsia="zh-CN"/>
        </w:rPr>
        <w:t>开工项目备案文件、企业工商注册营业执照、公司章程、投资股东身份证明等复印件、项目简介（包括项目名称、建设地址、建设内容及规模、计划投资额、实施进度、完成投资等）、项目施工建设进度照片、当年项目固定资产投资报表、企业资产负债表及证明投资的合同票据等；</w:t>
      </w:r>
      <w:r>
        <w:rPr>
          <w:rFonts w:hint="eastAsia" w:ascii="仿宋_GB2312" w:hAnsi="仿宋_GB2312" w:eastAsia="仿宋_GB2312" w:cs="仿宋_GB2312"/>
          <w:color w:val="000000"/>
          <w:sz w:val="32"/>
          <w:szCs w:val="32"/>
          <w:lang w:eastAsia="zh-CN"/>
        </w:rPr>
        <w:t>第二引进单位只提供《招商项目引进主体界定申请表》。</w:t>
      </w:r>
      <w:r>
        <w:rPr>
          <w:rFonts w:hint="eastAsia" w:ascii="仿宋_GB2312" w:hAnsi="仿宋_GB2312" w:eastAsia="仿宋_GB2312" w:cs="仿宋_GB2312"/>
          <w:color w:val="000000"/>
          <w:sz w:val="32"/>
          <w:szCs w:val="32"/>
          <w:lang w:val="en-US" w:eastAsia="zh-CN"/>
        </w:rPr>
        <w:t>一些项目建设内容已实施，但在当年财务报表中没有反映出来的，需提供当年项目建设工程量进度表。</w:t>
      </w:r>
      <w:r>
        <w:rPr>
          <w:rFonts w:hint="eastAsia" w:ascii="仿宋_GB2312" w:hAnsi="仿宋_GB2312" w:eastAsia="仿宋_GB2312" w:cs="仿宋_GB2312"/>
          <w:sz w:val="32"/>
          <w:szCs w:val="32"/>
          <w:lang w:eastAsia="zh-CN"/>
        </w:rPr>
        <w:t>落户宁夏平罗工业园区的项目需提供入园批复</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eastAsia="zh-CN"/>
        </w:rPr>
        <w:t>第一引进单位不能按时申报项目资料则视为自动放弃第一引进单位主体资格，由第二引进单位替代第一引进单位位置，整理项目资料。提交资料不完善的项目不予认定。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eastAsia="仿宋_GB2312"/>
          <w:b/>
          <w:bCs/>
          <w:color w:val="000000"/>
          <w:sz w:val="32"/>
          <w:szCs w:val="32"/>
          <w:lang w:val="en-US" w:eastAsia="zh-CN"/>
        </w:rPr>
      </w:pPr>
      <w:r>
        <w:rPr>
          <w:rFonts w:hint="eastAsia" w:ascii="楷体" w:hAnsi="楷体" w:eastAsia="楷体" w:cs="楷体"/>
          <w:b/>
          <w:bCs/>
          <w:color w:val="000000"/>
          <w:sz w:val="32"/>
          <w:szCs w:val="32"/>
          <w:lang w:val="en-US" w:eastAsia="zh-CN"/>
        </w:rPr>
        <w:t xml:space="preserve">    </w:t>
      </w:r>
      <w:r>
        <w:rPr>
          <w:rFonts w:hint="eastAsia" w:ascii="楷体_GB2312" w:hAnsi="楷体_GB2312" w:eastAsia="楷体_GB2312" w:cs="楷体_GB2312"/>
          <w:b/>
          <w:bCs/>
          <w:color w:val="000000"/>
          <w:kern w:val="0"/>
          <w:sz w:val="32"/>
          <w:szCs w:val="32"/>
          <w:lang w:val="en-US" w:eastAsia="zh-CN" w:bidi="ar"/>
        </w:rPr>
        <w:t>（四）实地核查。</w:t>
      </w:r>
      <w:r>
        <w:rPr>
          <w:rFonts w:hint="eastAsia" w:ascii="仿宋_GB2312" w:hAnsi="仿宋_GB2312" w:eastAsia="仿宋_GB2312" w:cs="仿宋_GB2312"/>
          <w:color w:val="000000"/>
          <w:sz w:val="32"/>
          <w:szCs w:val="32"/>
        </w:rPr>
        <w:t>对各</w:t>
      </w:r>
      <w:r>
        <w:rPr>
          <w:rFonts w:hint="eastAsia" w:ascii="仿宋_GB2312" w:hAnsi="仿宋_GB2312" w:eastAsia="仿宋_GB2312" w:cs="仿宋_GB2312"/>
          <w:color w:val="000000"/>
          <w:sz w:val="32"/>
          <w:szCs w:val="32"/>
          <w:lang w:eastAsia="zh-CN"/>
        </w:rPr>
        <w:t>责任单位</w:t>
      </w:r>
      <w:r>
        <w:rPr>
          <w:rFonts w:hint="eastAsia" w:ascii="仿宋_GB2312" w:hAnsi="仿宋_GB2312" w:eastAsia="仿宋_GB2312" w:cs="仿宋_GB2312"/>
          <w:color w:val="000000"/>
          <w:sz w:val="32"/>
          <w:szCs w:val="32"/>
        </w:rPr>
        <w:t>当年申报实施的</w:t>
      </w:r>
      <w:r>
        <w:rPr>
          <w:rFonts w:hint="eastAsia" w:ascii="仿宋_GB2312" w:hAnsi="仿宋_GB2312" w:eastAsia="仿宋_GB2312" w:cs="仿宋_GB2312"/>
          <w:color w:val="000000"/>
          <w:sz w:val="32"/>
          <w:szCs w:val="32"/>
          <w:lang w:eastAsia="zh-CN"/>
        </w:rPr>
        <w:t>在建</w:t>
      </w:r>
      <w:r>
        <w:rPr>
          <w:rFonts w:hint="eastAsia" w:ascii="仿宋_GB2312" w:hAnsi="仿宋_GB2312" w:eastAsia="仿宋_GB2312" w:cs="仿宋_GB2312"/>
          <w:color w:val="000000"/>
          <w:sz w:val="32"/>
          <w:szCs w:val="32"/>
        </w:rPr>
        <w:t>招商项目进行实地抽查，</w:t>
      </w:r>
      <w:r>
        <w:rPr>
          <w:rFonts w:hint="eastAsia" w:ascii="仿宋_GB2312" w:hAnsi="仿宋_GB2312" w:eastAsia="仿宋_GB2312" w:cs="仿宋_GB2312"/>
          <w:color w:val="000000"/>
          <w:sz w:val="32"/>
          <w:szCs w:val="32"/>
          <w:lang w:eastAsia="zh-CN"/>
        </w:rPr>
        <w:t>抽查比例为</w:t>
      </w:r>
      <w:r>
        <w:rPr>
          <w:rFonts w:hint="eastAsia" w:ascii="仿宋_GB2312" w:hAnsi="仿宋_GB2312" w:eastAsia="仿宋_GB2312" w:cs="仿宋_GB2312"/>
          <w:color w:val="000000"/>
          <w:sz w:val="32"/>
          <w:szCs w:val="32"/>
        </w:rPr>
        <w:t>新建项目不低于</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续建项目不低于</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lang w:eastAsia="zh-CN"/>
        </w:rPr>
        <w:t>，以核实项目建设情况</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color w:val="000000"/>
          <w:sz w:val="32"/>
          <w:szCs w:val="32"/>
          <w:lang w:val="en-US" w:eastAsia="zh-CN"/>
        </w:rPr>
      </w:pPr>
      <w:r>
        <w:rPr>
          <w:rFonts w:hint="eastAsia" w:ascii="黑体" w:hAnsi="黑体" w:eastAsia="黑体" w:cs="黑体"/>
          <w:b w:val="0"/>
          <w:bCs w:val="0"/>
          <w:color w:val="000000"/>
          <w:sz w:val="32"/>
          <w:szCs w:val="32"/>
          <w:lang w:val="en-US" w:eastAsia="zh-CN"/>
        </w:rPr>
        <w:t>第十二条</w:t>
      </w:r>
      <w:r>
        <w:rPr>
          <w:rFonts w:hint="eastAsia" w:ascii="仿宋_GB2312" w:eastAsia="仿宋_GB2312"/>
          <w:b/>
          <w:bCs/>
          <w:color w:val="000000"/>
          <w:sz w:val="32"/>
          <w:szCs w:val="32"/>
          <w:lang w:val="en-US" w:eastAsia="zh-CN"/>
        </w:rPr>
        <w:t xml:space="preserve">  </w:t>
      </w:r>
      <w:r>
        <w:rPr>
          <w:rFonts w:hint="default" w:ascii="黑体" w:hAnsi="黑体" w:eastAsia="黑体" w:cs="黑体"/>
          <w:b w:val="0"/>
          <w:bCs w:val="0"/>
          <w:color w:val="000000"/>
          <w:sz w:val="32"/>
          <w:szCs w:val="32"/>
          <w:lang w:val="en-US" w:eastAsia="zh-CN"/>
        </w:rPr>
        <w:t>招商引资项目</w:t>
      </w:r>
      <w:r>
        <w:rPr>
          <w:rFonts w:hint="eastAsia" w:ascii="黑体" w:hAnsi="黑体" w:eastAsia="黑体" w:cs="黑体"/>
          <w:b w:val="0"/>
          <w:bCs w:val="0"/>
          <w:color w:val="000000"/>
          <w:sz w:val="32"/>
          <w:szCs w:val="32"/>
          <w:lang w:val="en-US" w:eastAsia="zh-CN"/>
        </w:rPr>
        <w:t>实际</w:t>
      </w:r>
      <w:r>
        <w:rPr>
          <w:rFonts w:hint="default" w:ascii="黑体" w:hAnsi="黑体" w:eastAsia="黑体" w:cs="黑体"/>
          <w:b w:val="0"/>
          <w:bCs w:val="0"/>
          <w:color w:val="000000"/>
          <w:sz w:val="32"/>
          <w:szCs w:val="32"/>
          <w:lang w:val="en-US" w:eastAsia="zh-CN"/>
        </w:rPr>
        <w:t>到位资金金额的</w:t>
      </w:r>
      <w:r>
        <w:rPr>
          <w:rFonts w:hint="eastAsia" w:ascii="黑体" w:hAnsi="黑体" w:eastAsia="黑体" w:cs="黑体"/>
          <w:b w:val="0"/>
          <w:bCs w:val="0"/>
          <w:color w:val="000000"/>
          <w:sz w:val="32"/>
          <w:szCs w:val="32"/>
          <w:lang w:val="en-US" w:eastAsia="zh-CN"/>
        </w:rPr>
        <w:t>确认</w:t>
      </w:r>
      <w:r>
        <w:rPr>
          <w:rFonts w:hint="default" w:ascii="黑体" w:hAnsi="黑体" w:eastAsia="黑体" w:cs="黑体"/>
          <w:b w:val="0"/>
          <w:bCs w:val="0"/>
          <w:color w:val="00000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2"/>
        <w:jc w:val="both"/>
        <w:textAlignment w:val="auto"/>
        <w:outlineLvl w:val="9"/>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一</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招商引资项目分实体项目、金融项目、无形资产项目、注册资本金项目四类进行到位资金认定。</w:t>
      </w:r>
    </w:p>
    <w:p>
      <w:pPr>
        <w:keepNext w:val="0"/>
        <w:keepLines w:val="0"/>
        <w:pageBreakBefore w:val="0"/>
        <w:widowControl w:val="0"/>
        <w:suppressAutoHyphens/>
        <w:kinsoku/>
        <w:wordWrap/>
        <w:overflowPunct/>
        <w:topLinePunct w:val="0"/>
        <w:autoSpaceDE/>
        <w:autoSpaceDN/>
        <w:bidi w:val="0"/>
        <w:adjustRightInd/>
        <w:snapToGrid/>
        <w:spacing w:before="0" w:line="560" w:lineRule="exact"/>
        <w:ind w:left="0" w:leftChars="0" w:firstLine="643" w:firstLineChars="200"/>
        <w:jc w:val="both"/>
        <w:textAlignment w:val="auto"/>
        <w:rPr>
          <w:rFonts w:hint="default" w:ascii="仿宋_GB2312" w:hAnsi="Calibri" w:eastAsia="仿宋_GB2312" w:cs="仿宋_GB2312"/>
          <w:strike w:val="0"/>
          <w:dstrike w:val="0"/>
          <w:color w:val="000000"/>
          <w:spacing w:val="0"/>
          <w:kern w:val="0"/>
          <w:sz w:val="32"/>
          <w:szCs w:val="32"/>
          <w:u w:val="none"/>
          <w:shd w:val="clear" w:color="auto" w:fill="auto"/>
          <w:lang w:val="en-US" w:eastAsia="zh-CN" w:bidi="ar-SA"/>
        </w:rPr>
      </w:pPr>
      <w:r>
        <w:rPr>
          <w:rFonts w:hint="eastAsia" w:ascii="仿宋_GB2312" w:hAnsi="Calibri" w:eastAsia="仿宋_GB2312" w:cs="仿宋_GB2312"/>
          <w:b/>
          <w:bCs/>
          <w:color w:val="000000"/>
          <w:spacing w:val="0"/>
          <w:kern w:val="0"/>
          <w:sz w:val="32"/>
          <w:szCs w:val="32"/>
          <w:u w:val="none"/>
          <w:shd w:val="clear" w:color="auto" w:fill="auto"/>
          <w:lang w:val="en-US" w:eastAsia="zh-CN" w:bidi="ar-SA"/>
        </w:rPr>
        <w:t>1.</w:t>
      </w:r>
      <w:r>
        <w:rPr>
          <w:rFonts w:hint="eastAsia" w:ascii="仿宋_GB2312" w:hAnsi="Calibri" w:eastAsia="仿宋_GB2312" w:cs="仿宋_GB2312"/>
          <w:b/>
          <w:bCs/>
          <w:strike w:val="0"/>
          <w:dstrike w:val="0"/>
          <w:color w:val="000000"/>
          <w:spacing w:val="0"/>
          <w:kern w:val="0"/>
          <w:sz w:val="32"/>
          <w:szCs w:val="32"/>
          <w:u w:val="none"/>
          <w:shd w:val="clear" w:color="auto" w:fill="auto"/>
          <w:lang w:val="en-US" w:eastAsia="zh-CN" w:bidi="ar-SA"/>
        </w:rPr>
        <w:t>实体项目。</w:t>
      </w:r>
      <w:r>
        <w:rPr>
          <w:rFonts w:hint="default" w:ascii="仿宋_GB2312" w:hAnsi="Calibri" w:eastAsia="仿宋_GB2312" w:cs="仿宋_GB2312"/>
          <w:strike w:val="0"/>
          <w:dstrike w:val="0"/>
          <w:color w:val="000000"/>
          <w:spacing w:val="0"/>
          <w:kern w:val="0"/>
          <w:sz w:val="32"/>
          <w:szCs w:val="32"/>
          <w:u w:val="none"/>
          <w:shd w:val="clear" w:color="auto" w:fill="auto"/>
          <w:lang w:val="en-US" w:eastAsia="zh-CN" w:bidi="ar-SA"/>
        </w:rPr>
        <w:t>须提供企业当年财务决算报表（资产负债表）、固定资产投资报表、无形资产明细表</w:t>
      </w:r>
      <w:r>
        <w:rPr>
          <w:rFonts w:hint="eastAsia" w:ascii="仿宋_GB2312" w:hAnsi="Calibri" w:eastAsia="仿宋_GB2312" w:cs="仿宋_GB2312"/>
          <w:strike w:val="0"/>
          <w:dstrike w:val="0"/>
          <w:color w:val="000000"/>
          <w:spacing w:val="0"/>
          <w:kern w:val="0"/>
          <w:sz w:val="32"/>
          <w:szCs w:val="32"/>
          <w:u w:val="none"/>
          <w:shd w:val="clear" w:color="auto" w:fill="auto"/>
          <w:lang w:val="en-US" w:eastAsia="zh-CN" w:bidi="ar-SA"/>
        </w:rPr>
        <w:t>、</w:t>
      </w:r>
      <w:r>
        <w:rPr>
          <w:rFonts w:hint="default" w:ascii="仿宋_GB2312" w:hAnsi="Calibri" w:eastAsia="仿宋_GB2312" w:cs="仿宋_GB2312"/>
          <w:strike w:val="0"/>
          <w:dstrike w:val="0"/>
          <w:color w:val="000000"/>
          <w:spacing w:val="0"/>
          <w:kern w:val="0"/>
          <w:sz w:val="32"/>
          <w:szCs w:val="32"/>
          <w:u w:val="none"/>
          <w:shd w:val="clear" w:color="auto" w:fill="auto"/>
          <w:lang w:val="en-US" w:eastAsia="zh-CN" w:bidi="ar-SA"/>
        </w:rPr>
        <w:t>工程量报表</w:t>
      </w:r>
      <w:r>
        <w:rPr>
          <w:rFonts w:hint="eastAsia" w:ascii="仿宋_GB2312" w:hAnsi="Calibri" w:eastAsia="仿宋_GB2312" w:cs="仿宋_GB2312"/>
          <w:strike w:val="0"/>
          <w:dstrike w:val="0"/>
          <w:color w:val="000000"/>
          <w:spacing w:val="0"/>
          <w:kern w:val="0"/>
          <w:sz w:val="32"/>
          <w:szCs w:val="32"/>
          <w:u w:val="none"/>
          <w:shd w:val="clear" w:color="auto" w:fill="auto"/>
          <w:lang w:val="en-US" w:eastAsia="zh-CN" w:bidi="ar-SA"/>
        </w:rPr>
        <w:t>、</w:t>
      </w:r>
      <w:r>
        <w:rPr>
          <w:rFonts w:hint="default" w:ascii="仿宋_GB2312" w:hAnsi="Calibri" w:eastAsia="仿宋_GB2312" w:cs="仿宋_GB2312"/>
          <w:strike w:val="0"/>
          <w:dstrike w:val="0"/>
          <w:color w:val="000000"/>
          <w:spacing w:val="0"/>
          <w:kern w:val="0"/>
          <w:sz w:val="32"/>
          <w:szCs w:val="32"/>
          <w:u w:val="none"/>
          <w:shd w:val="clear" w:color="auto" w:fill="auto"/>
          <w:lang w:val="en-US" w:eastAsia="zh-CN" w:bidi="ar-SA"/>
        </w:rPr>
        <w:t>购买设备发票（复印件）</w:t>
      </w:r>
      <w:r>
        <w:rPr>
          <w:rFonts w:hint="eastAsia" w:ascii="仿宋_GB2312" w:hAnsi="Calibri" w:eastAsia="仿宋_GB2312" w:cs="仿宋_GB2312"/>
          <w:strike w:val="0"/>
          <w:dstrike w:val="0"/>
          <w:color w:val="000000"/>
          <w:spacing w:val="0"/>
          <w:kern w:val="0"/>
          <w:sz w:val="32"/>
          <w:szCs w:val="32"/>
          <w:u w:val="none"/>
          <w:shd w:val="clear" w:color="auto" w:fill="auto"/>
          <w:lang w:val="en-US" w:eastAsia="zh-CN" w:bidi="ar-SA"/>
        </w:rPr>
        <w:t>、</w:t>
      </w:r>
      <w:r>
        <w:rPr>
          <w:rFonts w:hint="default" w:ascii="仿宋_GB2312" w:hAnsi="Calibri" w:eastAsia="仿宋_GB2312" w:cs="仿宋_GB2312"/>
          <w:strike w:val="0"/>
          <w:dstrike w:val="0"/>
          <w:color w:val="000000"/>
          <w:spacing w:val="0"/>
          <w:kern w:val="0"/>
          <w:sz w:val="32"/>
          <w:szCs w:val="32"/>
          <w:u w:val="none"/>
          <w:shd w:val="clear" w:color="auto" w:fill="auto"/>
          <w:lang w:val="en-US" w:eastAsia="zh-CN" w:bidi="ar-SA"/>
        </w:rPr>
        <w:t>合同</w:t>
      </w:r>
      <w:r>
        <w:rPr>
          <w:rFonts w:hint="eastAsia" w:ascii="仿宋_GB2312" w:hAnsi="Calibri" w:eastAsia="仿宋_GB2312" w:cs="仿宋_GB2312"/>
          <w:strike w:val="0"/>
          <w:dstrike w:val="0"/>
          <w:color w:val="000000"/>
          <w:spacing w:val="0"/>
          <w:kern w:val="0"/>
          <w:sz w:val="32"/>
          <w:szCs w:val="32"/>
          <w:u w:val="none"/>
          <w:shd w:val="clear" w:color="auto" w:fill="auto"/>
          <w:lang w:val="en-US" w:eastAsia="zh-CN" w:bidi="ar-SA"/>
        </w:rPr>
        <w:t>协议或</w:t>
      </w:r>
      <w:r>
        <w:rPr>
          <w:rFonts w:hint="default" w:ascii="仿宋_GB2312" w:hAnsi="Calibri" w:eastAsia="仿宋_GB2312" w:cs="仿宋_GB2312"/>
          <w:strike w:val="0"/>
          <w:dstrike w:val="0"/>
          <w:color w:val="000000"/>
          <w:spacing w:val="0"/>
          <w:kern w:val="0"/>
          <w:sz w:val="32"/>
          <w:szCs w:val="32"/>
          <w:u w:val="none"/>
          <w:shd w:val="clear" w:color="auto" w:fill="auto"/>
          <w:lang w:val="en-US" w:eastAsia="zh-CN" w:bidi="ar-SA"/>
        </w:rPr>
        <w:t>有关文件</w:t>
      </w:r>
      <w:r>
        <w:rPr>
          <w:rFonts w:hint="eastAsia" w:ascii="仿宋_GB2312" w:hAnsi="Calibri" w:eastAsia="仿宋_GB2312" w:cs="仿宋_GB2312"/>
          <w:strike w:val="0"/>
          <w:dstrike w:val="0"/>
          <w:color w:val="000000"/>
          <w:spacing w:val="0"/>
          <w:kern w:val="0"/>
          <w:sz w:val="32"/>
          <w:szCs w:val="32"/>
          <w:u w:val="none"/>
          <w:shd w:val="clear" w:color="auto" w:fill="auto"/>
          <w:lang w:val="en-US" w:eastAsia="zh-CN" w:bidi="ar-SA"/>
        </w:rPr>
        <w:t>等不少于2项的有效印证资金到位情况的资料，</w:t>
      </w:r>
      <w:r>
        <w:rPr>
          <w:rFonts w:hint="default" w:ascii="仿宋_GB2312" w:hAnsi="Calibri" w:eastAsia="仿宋_GB2312" w:cs="仿宋_GB2312"/>
          <w:strike w:val="0"/>
          <w:dstrike w:val="0"/>
          <w:color w:val="000000"/>
          <w:spacing w:val="0"/>
          <w:kern w:val="0"/>
          <w:sz w:val="32"/>
          <w:szCs w:val="32"/>
          <w:u w:val="none"/>
          <w:shd w:val="clear" w:color="auto" w:fill="auto"/>
          <w:lang w:val="en-US" w:eastAsia="zh-CN" w:bidi="ar-SA"/>
        </w:rPr>
        <w:t>进行对比核算</w:t>
      </w:r>
      <w:r>
        <w:rPr>
          <w:rFonts w:hint="eastAsia" w:ascii="仿宋_GB2312" w:hAnsi="Calibri" w:eastAsia="仿宋_GB2312" w:cs="仿宋_GB2312"/>
          <w:strike w:val="0"/>
          <w:dstrike w:val="0"/>
          <w:color w:val="000000"/>
          <w:spacing w:val="0"/>
          <w:kern w:val="0"/>
          <w:sz w:val="32"/>
          <w:szCs w:val="32"/>
          <w:u w:val="none"/>
          <w:shd w:val="clear" w:color="auto" w:fill="auto"/>
          <w:lang w:val="en-US" w:eastAsia="zh-CN" w:bidi="ar-SA"/>
        </w:rPr>
        <w:t>后确定实际到位</w:t>
      </w:r>
      <w:r>
        <w:rPr>
          <w:rFonts w:hint="default" w:ascii="仿宋_GB2312" w:hAnsi="Calibri" w:eastAsia="仿宋_GB2312" w:cs="仿宋_GB2312"/>
          <w:strike w:val="0"/>
          <w:dstrike w:val="0"/>
          <w:color w:val="000000"/>
          <w:spacing w:val="0"/>
          <w:kern w:val="0"/>
          <w:sz w:val="32"/>
          <w:szCs w:val="32"/>
          <w:u w:val="none"/>
          <w:shd w:val="clear" w:color="auto" w:fill="auto"/>
          <w:lang w:val="en-US" w:eastAsia="zh-CN" w:bidi="ar-SA"/>
        </w:rPr>
        <w:t>资金。</w:t>
      </w:r>
    </w:p>
    <w:p>
      <w:pPr>
        <w:keepNext w:val="0"/>
        <w:keepLines w:val="0"/>
        <w:pageBreakBefore w:val="0"/>
        <w:widowControl w:val="0"/>
        <w:suppressAutoHyphens/>
        <w:kinsoku/>
        <w:wordWrap/>
        <w:overflowPunct/>
        <w:topLinePunct w:val="0"/>
        <w:autoSpaceDE/>
        <w:autoSpaceDN/>
        <w:bidi w:val="0"/>
        <w:adjustRightInd/>
        <w:snapToGrid/>
        <w:spacing w:before="0" w:line="560" w:lineRule="exact"/>
        <w:ind w:left="0" w:leftChars="0" w:firstLine="640" w:firstLineChars="200"/>
        <w:jc w:val="both"/>
        <w:textAlignment w:val="auto"/>
        <w:rPr>
          <w:rFonts w:hint="eastAsia" w:ascii="仿宋_GB2312" w:hAnsi="仿宋_GB2312" w:eastAsia="仿宋_GB2312" w:cs="仿宋_GB2312"/>
          <w:color w:val="FF0000"/>
          <w:spacing w:val="0"/>
          <w:kern w:val="0"/>
          <w:sz w:val="32"/>
          <w:szCs w:val="32"/>
          <w:u w:val="none"/>
          <w:shd w:val="clear" w:color="auto" w:fill="auto"/>
          <w:lang w:val="en-US" w:eastAsia="zh-CN" w:bidi="ar-SA"/>
        </w:rPr>
      </w:pPr>
      <w:r>
        <w:rPr>
          <w:rFonts w:hint="eastAsia" w:ascii="仿宋_GB2312" w:hAnsi="仿宋_GB2312" w:eastAsia="仿宋_GB2312" w:cs="仿宋_GB2312"/>
          <w:color w:val="000000"/>
          <w:spacing w:val="0"/>
          <w:kern w:val="0"/>
          <w:sz w:val="32"/>
          <w:szCs w:val="32"/>
          <w:u w:val="none"/>
          <w:shd w:val="clear" w:color="auto" w:fill="auto"/>
          <w:lang w:val="en-US" w:eastAsia="zh-CN" w:bidi="ar-SA"/>
        </w:rPr>
        <w:t>其中：工业项目以生产经营性投资（兼并收购重组项目包括用于资产收购的资金），包括土地、建筑物、设备等固定资产投资，认定到位资金。其中土地投入以企业实际交纳的土地出让金等有关支出认定，建筑物以实际建筑面积和施工进度认定，设备以设备购置和安装所发生费用认定。农业项目以种植业、林业（含花卉苗木）、畜牧业、水产养殖业等农业及农副产品加工项目的固定资产投资，包括土地、厂房、机器设备及其配套的办公、生活设施，种畜、种禽，林果种苗，人工费、材料费等实际发生的费用，认定到位资金。现代服务业项目中的餐饮、宾馆、物流、写字楼、商场等项目，以固定资产投资认定到位资金。涉及租赁、装修、改造升级等费用投入，以合同协议、资金投入明细表（企业盖章）作为认定资金依据。</w:t>
      </w:r>
    </w:p>
    <w:p>
      <w:pPr>
        <w:keepNext w:val="0"/>
        <w:keepLines w:val="0"/>
        <w:pageBreakBefore w:val="0"/>
        <w:widowControl w:val="0"/>
        <w:suppressAutoHyphens/>
        <w:kinsoku/>
        <w:wordWrap/>
        <w:overflowPunct/>
        <w:topLinePunct w:val="0"/>
        <w:autoSpaceDE/>
        <w:autoSpaceDN/>
        <w:bidi w:val="0"/>
        <w:adjustRightInd/>
        <w:snapToGrid/>
        <w:spacing w:before="0" w:line="560" w:lineRule="exact"/>
        <w:ind w:left="0" w:leftChars="0" w:firstLine="640" w:firstLineChars="200"/>
        <w:jc w:val="both"/>
        <w:textAlignment w:val="auto"/>
        <w:rPr>
          <w:rFonts w:hint="eastAsia" w:ascii="仿宋_GB2312" w:hAnsi="Calibri" w:eastAsia="仿宋_GB2312" w:cs="仿宋_GB2312"/>
          <w:color w:val="000000"/>
          <w:spacing w:val="0"/>
          <w:kern w:val="0"/>
          <w:sz w:val="32"/>
          <w:szCs w:val="32"/>
          <w:u w:val="none"/>
          <w:shd w:val="clear" w:color="auto" w:fill="auto"/>
          <w:lang w:val="en-US" w:eastAsia="zh-CN" w:bidi="ar-SA"/>
        </w:rPr>
      </w:pPr>
      <w:r>
        <w:rPr>
          <w:rFonts w:hint="eastAsia" w:ascii="仿宋_GB2312" w:hAnsi="仿宋_GB2312" w:eastAsia="仿宋_GB2312" w:cs="仿宋_GB2312"/>
          <w:color w:val="000000"/>
          <w:spacing w:val="0"/>
          <w:kern w:val="0"/>
          <w:sz w:val="32"/>
          <w:szCs w:val="32"/>
          <w:u w:val="none"/>
          <w:shd w:val="clear" w:color="auto" w:fill="auto"/>
          <w:lang w:val="en-US" w:eastAsia="zh-CN" w:bidi="ar-SA"/>
        </w:rPr>
        <w:t>投资者自</w:t>
      </w:r>
      <w:r>
        <w:rPr>
          <w:rFonts w:hint="eastAsia" w:ascii="仿宋_GB2312" w:hAnsi="Calibri" w:eastAsia="仿宋_GB2312" w:cs="仿宋_GB2312"/>
          <w:color w:val="000000"/>
          <w:spacing w:val="0"/>
          <w:kern w:val="0"/>
          <w:sz w:val="32"/>
          <w:szCs w:val="32"/>
          <w:u w:val="none"/>
          <w:shd w:val="clear" w:color="auto" w:fill="auto"/>
          <w:lang w:val="en-US" w:eastAsia="zh-CN" w:bidi="ar-SA"/>
        </w:rPr>
        <w:t>主经营或合资用于医院、福利院、学校、幼儿园、体育场（馆）、博物馆、图书馆、公园、垃圾处理、污水处理等</w:t>
      </w:r>
      <w:r>
        <w:rPr>
          <w:rFonts w:hint="eastAsia" w:ascii="仿宋_GB2312" w:hAnsi="Calibri" w:eastAsia="仿宋_GB2312" w:cs="仿宋_GB2312"/>
          <w:color w:val="000000"/>
          <w:spacing w:val="-6"/>
          <w:kern w:val="0"/>
          <w:sz w:val="32"/>
          <w:szCs w:val="32"/>
          <w:u w:val="none"/>
          <w:shd w:val="clear" w:color="auto" w:fill="auto"/>
          <w:lang w:val="en-US" w:eastAsia="zh-CN" w:bidi="ar-SA"/>
        </w:rPr>
        <w:t>社会公益性项目，及文化娱乐项目，以固定资产投资认定到位资金。</w:t>
      </w:r>
    </w:p>
    <w:p>
      <w:pPr>
        <w:keepNext w:val="0"/>
        <w:keepLines w:val="0"/>
        <w:pageBreakBefore w:val="0"/>
        <w:widowControl w:val="0"/>
        <w:numPr>
          <w:ilvl w:val="0"/>
          <w:numId w:val="0"/>
        </w:numPr>
        <w:suppressAutoHyphens/>
        <w:kinsoku/>
        <w:wordWrap/>
        <w:overflowPunct/>
        <w:topLinePunct w:val="0"/>
        <w:autoSpaceDE/>
        <w:bidi w:val="0"/>
        <w:adjustRightInd/>
        <w:snapToGrid/>
        <w:spacing w:before="0" w:line="560" w:lineRule="exact"/>
        <w:ind w:firstLine="643" w:firstLineChars="200"/>
        <w:jc w:val="both"/>
        <w:textAlignment w:val="auto"/>
        <w:rPr>
          <w:rFonts w:hint="default" w:ascii="仿宋_GB2312" w:hAnsi="Calibri" w:eastAsia="仿宋_GB2312" w:cs="仿宋_GB2312"/>
          <w:color w:val="000000"/>
          <w:spacing w:val="0"/>
          <w:kern w:val="0"/>
          <w:sz w:val="32"/>
          <w:szCs w:val="32"/>
          <w:u w:val="none"/>
          <w:shd w:val="clear" w:color="auto" w:fill="auto"/>
          <w:lang w:val="en-US" w:eastAsia="zh-CN" w:bidi="ar-SA"/>
        </w:rPr>
      </w:pPr>
      <w:r>
        <w:rPr>
          <w:rFonts w:hint="eastAsia" w:ascii="仿宋_GB2312" w:hAnsi="Calibri" w:eastAsia="仿宋_GB2312" w:cs="仿宋_GB2312"/>
          <w:b/>
          <w:bCs/>
          <w:color w:val="000000"/>
          <w:spacing w:val="0"/>
          <w:kern w:val="0"/>
          <w:sz w:val="32"/>
          <w:szCs w:val="32"/>
          <w:u w:val="none"/>
          <w:shd w:val="clear" w:color="auto" w:fill="auto"/>
          <w:lang w:val="en-US" w:eastAsia="zh-CN" w:bidi="ar-SA"/>
        </w:rPr>
        <w:t>2.金融项目</w:t>
      </w:r>
      <w:r>
        <w:rPr>
          <w:rFonts w:hint="eastAsia" w:ascii="仿宋_GB2312" w:hAnsi="Times New Roman" w:eastAsia="仿宋_GB2312" w:cs="仿宋_GB2312"/>
          <w:b/>
          <w:bCs/>
          <w:color w:val="000000"/>
          <w:spacing w:val="0"/>
          <w:kern w:val="0"/>
          <w:sz w:val="32"/>
          <w:szCs w:val="32"/>
          <w:u w:val="none"/>
          <w:shd w:val="clear" w:color="auto" w:fill="auto"/>
          <w:lang w:val="en-US" w:eastAsia="zh-CN" w:bidi="ar-SA"/>
        </w:rPr>
        <w:t>。</w:t>
      </w:r>
      <w:r>
        <w:rPr>
          <w:rFonts w:hint="eastAsia" w:ascii="仿宋_GB2312" w:hAnsi="Calibri" w:eastAsia="仿宋_GB2312" w:cs="仿宋_GB2312"/>
          <w:color w:val="000000"/>
          <w:spacing w:val="0"/>
          <w:kern w:val="0"/>
          <w:sz w:val="32"/>
          <w:szCs w:val="32"/>
          <w:u w:val="none"/>
          <w:shd w:val="clear" w:color="auto" w:fill="auto"/>
          <w:lang w:val="en-US" w:eastAsia="zh-CN" w:bidi="ar-SA"/>
        </w:rPr>
        <w:t>须提供成立金融机构的批复文件、</w:t>
      </w:r>
      <w:r>
        <w:rPr>
          <w:rFonts w:hint="default" w:ascii="仿宋_GB2312" w:hAnsi="Calibri" w:eastAsia="仿宋_GB2312" w:cs="仿宋_GB2312"/>
          <w:color w:val="000000"/>
          <w:spacing w:val="0"/>
          <w:kern w:val="0"/>
          <w:sz w:val="32"/>
          <w:szCs w:val="32"/>
          <w:u w:val="none"/>
          <w:shd w:val="clear" w:color="auto" w:fill="auto"/>
          <w:lang w:val="en-US" w:eastAsia="zh-CN" w:bidi="ar-SA"/>
        </w:rPr>
        <w:t>债券</w:t>
      </w:r>
      <w:r>
        <w:rPr>
          <w:rFonts w:hint="eastAsia" w:ascii="仿宋_GB2312" w:hAnsi="Calibri" w:eastAsia="仿宋_GB2312" w:cs="仿宋_GB2312"/>
          <w:color w:val="000000"/>
          <w:spacing w:val="0"/>
          <w:kern w:val="0"/>
          <w:sz w:val="32"/>
          <w:szCs w:val="32"/>
          <w:u w:val="none"/>
          <w:shd w:val="clear" w:color="auto" w:fill="auto"/>
          <w:lang w:val="en-US" w:eastAsia="zh-CN" w:bidi="ar-SA"/>
        </w:rPr>
        <w:t>发行公告、上市公司增发公告、融资租赁合同、股权收购协议或有关</w:t>
      </w:r>
      <w:r>
        <w:rPr>
          <w:rFonts w:hint="default" w:ascii="仿宋_GB2312" w:hAnsi="Calibri" w:eastAsia="仿宋_GB2312" w:cs="仿宋_GB2312"/>
          <w:color w:val="000000"/>
          <w:spacing w:val="0"/>
          <w:kern w:val="0"/>
          <w:sz w:val="32"/>
          <w:szCs w:val="32"/>
          <w:u w:val="none"/>
          <w:shd w:val="clear" w:color="auto" w:fill="auto"/>
          <w:lang w:val="en-US" w:eastAsia="zh-CN" w:bidi="ar-SA"/>
        </w:rPr>
        <w:t>文件</w:t>
      </w:r>
      <w:r>
        <w:rPr>
          <w:rFonts w:hint="eastAsia" w:ascii="仿宋_GB2312" w:hAnsi="Calibri" w:eastAsia="仿宋_GB2312" w:cs="仿宋_GB2312"/>
          <w:color w:val="000000"/>
          <w:spacing w:val="0"/>
          <w:kern w:val="0"/>
          <w:sz w:val="32"/>
          <w:szCs w:val="32"/>
          <w:u w:val="none"/>
          <w:shd w:val="clear" w:color="auto" w:fill="auto"/>
          <w:lang w:val="en-US" w:eastAsia="zh-CN" w:bidi="ar-SA"/>
        </w:rPr>
        <w:t>，</w:t>
      </w:r>
      <w:r>
        <w:rPr>
          <w:rFonts w:hint="default" w:ascii="仿宋_GB2312" w:hAnsi="Calibri" w:eastAsia="仿宋_GB2312" w:cs="仿宋_GB2312"/>
          <w:color w:val="000000"/>
          <w:spacing w:val="0"/>
          <w:kern w:val="0"/>
          <w:sz w:val="32"/>
          <w:szCs w:val="32"/>
          <w:u w:val="none"/>
          <w:shd w:val="clear" w:color="auto" w:fill="auto"/>
          <w:lang w:val="en-US" w:eastAsia="zh-CN" w:bidi="ar-SA"/>
        </w:rPr>
        <w:t>按实际募集资金额计算</w:t>
      </w:r>
      <w:r>
        <w:rPr>
          <w:rFonts w:hint="eastAsia" w:ascii="仿宋_GB2312" w:hAnsi="Calibri" w:eastAsia="仿宋_GB2312" w:cs="仿宋_GB2312"/>
          <w:color w:val="000000"/>
          <w:spacing w:val="0"/>
          <w:kern w:val="0"/>
          <w:sz w:val="32"/>
          <w:szCs w:val="32"/>
          <w:u w:val="none"/>
          <w:shd w:val="clear" w:color="auto" w:fill="auto"/>
          <w:lang w:val="en-US" w:eastAsia="zh-CN" w:bidi="ar-SA"/>
        </w:rPr>
        <w:t>（项目到位资金的认定</w:t>
      </w:r>
      <w:r>
        <w:rPr>
          <w:rFonts w:hint="eastAsia" w:ascii="仿宋_GB2312" w:hAnsi="Times New Roman" w:eastAsia="仿宋_GB2312" w:cs="仿宋_GB2312"/>
          <w:color w:val="000000"/>
          <w:spacing w:val="0"/>
          <w:kern w:val="0"/>
          <w:sz w:val="32"/>
          <w:szCs w:val="32"/>
          <w:u w:val="none"/>
          <w:shd w:val="clear" w:color="auto" w:fill="auto"/>
          <w:lang w:val="en-US" w:eastAsia="zh-CN" w:bidi="ar-SA"/>
        </w:rPr>
        <w:t>以</w:t>
      </w:r>
      <w:r>
        <w:rPr>
          <w:rFonts w:hint="eastAsia" w:ascii="仿宋_GB2312" w:hAnsi="Calibri" w:eastAsia="仿宋_GB2312" w:cs="仿宋_GB2312"/>
          <w:color w:val="000000"/>
          <w:spacing w:val="0"/>
          <w:kern w:val="0"/>
          <w:sz w:val="32"/>
          <w:szCs w:val="32"/>
          <w:u w:val="none"/>
          <w:shd w:val="clear" w:color="auto" w:fill="auto"/>
          <w:lang w:val="en-US" w:eastAsia="zh-CN" w:bidi="ar-SA"/>
        </w:rPr>
        <w:t>自治区地方金融监管局认定为准）</w:t>
      </w:r>
      <w:r>
        <w:rPr>
          <w:rFonts w:hint="default" w:ascii="仿宋_GB2312" w:hAnsi="Calibri" w:eastAsia="仿宋_GB2312" w:cs="仿宋_GB2312"/>
          <w:color w:val="000000"/>
          <w:spacing w:val="0"/>
          <w:kern w:val="0"/>
          <w:sz w:val="32"/>
          <w:szCs w:val="32"/>
          <w:u w:val="none"/>
          <w:shd w:val="clear" w:color="auto" w:fill="auto"/>
          <w:lang w:val="en-US" w:eastAsia="zh-CN" w:bidi="ar-SA"/>
        </w:rPr>
        <w:t>。</w:t>
      </w:r>
    </w:p>
    <w:p>
      <w:pPr>
        <w:keepNext w:val="0"/>
        <w:keepLines w:val="0"/>
        <w:pageBreakBefore w:val="0"/>
        <w:widowControl w:val="0"/>
        <w:suppressAutoHyphens/>
        <w:kinsoku/>
        <w:wordWrap/>
        <w:overflowPunct/>
        <w:topLinePunct w:val="0"/>
        <w:autoSpaceDE/>
        <w:autoSpaceDN/>
        <w:bidi w:val="0"/>
        <w:adjustRightInd/>
        <w:snapToGrid/>
        <w:spacing w:before="0" w:line="560" w:lineRule="exact"/>
        <w:ind w:left="0" w:leftChars="0" w:firstLine="643" w:firstLineChars="200"/>
        <w:jc w:val="both"/>
        <w:textAlignment w:val="auto"/>
        <w:rPr>
          <w:rFonts w:hint="eastAsia" w:ascii="仿宋_GB2312" w:hAnsi="Calibri" w:eastAsia="仿宋_GB2312" w:cs="仿宋_GB2312"/>
          <w:color w:val="000000"/>
          <w:spacing w:val="0"/>
          <w:kern w:val="0"/>
          <w:sz w:val="32"/>
          <w:szCs w:val="32"/>
          <w:u w:val="none"/>
          <w:shd w:val="clear" w:color="auto" w:fill="auto"/>
          <w:lang w:val="en-US" w:eastAsia="zh-CN" w:bidi="ar-SA"/>
        </w:rPr>
      </w:pPr>
      <w:r>
        <w:rPr>
          <w:rFonts w:hint="eastAsia" w:ascii="仿宋_GB2312" w:hAnsi="Calibri" w:eastAsia="仿宋_GB2312" w:cs="仿宋_GB2312"/>
          <w:b/>
          <w:bCs/>
          <w:color w:val="000000"/>
          <w:spacing w:val="0"/>
          <w:kern w:val="0"/>
          <w:sz w:val="32"/>
          <w:szCs w:val="32"/>
          <w:u w:val="none"/>
          <w:shd w:val="clear" w:color="auto" w:fill="auto"/>
          <w:lang w:val="en-US" w:eastAsia="zh-CN" w:bidi="ar-SA"/>
        </w:rPr>
        <w:t>3.无形资产项目。</w:t>
      </w:r>
      <w:r>
        <w:rPr>
          <w:rFonts w:hint="eastAsia" w:ascii="仿宋_GB2312" w:hAnsi="Calibri" w:eastAsia="仿宋_GB2312" w:cs="仿宋_GB2312"/>
          <w:color w:val="000000"/>
          <w:spacing w:val="0"/>
          <w:kern w:val="0"/>
          <w:sz w:val="32"/>
          <w:szCs w:val="32"/>
          <w:u w:val="none"/>
          <w:shd w:val="clear" w:color="auto" w:fill="auto"/>
          <w:lang w:val="en-US" w:eastAsia="zh-CN" w:bidi="ar-SA"/>
        </w:rPr>
        <w:t>提供无形资产明细表、合同协议及价值评估证明、摊销分录等</w:t>
      </w:r>
      <w:r>
        <w:rPr>
          <w:rFonts w:hint="eastAsia" w:ascii="仿宋_GB2312" w:hAnsi="Calibri" w:eastAsia="仿宋_GB2312" w:cs="仿宋_GB2312"/>
          <w:strike w:val="0"/>
          <w:dstrike w:val="0"/>
          <w:color w:val="000000"/>
          <w:spacing w:val="0"/>
          <w:kern w:val="0"/>
          <w:sz w:val="32"/>
          <w:szCs w:val="32"/>
          <w:u w:val="none"/>
          <w:shd w:val="clear" w:color="auto" w:fill="auto"/>
          <w:lang w:val="en-US" w:eastAsia="zh-CN" w:bidi="ar-SA"/>
        </w:rPr>
        <w:t>，以上资料至少2项</w:t>
      </w:r>
      <w:r>
        <w:rPr>
          <w:rFonts w:hint="eastAsia" w:ascii="仿宋_GB2312" w:hAnsi="Calibri" w:eastAsia="仿宋_GB2312" w:cs="仿宋_GB2312"/>
          <w:color w:val="000000"/>
          <w:spacing w:val="0"/>
          <w:kern w:val="0"/>
          <w:sz w:val="32"/>
          <w:szCs w:val="32"/>
          <w:u w:val="none"/>
          <w:shd w:val="clear" w:color="auto" w:fill="auto"/>
          <w:lang w:val="en-US" w:eastAsia="zh-CN" w:bidi="ar-SA"/>
        </w:rPr>
        <w:t>。</w:t>
      </w:r>
    </w:p>
    <w:p>
      <w:pPr>
        <w:keepNext w:val="0"/>
        <w:keepLines w:val="0"/>
        <w:pageBreakBefore w:val="0"/>
        <w:widowControl w:val="0"/>
        <w:suppressAutoHyphens/>
        <w:kinsoku/>
        <w:wordWrap/>
        <w:overflowPunct/>
        <w:topLinePunct w:val="0"/>
        <w:autoSpaceDE/>
        <w:autoSpaceDN/>
        <w:bidi w:val="0"/>
        <w:adjustRightInd/>
        <w:snapToGrid/>
        <w:spacing w:before="0" w:line="560" w:lineRule="exact"/>
        <w:ind w:left="0" w:leftChars="0" w:firstLine="643" w:firstLineChars="200"/>
        <w:jc w:val="both"/>
        <w:textAlignment w:val="auto"/>
        <w:rPr>
          <w:rFonts w:hint="default" w:ascii="仿宋_GB2312" w:hAnsi="Calibri" w:eastAsia="仿宋_GB2312" w:cs="仿宋_GB2312"/>
          <w:color w:val="FF0000"/>
          <w:spacing w:val="0"/>
          <w:kern w:val="0"/>
          <w:sz w:val="32"/>
          <w:szCs w:val="32"/>
          <w:u w:val="none"/>
          <w:shd w:val="clear" w:color="auto" w:fill="auto"/>
          <w:lang w:val="en-US" w:eastAsia="zh-CN" w:bidi="ar-SA"/>
        </w:rPr>
      </w:pPr>
      <w:r>
        <w:rPr>
          <w:rFonts w:hint="eastAsia" w:ascii="仿宋_GB2312" w:hAnsi="Calibri" w:eastAsia="仿宋_GB2312" w:cs="仿宋_GB2312"/>
          <w:b/>
          <w:bCs/>
          <w:color w:val="000000"/>
          <w:spacing w:val="0"/>
          <w:kern w:val="0"/>
          <w:sz w:val="32"/>
          <w:szCs w:val="32"/>
          <w:u w:val="none"/>
          <w:shd w:val="clear" w:color="auto" w:fill="auto"/>
          <w:lang w:val="en-US" w:eastAsia="zh-CN" w:bidi="ar-SA"/>
        </w:rPr>
        <w:t>4.注册资本金项目。</w:t>
      </w:r>
      <w:r>
        <w:rPr>
          <w:rFonts w:hint="eastAsia" w:ascii="仿宋_GB2312" w:hAnsi="Calibri" w:eastAsia="仿宋_GB2312" w:cs="仿宋_GB2312"/>
          <w:color w:val="000000"/>
          <w:spacing w:val="0"/>
          <w:kern w:val="0"/>
          <w:sz w:val="32"/>
          <w:szCs w:val="32"/>
          <w:u w:val="none"/>
          <w:shd w:val="clear" w:color="auto" w:fill="auto"/>
          <w:lang w:val="en-US" w:eastAsia="zh-CN" w:bidi="ar-SA"/>
        </w:rPr>
        <w:t>须以实际缴纳为准，其他金额的确认以企业银行流水账目、贷（借）款合同、资金投入证明、纳税证明、房屋租赁合同或有关文件，</w:t>
      </w:r>
      <w:r>
        <w:rPr>
          <w:rFonts w:hint="default" w:ascii="仿宋_GB2312" w:hAnsi="Calibri" w:eastAsia="仿宋_GB2312" w:cs="仿宋_GB2312"/>
          <w:color w:val="000000"/>
          <w:spacing w:val="0"/>
          <w:kern w:val="0"/>
          <w:sz w:val="32"/>
          <w:szCs w:val="32"/>
          <w:u w:val="none"/>
          <w:shd w:val="clear" w:color="auto" w:fill="auto"/>
          <w:lang w:val="en-US" w:eastAsia="zh-CN" w:bidi="ar-SA"/>
        </w:rPr>
        <w:t>进行对比核算</w:t>
      </w:r>
      <w:r>
        <w:rPr>
          <w:rFonts w:hint="eastAsia" w:ascii="仿宋_GB2312" w:hAnsi="Calibri" w:eastAsia="仿宋_GB2312" w:cs="仿宋_GB2312"/>
          <w:color w:val="000000"/>
          <w:spacing w:val="0"/>
          <w:kern w:val="0"/>
          <w:sz w:val="32"/>
          <w:szCs w:val="32"/>
          <w:u w:val="none"/>
          <w:shd w:val="clear" w:color="auto" w:fill="auto"/>
          <w:lang w:val="en-US" w:eastAsia="zh-CN" w:bidi="ar-SA"/>
        </w:rPr>
        <w:t>后</w:t>
      </w:r>
      <w:r>
        <w:rPr>
          <w:rFonts w:hint="default" w:ascii="仿宋_GB2312" w:hAnsi="Calibri" w:eastAsia="仿宋_GB2312" w:cs="仿宋_GB2312"/>
          <w:color w:val="000000"/>
          <w:spacing w:val="0"/>
          <w:kern w:val="0"/>
          <w:sz w:val="32"/>
          <w:szCs w:val="32"/>
          <w:u w:val="none"/>
          <w:shd w:val="clear" w:color="auto" w:fill="auto"/>
          <w:lang w:val="en-US" w:eastAsia="zh-CN" w:bidi="ar-SA"/>
        </w:rPr>
        <w:t>按实际</w:t>
      </w:r>
      <w:r>
        <w:rPr>
          <w:rFonts w:hint="eastAsia" w:ascii="仿宋_GB2312" w:hAnsi="Calibri" w:eastAsia="仿宋_GB2312" w:cs="仿宋_GB2312"/>
          <w:color w:val="000000"/>
          <w:spacing w:val="0"/>
          <w:kern w:val="0"/>
          <w:sz w:val="32"/>
          <w:szCs w:val="32"/>
          <w:u w:val="none"/>
          <w:shd w:val="clear" w:color="auto" w:fill="auto"/>
          <w:lang w:val="en-US" w:eastAsia="zh-CN" w:bidi="ar-SA"/>
        </w:rPr>
        <w:t>到位资金额</w:t>
      </w:r>
      <w:r>
        <w:rPr>
          <w:rFonts w:hint="default" w:ascii="仿宋_GB2312" w:hAnsi="Calibri" w:eastAsia="仿宋_GB2312" w:cs="仿宋_GB2312"/>
          <w:color w:val="000000"/>
          <w:spacing w:val="0"/>
          <w:kern w:val="0"/>
          <w:sz w:val="32"/>
          <w:szCs w:val="32"/>
          <w:u w:val="none"/>
          <w:shd w:val="clear" w:color="auto" w:fill="auto"/>
          <w:lang w:val="en-US" w:eastAsia="zh-CN" w:bidi="ar-SA"/>
        </w:rPr>
        <w:t>计算。</w:t>
      </w:r>
      <w:r>
        <w:rPr>
          <w:rFonts w:hint="eastAsia" w:ascii="仿宋_GB2312" w:hAnsi="Calibri" w:eastAsia="仿宋_GB2312" w:cs="仿宋_GB2312"/>
          <w:color w:val="000000"/>
          <w:spacing w:val="0"/>
          <w:kern w:val="0"/>
          <w:sz w:val="32"/>
          <w:szCs w:val="32"/>
          <w:u w:val="none"/>
          <w:shd w:val="clear" w:color="auto" w:fill="auto"/>
          <w:lang w:val="en-US" w:eastAsia="zh-CN" w:bidi="ar-SA"/>
        </w:rPr>
        <w:t>（以上资料至少提供2项，项目到位资金的认定以自治区地方金融监管局认定为准）</w:t>
      </w:r>
      <w:r>
        <w:rPr>
          <w:rFonts w:hint="default" w:ascii="仿宋_GB2312" w:hAnsi="Calibri" w:eastAsia="仿宋_GB2312" w:cs="仿宋_GB2312"/>
          <w:color w:val="000000"/>
          <w:spacing w:val="0"/>
          <w:kern w:val="0"/>
          <w:sz w:val="32"/>
          <w:szCs w:val="32"/>
          <w:u w:val="none"/>
          <w:shd w:val="clear" w:color="auto" w:fill="auto"/>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2"/>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(二)以上各类项目，如招商引资企业能够提供由专业会计事务所认定且加盖公章的资产负债表，可不再提供其它材料。</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w:t>
      </w:r>
      <w:r>
        <w:rPr>
          <w:rFonts w:hint="default"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eastAsia="zh-CN"/>
        </w:rPr>
        <w:t>三</w:t>
      </w:r>
      <w:r>
        <w:rPr>
          <w:rFonts w:hint="default" w:ascii="仿宋_GB2312" w:hAnsi="仿宋_GB2312" w:eastAsia="仿宋_GB2312" w:cs="仿宋_GB2312"/>
          <w:color w:val="000000"/>
          <w:sz w:val="32"/>
          <w:szCs w:val="32"/>
          <w:lang w:val="en-US" w:eastAsia="zh-CN"/>
        </w:rPr>
        <w:t>）合资、合作项目</w:t>
      </w:r>
      <w:r>
        <w:rPr>
          <w:rFonts w:hint="eastAsia" w:ascii="仿宋_GB2312" w:hAnsi="仿宋_GB2312" w:eastAsia="仿宋_GB2312" w:cs="仿宋_GB2312"/>
          <w:color w:val="000000"/>
          <w:sz w:val="32"/>
          <w:szCs w:val="32"/>
          <w:lang w:val="en-US" w:eastAsia="zh-CN"/>
        </w:rPr>
        <w:t>实际</w:t>
      </w:r>
      <w:r>
        <w:rPr>
          <w:rFonts w:hint="default" w:ascii="仿宋_GB2312" w:hAnsi="仿宋_GB2312" w:eastAsia="仿宋_GB2312" w:cs="仿宋_GB2312"/>
          <w:color w:val="000000"/>
          <w:sz w:val="32"/>
          <w:szCs w:val="32"/>
          <w:lang w:val="en-US" w:eastAsia="zh-CN"/>
        </w:rPr>
        <w:t>到位资金认定按照</w:t>
      </w:r>
      <w:r>
        <w:rPr>
          <w:rFonts w:hint="eastAsia" w:ascii="仿宋_GB2312" w:hAnsi="仿宋_GB2312" w:eastAsia="仿宋_GB2312" w:cs="仿宋_GB2312"/>
          <w:color w:val="000000"/>
          <w:sz w:val="32"/>
          <w:szCs w:val="32"/>
          <w:lang w:val="en-US" w:eastAsia="zh-CN"/>
        </w:rPr>
        <w:t>区</w:t>
      </w:r>
      <w:r>
        <w:rPr>
          <w:rFonts w:hint="default" w:ascii="仿宋_GB2312" w:hAnsi="仿宋_GB2312" w:eastAsia="仿宋_GB2312" w:cs="仿宋_GB2312"/>
          <w:color w:val="000000"/>
          <w:sz w:val="32"/>
          <w:szCs w:val="32"/>
          <w:lang w:val="en-US" w:eastAsia="zh-CN"/>
        </w:rPr>
        <w:t>外投资</w:t>
      </w:r>
      <w:r>
        <w:rPr>
          <w:rFonts w:hint="eastAsia" w:ascii="仿宋_GB2312" w:hAnsi="仿宋_GB2312" w:eastAsia="仿宋_GB2312" w:cs="仿宋_GB2312"/>
          <w:color w:val="000000"/>
          <w:sz w:val="32"/>
          <w:szCs w:val="32"/>
          <w:lang w:val="en-US" w:eastAsia="zh-CN"/>
        </w:rPr>
        <w:t>方</w:t>
      </w:r>
      <w:r>
        <w:rPr>
          <w:rFonts w:hint="default" w:ascii="仿宋_GB2312" w:hAnsi="仿宋_GB2312" w:eastAsia="仿宋_GB2312" w:cs="仿宋_GB2312"/>
          <w:color w:val="000000"/>
          <w:sz w:val="32"/>
          <w:szCs w:val="32"/>
          <w:lang w:val="en-US" w:eastAsia="zh-CN"/>
        </w:rPr>
        <w:t>的投资比例确认。</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w:t>
      </w:r>
      <w:r>
        <w:rPr>
          <w:rFonts w:hint="default"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eastAsia="zh-CN"/>
        </w:rPr>
        <w:t>四</w:t>
      </w:r>
      <w:r>
        <w:rPr>
          <w:rFonts w:hint="default" w:ascii="仿宋_GB2312" w:hAnsi="仿宋_GB2312" w:eastAsia="仿宋_GB2312" w:cs="仿宋_GB2312"/>
          <w:color w:val="000000"/>
          <w:sz w:val="32"/>
          <w:szCs w:val="32"/>
          <w:lang w:val="en-US" w:eastAsia="zh-CN"/>
        </w:rPr>
        <w:t xml:space="preserve">）引进的高新技术企业，按照《自治区党委、人民政府关于推进创新驱动战略的实施意见》（宁党发〔2017〕26号）文件规定的“对引进国家高新技术企业、国家科技型中小企业和省级高新技术企业，分别按其投资额的4倍、3倍和2倍计算招商引资任务额度”执行。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 xml:space="preserve">   </w:t>
      </w:r>
      <w:r>
        <w:rPr>
          <w:rFonts w:hint="eastAsia" w:ascii="黑体" w:hAnsi="黑体" w:eastAsia="黑体" w:cs="黑体"/>
          <w:b w:val="0"/>
          <w:bCs w:val="0"/>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五）由两个单位共同引进的新建项目，原则上第一引进单位按到位资金的60%给予认定，第二引进单位按到位资金的40%给予认定；由三个单位共同引进的项目，原则上第一引进单位按到位资金的50%给予认定，第二引进单位按到位资金的30%给予认定，第三引进单位按到位资金的20%给予认定。对于投资额30亿元以上的重大项目，由考评组集体研究，提出认定方案，提请政府分管领导决策。</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outlineLvl w:val="9"/>
        <w:rPr>
          <w:rFonts w:hint="eastAsia" w:ascii="仿宋_GB2312" w:eastAsia="仿宋_GB2312"/>
          <w:color w:val="000000"/>
          <w:sz w:val="32"/>
          <w:szCs w:val="32"/>
          <w:lang w:val="en-US" w:eastAsia="zh-CN"/>
        </w:rPr>
      </w:pPr>
      <w:r>
        <w:rPr>
          <w:rFonts w:hint="eastAsia" w:ascii="黑体" w:hAnsi="黑体" w:eastAsia="黑体" w:cs="黑体"/>
          <w:color w:val="auto"/>
          <w:spacing w:val="-8"/>
          <w:sz w:val="32"/>
          <w:szCs w:val="32"/>
          <w:lang w:eastAsia="zh-CN"/>
        </w:rPr>
        <w:t>第六章</w:t>
      </w:r>
      <w:r>
        <w:rPr>
          <w:rFonts w:hint="eastAsia" w:ascii="黑体" w:hAnsi="黑体" w:eastAsia="黑体" w:cs="黑体"/>
          <w:color w:val="auto"/>
          <w:spacing w:val="-8"/>
          <w:sz w:val="32"/>
          <w:szCs w:val="32"/>
          <w:lang w:val="en-US" w:eastAsia="zh-CN"/>
        </w:rPr>
        <w:t xml:space="preserve">  </w:t>
      </w:r>
      <w:r>
        <w:rPr>
          <w:rFonts w:hint="eastAsia" w:ascii="黑体" w:hAnsi="黑体" w:eastAsia="黑体" w:cs="黑体"/>
          <w:color w:val="auto"/>
          <w:spacing w:val="-8"/>
          <w:sz w:val="32"/>
          <w:szCs w:val="32"/>
          <w:lang w:eastAsia="zh-CN"/>
        </w:rPr>
        <w:t>附则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lang w:val="en-US" w:eastAsia="zh-CN"/>
        </w:rPr>
        <w:t xml:space="preserve">    </w:t>
      </w:r>
      <w:r>
        <w:rPr>
          <w:rFonts w:hint="eastAsia" w:ascii="黑体" w:hAnsi="黑体" w:eastAsia="黑体" w:cs="黑体"/>
          <w:color w:val="000000"/>
          <w:sz w:val="32"/>
          <w:szCs w:val="32"/>
          <w:lang w:val="en-US" w:eastAsia="zh-CN"/>
        </w:rPr>
        <w:t xml:space="preserve">第十三条  </w:t>
      </w:r>
      <w:r>
        <w:rPr>
          <w:rFonts w:hint="eastAsia" w:ascii="仿宋_GB2312" w:hAnsi="仿宋_GB2312" w:eastAsia="仿宋_GB2312" w:cs="仿宋_GB2312"/>
          <w:color w:val="000000"/>
          <w:sz w:val="32"/>
          <w:szCs w:val="32"/>
          <w:lang w:eastAsia="zh-CN"/>
        </w:rPr>
        <w:t>本办法由县考评组办公室负责解释。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w:t>
      </w:r>
      <w:r>
        <w:rPr>
          <w:rFonts w:hint="eastAsia" w:ascii="黑体" w:hAnsi="黑体" w:eastAsia="黑体" w:cs="黑体"/>
          <w:color w:val="000000"/>
          <w:sz w:val="32"/>
          <w:szCs w:val="32"/>
          <w:lang w:val="en-US" w:eastAsia="zh-CN"/>
        </w:rPr>
        <w:t>第十四条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本办法自发布之日起执行</w:t>
      </w:r>
      <w:r>
        <w:rPr>
          <w:rFonts w:hint="eastAsia" w:ascii="仿宋_GB2312" w:hAnsi="仿宋_GB2312" w:eastAsia="仿宋_GB2312" w:cs="仿宋_GB2312"/>
          <w:color w:val="000000"/>
          <w:sz w:val="32"/>
          <w:szCs w:val="32"/>
          <w:lang w:eastAsia="zh-CN"/>
        </w:rPr>
        <w:t>，有效期两年。</w:t>
      </w:r>
      <w:r>
        <w:rPr>
          <w:rFonts w:hint="eastAsia" w:ascii="仿宋_GB2312" w:hAnsi="仿宋_GB2312" w:eastAsia="仿宋_GB2312" w:cs="仿宋_GB2312"/>
          <w:color w:val="000000"/>
          <w:sz w:val="32"/>
          <w:szCs w:val="32"/>
        </w:rPr>
        <w:t>办法实施中，自治区、石嘴山市有新规定的，从其规定</w:t>
      </w:r>
      <w:r>
        <w:rPr>
          <w:rFonts w:hint="eastAsia" w:ascii="仿宋_GB2312" w:hAnsi="仿宋_GB2312" w:eastAsia="仿宋_GB2312" w:cs="仿宋_GB2312"/>
          <w:color w:val="000000"/>
          <w:sz w:val="32"/>
          <w:szCs w:val="32"/>
          <w:lang w:eastAsia="zh-CN"/>
        </w:rPr>
        <w:t>，原</w:t>
      </w:r>
      <w:r>
        <w:rPr>
          <w:rFonts w:hint="eastAsia" w:ascii="仿宋_GB2312" w:hAnsi="仿宋_GB2312" w:eastAsia="仿宋_GB2312" w:cs="仿宋_GB2312"/>
          <w:color w:val="000000"/>
          <w:sz w:val="32"/>
          <w:szCs w:val="32"/>
          <w:lang w:val="en-US" w:eastAsia="zh-CN"/>
        </w:rPr>
        <w:t>2022年印发的《2022年平罗县招商引资工作考评办法（试行）讨论稿》同时废止。</w:t>
      </w:r>
    </w:p>
    <w:p/>
    <w:sectPr>
      <w:pgSz w:w="11906" w:h="16838"/>
      <w:pgMar w:top="2154" w:right="1587"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script"/>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EF3FBD"/>
    <w:rsid w:val="16307929"/>
    <w:rsid w:val="39EF3FBD"/>
    <w:rsid w:val="6C5E07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Default"/>
    <w:next w:val="1"/>
    <w:qFormat/>
    <w:uiPriority w:val="99"/>
    <w:pPr>
      <w:widowControl w:val="0"/>
      <w:autoSpaceDE w:val="0"/>
      <w:autoSpaceDN w:val="0"/>
      <w:adjustRightInd w:val="0"/>
    </w:pPr>
    <w:rPr>
      <w:rFonts w:ascii="黑体" w:hAnsi="黑体" w:eastAsia="宋体" w:cs="黑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2023-11-09T06:18:00Z</dcterms:created>
  <dc:creator>Administrator</dc:creator>
  <cp:lastModifiedBy>Administrator</cp:lastModifiedBy>
  <dcterms:modified xsi:type="dcterms:W3CDTF">2023-11-09T06:19:43Z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31984C1A36F34FA1835B43622EB04A31</vt:lpwstr>
  </property>
</Properties>
</file>