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CE239">
      <w:pPr>
        <w:keepNext w:val="0"/>
        <w:keepLines w:val="0"/>
        <w:pageBreakBefore w:val="0"/>
        <w:widowControl w:val="0"/>
        <w:kinsoku/>
        <w:wordWrap/>
        <w:overflowPunct/>
        <w:topLinePunct w:val="0"/>
        <w:autoSpaceDE/>
        <w:autoSpaceDN/>
        <w:bidi w:val="0"/>
        <w:adjustRightInd w:val="0"/>
        <w:snapToGrid w:val="0"/>
        <w:spacing w:before="0" w:beforeLines="0" w:after="0" w:afterLines="0" w:line="660" w:lineRule="exact"/>
        <w:ind w:left="0" w:leftChars="0" w:right="0" w:rightChars="0" w:firstLine="0" w:firstLineChars="0"/>
        <w:jc w:val="center"/>
        <w:textAlignment w:val="auto"/>
        <w:outlineLvl w:val="9"/>
        <w:rPr>
          <w:rFonts w:hint="eastAsia" w:ascii="方正小标宋简体" w:eastAsia="方正小标宋简体"/>
          <w:color w:val="auto"/>
          <w:sz w:val="44"/>
          <w:szCs w:val="44"/>
          <w:lang w:eastAsia="zh-CN"/>
        </w:rPr>
      </w:pPr>
      <w:bookmarkStart w:id="0" w:name="_GoBack"/>
      <w:r>
        <w:rPr>
          <w:rFonts w:hint="eastAsia" w:ascii="方正小标宋简体" w:eastAsia="方正小标宋简体"/>
          <w:color w:val="auto"/>
          <w:sz w:val="44"/>
          <w:szCs w:val="44"/>
        </w:rPr>
        <w:t>平罗县</w:t>
      </w:r>
      <w:r>
        <w:rPr>
          <w:rFonts w:hint="eastAsia" w:ascii="方正小标宋简体" w:eastAsia="方正小标宋简体"/>
          <w:color w:val="auto"/>
          <w:sz w:val="44"/>
          <w:szCs w:val="44"/>
          <w:lang w:val="en-US" w:eastAsia="zh-CN"/>
        </w:rPr>
        <w:t>2024年</w:t>
      </w:r>
      <w:r>
        <w:rPr>
          <w:rFonts w:hint="eastAsia" w:ascii="方正小标宋简体" w:eastAsia="方正小标宋简体"/>
          <w:color w:val="auto"/>
          <w:sz w:val="44"/>
          <w:szCs w:val="44"/>
        </w:rPr>
        <w:t>商贸领域开展</w:t>
      </w:r>
      <w:r>
        <w:rPr>
          <w:rFonts w:hint="eastAsia" w:ascii="方正小标宋简体" w:eastAsia="方正小标宋简体"/>
          <w:color w:val="auto"/>
          <w:sz w:val="44"/>
          <w:szCs w:val="44"/>
          <w:lang w:eastAsia="zh-CN"/>
        </w:rPr>
        <w:t>非法集资等</w:t>
      </w:r>
    </w:p>
    <w:p w14:paraId="78568305">
      <w:pPr>
        <w:keepNext w:val="0"/>
        <w:keepLines w:val="0"/>
        <w:pageBreakBefore w:val="0"/>
        <w:widowControl w:val="0"/>
        <w:kinsoku/>
        <w:wordWrap/>
        <w:overflowPunct/>
        <w:topLinePunct w:val="0"/>
        <w:autoSpaceDE/>
        <w:autoSpaceDN/>
        <w:bidi w:val="0"/>
        <w:adjustRightInd w:val="0"/>
        <w:snapToGrid w:val="0"/>
        <w:spacing w:before="0" w:beforeLines="0" w:after="0" w:afterLines="0" w:line="660" w:lineRule="exact"/>
        <w:ind w:left="0" w:leftChars="0" w:right="0" w:rightChars="0" w:firstLine="0" w:firstLineChars="0"/>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lang w:eastAsia="zh-CN"/>
        </w:rPr>
        <w:t>金融乱象排查整治工作方案</w:t>
      </w:r>
    </w:p>
    <w:bookmarkEnd w:id="0"/>
    <w:p w14:paraId="6D799102">
      <w:pPr>
        <w:rPr>
          <w:rFonts w:hint="eastAsia"/>
        </w:rPr>
      </w:pPr>
    </w:p>
    <w:p w14:paraId="607F6A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仿宋_GB2312" w:hAnsi="仿宋_GB2312" w:eastAsia="仿宋_GB2312" w:cs="仿宋_GB2312"/>
          <w:sz w:val="32"/>
          <w:szCs w:val="32"/>
          <w:lang w:val="en-US" w:eastAsia="zh-CN"/>
        </w:rPr>
      </w:pPr>
      <w:r>
        <w:rPr>
          <w:rFonts w:hint="eastAsia" w:ascii="仿宋-GB2312" w:hAnsi="仿宋-GB2312" w:eastAsia="仿宋-GB2312" w:cs="仿宋-GB2312"/>
          <w:sz w:val="32"/>
          <w:szCs w:val="32"/>
          <w:lang w:val="en-US" w:eastAsia="zh-CN"/>
        </w:rPr>
        <w:t>为深入贯彻落实《防范和处置非法集资条例》相关规定，锚定学习贯彻习近平新时代中国特色社会主义思想主题教育目标任务，加强对养老领域非法集资、金融放贷领域突出问题等金融风险防范和处置工作，全面摸排风险底数，加大商贸领域排查力度，维护人民群众合法权益，净化平罗县金融生态环境，特制定如下工作方案。</w:t>
      </w:r>
    </w:p>
    <w:p w14:paraId="0911F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一、工作原则</w:t>
      </w:r>
    </w:p>
    <w:p w14:paraId="172D01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各科室、各商贸企业要切实履行各自职责，掌握和了解非法集资可能发生风险的性质、规模和工作的薄弱环节，</w:t>
      </w:r>
      <w:r>
        <w:rPr>
          <w:rFonts w:hint="eastAsia" w:ascii="仿宋-GB2312" w:hAnsi="仿宋-GB2312" w:eastAsia="仿宋-GB2312" w:cs="仿宋-GB2312"/>
          <w:spacing w:val="0"/>
          <w:kern w:val="2"/>
          <w:sz w:val="32"/>
          <w:szCs w:val="32"/>
          <w:lang w:val="en-US" w:eastAsia="zh-CN" w:bidi="ar-SA"/>
        </w:rPr>
        <w:t>将非法集资排查整治与日常检查、行业自律等有机结合，</w:t>
      </w:r>
      <w:r>
        <w:rPr>
          <w:rFonts w:hint="eastAsia" w:ascii="仿宋_GB2312" w:hAnsi="仿宋_GB2312" w:eastAsia="仿宋_GB2312" w:cs="仿宋_GB2312"/>
          <w:sz w:val="32"/>
          <w:szCs w:val="32"/>
          <w:lang w:eastAsia="zh-CN"/>
        </w:rPr>
        <w:t>确保</w:t>
      </w:r>
      <w:r>
        <w:rPr>
          <w:rFonts w:hint="eastAsia" w:ascii="仿宋-GB2312" w:hAnsi="仿宋-GB2312" w:eastAsia="仿宋-GB2312" w:cs="仿宋-GB2312"/>
          <w:spacing w:val="0"/>
          <w:kern w:val="2"/>
          <w:sz w:val="32"/>
          <w:szCs w:val="32"/>
          <w:lang w:val="en-US" w:eastAsia="zh-CN" w:bidi="ar-SA"/>
        </w:rPr>
        <w:t>既要提升风险发现能力，做到早发现、早识别、早预警；又要理顺处置机制，坚持行政处置和刑事打击并重并举、打早打小，同步化解非法集资与涉稳风险。通过部门协作，严防由非法集资引发的区域性风险，切实维护人民群众财产安全，提升系统防范、源头化解水平。</w:t>
      </w:r>
    </w:p>
    <w:p w14:paraId="3695CC6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二、整治内容</w:t>
      </w:r>
    </w:p>
    <w:p w14:paraId="4A05A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仿宋-GB2312" w:eastAsia="仿宋-GB2312" w:cs="仿宋-GB2312"/>
          <w:b w:val="0"/>
          <w:kern w:val="2"/>
          <w:sz w:val="32"/>
          <w:szCs w:val="32"/>
          <w:lang w:val="en-US" w:eastAsia="zh-CN" w:bidi="ar-SA"/>
        </w:rPr>
      </w:pPr>
      <w:r>
        <w:rPr>
          <w:rFonts w:hint="eastAsia" w:ascii="仿宋-GB2312" w:hAnsi="仿宋-GB2312" w:eastAsia="仿宋-GB2312" w:cs="仿宋-GB2312"/>
          <w:spacing w:val="0"/>
          <w:kern w:val="2"/>
          <w:sz w:val="32"/>
          <w:szCs w:val="32"/>
          <w:lang w:val="en-US" w:eastAsia="zh-CN" w:bidi="ar-SA"/>
        </w:rPr>
        <w:t>重点查处全县商贸领域、电子商务、零售业等行业企业及关联企业，以及打着上述企业或业务旗号，发布融资类广告资讯信息、实施募集资金行为的主体；商贸流通领域企业</w:t>
      </w:r>
      <w:r>
        <w:rPr>
          <w:rFonts w:hint="eastAsia" w:ascii="仿宋-GB2312" w:hAnsi="仿宋-GB2312" w:eastAsia="仿宋-GB2312" w:cs="仿宋-GB2312"/>
          <w:sz w:val="32"/>
          <w:szCs w:val="32"/>
        </w:rPr>
        <w:t>以报刊杂志、广播电视、网络媒体及传单、手机短信等方式涉嫌发布非法集资广告资讯等</w:t>
      </w:r>
      <w:r>
        <w:rPr>
          <w:rFonts w:hint="eastAsia" w:ascii="仿宋-GB2312" w:hAnsi="仿宋-GB2312" w:eastAsia="仿宋-GB2312" w:cs="仿宋-GB2312"/>
          <w:sz w:val="32"/>
          <w:szCs w:val="32"/>
          <w:lang w:eastAsia="zh-CN"/>
        </w:rPr>
        <w:t>；商贸流通领域企业</w:t>
      </w:r>
      <w:r>
        <w:rPr>
          <w:rFonts w:hint="eastAsia" w:ascii="仿宋_GB2312" w:hAnsi="仿宋_GB2312" w:eastAsia="仿宋_GB2312" w:cs="仿宋_GB2312"/>
          <w:sz w:val="32"/>
          <w:szCs w:val="32"/>
          <w:shd w:val="clear" w:color="auto" w:fill="FFFFFF"/>
          <w:lang w:eastAsia="zh-CN"/>
        </w:rPr>
        <w:t>存在从业人员参与非法集资行为等。重点排查名称或经营范围中含有“金融”“投资”“理财”“网络科技”“商务咨询”“资产管理”“信息咨询”“合作社”等字样的企业。</w:t>
      </w:r>
    </w:p>
    <w:p w14:paraId="51067B9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shd w:val="clear" w:color="auto" w:fill="FFFFFF"/>
        </w:rPr>
        <w:t>、</w:t>
      </w:r>
      <w:r>
        <w:rPr>
          <w:rFonts w:hint="eastAsia" w:ascii="黑体" w:hAnsi="黑体" w:eastAsia="黑体" w:cs="黑体"/>
          <w:sz w:val="32"/>
          <w:szCs w:val="32"/>
          <w:lang w:eastAsia="zh-CN"/>
        </w:rPr>
        <w:t>阶段安排</w:t>
      </w:r>
    </w:p>
    <w:p w14:paraId="3E799A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GB2312" w:hAnsi="仿宋-GB2312" w:eastAsia="仿宋-GB2312" w:cs="仿宋-GB2312"/>
          <w:kern w:val="2"/>
          <w:sz w:val="32"/>
          <w:szCs w:val="32"/>
          <w:lang w:eastAsia="zh-CN"/>
        </w:rPr>
      </w:pPr>
      <w:r>
        <w:rPr>
          <w:rFonts w:hint="eastAsia" w:ascii="楷体-GB13000" w:hAnsi="楷体-GB13000" w:eastAsia="楷体-GB13000" w:cs="楷体-GB13000"/>
          <w:b/>
          <w:bCs/>
          <w:color w:val="000000"/>
          <w:kern w:val="2"/>
          <w:sz w:val="32"/>
          <w:szCs w:val="24"/>
          <w:lang w:val="en-US" w:eastAsia="zh-CN" w:bidi="ar-SA"/>
        </w:rPr>
        <w:t>（一）调研部署，工作准备阶段（5月10日前）。</w:t>
      </w:r>
      <w:r>
        <w:rPr>
          <w:rFonts w:hint="eastAsia" w:ascii="仿宋_GB2312" w:hAnsi="仿宋_GB2312" w:eastAsia="仿宋_GB2312" w:cs="仿宋_GB2312"/>
          <w:sz w:val="32"/>
          <w:szCs w:val="32"/>
          <w:shd w:val="clear" w:color="auto" w:fill="FFFFFF"/>
          <w:lang w:val="en-US" w:eastAsia="zh-CN"/>
        </w:rPr>
        <w:t>商贸企业结合工作实际情况</w:t>
      </w:r>
      <w:r>
        <w:rPr>
          <w:rFonts w:hint="eastAsia" w:ascii="仿宋-GB2312" w:hAnsi="仿宋-GB2312" w:eastAsia="仿宋-GB2312" w:cs="仿宋-GB2312"/>
          <w:sz w:val="32"/>
          <w:szCs w:val="32"/>
        </w:rPr>
        <w:t>细化措施、明确任务，</w:t>
      </w:r>
      <w:r>
        <w:rPr>
          <w:rFonts w:hint="eastAsia" w:ascii="仿宋-GB2312" w:hAnsi="仿宋-GB2312" w:eastAsia="仿宋-GB2312" w:cs="仿宋-GB2312"/>
          <w:sz w:val="32"/>
          <w:szCs w:val="32"/>
          <w:lang w:eastAsia="zh-CN"/>
        </w:rPr>
        <w:t>营造打击非法集资的浓厚氛围，并全面开展自查，对排查出的问题，及时上报县商务局。</w:t>
      </w:r>
    </w:p>
    <w:p w14:paraId="785CD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GB2312" w:hAnsi="仿宋-GB2312" w:eastAsia="仿宋-GB2312" w:cs="仿宋-GB2312"/>
          <w:kern w:val="2"/>
          <w:sz w:val="32"/>
          <w:szCs w:val="32"/>
          <w:lang w:eastAsia="zh-CN"/>
        </w:rPr>
      </w:pPr>
      <w:r>
        <w:rPr>
          <w:rFonts w:hint="eastAsia" w:ascii="楷体-GB13000" w:hAnsi="楷体-GB13000" w:eastAsia="楷体-GB13000" w:cs="楷体-GB13000"/>
          <w:b/>
          <w:bCs/>
          <w:color w:val="000000"/>
          <w:kern w:val="2"/>
          <w:sz w:val="32"/>
          <w:szCs w:val="24"/>
          <w:lang w:val="en-US" w:eastAsia="zh-CN" w:bidi="ar-SA"/>
        </w:rPr>
        <w:t>（二）摸底排查，集中整治阶段（5月15日-10月）。</w:t>
      </w:r>
      <w:r>
        <w:rPr>
          <w:rFonts w:hint="eastAsia" w:ascii="仿宋_GB2312" w:hAnsi="仿宋_GB2312" w:eastAsia="仿宋_GB2312" w:cs="仿宋_GB2312"/>
          <w:sz w:val="32"/>
          <w:szCs w:val="32"/>
          <w:shd w:val="clear" w:color="auto" w:fill="FFFFFF"/>
          <w:lang w:val="en-US" w:eastAsia="zh-CN"/>
        </w:rPr>
        <w:t>我局各科室按照不同的行业职责划分，通过日常排查、专项排查等多种监测排查手段，</w:t>
      </w:r>
      <w:r>
        <w:rPr>
          <w:rFonts w:hint="eastAsia" w:ascii="仿宋-GB2312" w:hAnsi="仿宋-GB2312" w:eastAsia="仿宋-GB2312" w:cs="仿宋-GB2312"/>
          <w:b w:val="0"/>
          <w:kern w:val="2"/>
          <w:sz w:val="32"/>
          <w:szCs w:val="32"/>
          <w:lang w:val="en-US" w:eastAsia="zh-CN" w:bidi="ar-SA"/>
        </w:rPr>
        <w:t>将排查出的非法集资违法活动线索及时向有关部门通报，并积极配合金融、公安、市场监管等执法部门做好非法集资行为的防范打击处置相关工作。</w:t>
      </w:r>
    </w:p>
    <w:p w14:paraId="270DBD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 w:hAnsi="仿宋" w:eastAsia="仿宋" w:cs="仿宋"/>
          <w:sz w:val="32"/>
          <w:szCs w:val="32"/>
        </w:rPr>
      </w:pPr>
      <w:r>
        <w:rPr>
          <w:rFonts w:hint="eastAsia" w:ascii="楷体-GB13000" w:hAnsi="楷体-GB13000" w:eastAsia="楷体-GB13000" w:cs="楷体-GB13000"/>
          <w:b/>
          <w:bCs/>
          <w:color w:val="000000"/>
          <w:kern w:val="2"/>
          <w:sz w:val="32"/>
          <w:szCs w:val="24"/>
          <w:lang w:val="en-US" w:eastAsia="zh-CN" w:bidi="ar-SA"/>
        </w:rPr>
        <w:t>（三）总结经验，提高阶段（11月）。</w:t>
      </w:r>
      <w:r>
        <w:rPr>
          <w:rFonts w:hint="eastAsia" w:ascii="仿宋_GB2312" w:hAnsi="仿宋_GB2312" w:eastAsia="仿宋_GB2312" w:cs="仿宋_GB2312"/>
          <w:b w:val="0"/>
          <w:bCs w:val="0"/>
          <w:color w:val="000000"/>
          <w:kern w:val="2"/>
          <w:sz w:val="32"/>
          <w:szCs w:val="24"/>
          <w:lang w:val="en-US" w:eastAsia="zh-CN" w:bidi="ar-SA"/>
        </w:rPr>
        <w:t>对非法集资等金融乱象专项整治工作进行全面梳理，总结好的经验和做法，对非法集资风险按照行业、地域、特点、范围认真研判分析形成原因，找出目前面临的困难和风险点，梳理经验及不足，探索建立工作长效机制。</w:t>
      </w:r>
    </w:p>
    <w:p w14:paraId="52C7946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、工作要求</w:t>
      </w:r>
    </w:p>
    <w:p w14:paraId="312BDB6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宋体" w:eastAsia="仿宋_GB2312" w:cs="仿宋_GB2312"/>
          <w:kern w:val="0"/>
          <w:sz w:val="32"/>
          <w:szCs w:val="32"/>
          <w:shd w:val="clear" w:color="auto" w:fill="FFFFFF"/>
        </w:rPr>
      </w:pPr>
      <w:r>
        <w:rPr>
          <w:rFonts w:hint="eastAsia" w:ascii="楷体_GB2312" w:hAnsi="楷体_GB2312" w:eastAsia="楷体_GB2312" w:cs="楷体_GB2312"/>
          <w:b/>
          <w:bCs/>
          <w:sz w:val="32"/>
          <w:szCs w:val="32"/>
          <w:shd w:val="clear" w:color="auto" w:fill="FFFFFF"/>
          <w:lang w:eastAsia="zh-CN"/>
        </w:rPr>
        <w:t>（一）提高思想认识。</w:t>
      </w:r>
      <w:r>
        <w:rPr>
          <w:rFonts w:hint="eastAsia" w:ascii="仿宋_GB2312" w:hAnsi="仿宋_GB2312" w:eastAsia="仿宋_GB2312" w:cs="仿宋_GB2312"/>
          <w:kern w:val="0"/>
          <w:sz w:val="32"/>
          <w:szCs w:val="32"/>
          <w:shd w:val="clear" w:color="auto" w:fill="FFFFFF"/>
          <w:lang w:val="en-US" w:eastAsia="zh-CN" w:bidi="ar"/>
        </w:rPr>
        <w:t>相关科室和各商贸流通企业要增强政治责任感，结合实际细化方案，安排部署本行业涉嫌非法集资风险排查处置工作，进一步从保证经济安全运行、维护群众合法权益、构建和谐社会的高度，切实提升排查处置常态化、科学化、规范化水平，全力推动排查处置工作落到实处。</w:t>
      </w:r>
    </w:p>
    <w:p w14:paraId="2A42BBB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eastAsia="zh-CN"/>
        </w:rPr>
        <w:t xml:space="preserve">    </w:t>
      </w:r>
      <w:r>
        <w:rPr>
          <w:rFonts w:hint="eastAsia" w:ascii="楷体_GB2312" w:hAnsi="楷体_GB2312" w:eastAsia="楷体_GB2312" w:cs="楷体_GB2312"/>
          <w:b/>
          <w:bCs/>
          <w:kern w:val="2"/>
          <w:sz w:val="32"/>
          <w:szCs w:val="32"/>
          <w:shd w:val="clear" w:color="auto" w:fill="FFFFFF"/>
          <w:lang w:val="en-US" w:eastAsia="zh-CN"/>
        </w:rPr>
        <w:t>（二）及时报送信息。</w:t>
      </w:r>
      <w:r>
        <w:rPr>
          <w:rFonts w:hint="eastAsia" w:ascii="仿宋_GB2312" w:hAnsi="仿宋_GB2312" w:eastAsia="仿宋_GB2312" w:cs="仿宋_GB2312"/>
          <w:sz w:val="32"/>
          <w:szCs w:val="32"/>
          <w:lang w:eastAsia="zh-CN"/>
        </w:rPr>
        <w:t>充分发挥主管部门职能作用，对所辖行业、领域有重点的进行全面梳理排查，加强与其他部门协作，做好信息互通互享，对发现的涉嫌非法集资等违法犯罪线索及时上报并进行认真研判分析，确保线索排查工作有进展、有实效</w:t>
      </w:r>
      <w:r>
        <w:rPr>
          <w:rFonts w:hint="eastAsia" w:ascii="仿宋_GB2312" w:hAnsi="仿宋_GB2312" w:eastAsia="仿宋_GB2312" w:cs="仿宋_GB2312"/>
          <w:sz w:val="32"/>
          <w:szCs w:val="32"/>
        </w:rPr>
        <w:t>。</w:t>
      </w:r>
    </w:p>
    <w:p w14:paraId="5F41186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sz w:val="32"/>
          <w:szCs w:val="32"/>
          <w:lang w:eastAsia="zh-CN"/>
        </w:rPr>
        <w:t>（三）做好后续工作。</w:t>
      </w:r>
      <w:r>
        <w:rPr>
          <w:rFonts w:hint="eastAsia" w:ascii="仿宋_GB2312" w:hAnsi="仿宋_GB2312" w:eastAsia="仿宋_GB2312" w:cs="仿宋_GB2312"/>
          <w:kern w:val="0"/>
          <w:sz w:val="32"/>
          <w:szCs w:val="32"/>
          <w:lang w:val="en-US" w:eastAsia="zh-CN" w:bidi="ar"/>
        </w:rPr>
        <w:t>对风险排查中发现的案件和问题隐患，要采取有力处置措施，争取早解决、早结案，防止风险扩大。各行业主管、监管部门要加强对本行业非法集资主要形式的分析研究，完善相关管理制度，加强日常管理和监管，加大处置和打击力度。</w:t>
      </w:r>
    </w:p>
    <w:p w14:paraId="607066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w:t>
      </w:r>
      <w:r>
        <w:rPr>
          <w:rFonts w:hint="eastAsia" w:ascii="楷体" w:hAnsi="楷体" w:eastAsia="楷体" w:cs="楷体"/>
          <w:b/>
          <w:bCs/>
          <w:sz w:val="32"/>
          <w:szCs w:val="32"/>
          <w:lang w:eastAsia="zh-CN"/>
        </w:rPr>
        <w:t>全方位持续开展宣传教育。</w:t>
      </w:r>
      <w:r>
        <w:rPr>
          <w:rFonts w:hint="eastAsia" w:ascii="仿宋_GB2312" w:hAnsi="仿宋_GB2312" w:eastAsia="仿宋_GB2312" w:cs="仿宋_GB2312"/>
          <w:kern w:val="0"/>
          <w:sz w:val="32"/>
          <w:szCs w:val="32"/>
          <w:shd w:val="clear" w:color="auto" w:fill="FFFFFF"/>
          <w:lang w:val="en-US" w:eastAsia="zh-CN" w:bidi="ar"/>
        </w:rPr>
        <w:t>各商贸企业加强宣传力度，增强群众识别、防范、抵御非法活动的能力，针对重点人群开展全方位、多角度的宣传，并动员广大群众、职工参与到行动中来，为整治非法集资专项行动工作营造良好氛围。</w:t>
      </w:r>
    </w:p>
    <w:p w14:paraId="1D00A46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Style w:val="7"/>
          <w:rFonts w:hint="eastAsia" w:ascii="仿宋_GB2312" w:hAnsi="仿宋_GB2312" w:eastAsia="仿宋_GB2312" w:cs="仿宋_GB2312"/>
          <w:sz w:val="32"/>
          <w:szCs w:val="40"/>
          <w:lang w:val="en-US" w:eastAsia="zh-CN"/>
        </w:rPr>
      </w:pPr>
    </w:p>
    <w:p w14:paraId="4F233A1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918" w:leftChars="304" w:right="0" w:rightChars="0" w:hanging="1280" w:hangingChars="400"/>
        <w:jc w:val="both"/>
        <w:textAlignment w:val="auto"/>
        <w:outlineLvl w:val="9"/>
        <w:rPr>
          <w:rFonts w:hint="eastAsia" w:ascii="仿宋_GB2312" w:hAnsi="仿宋_GB2312" w:eastAsia="仿宋_GB2312" w:cs="仿宋_GB2312"/>
          <w:spacing w:val="-20"/>
          <w:sz w:val="32"/>
          <w:szCs w:val="32"/>
          <w:lang w:val="en-US" w:eastAsia="zh-CN"/>
        </w:rPr>
      </w:pPr>
      <w:r>
        <w:rPr>
          <w:rStyle w:val="7"/>
          <w:rFonts w:hint="eastAsia" w:ascii="仿宋_GB2312" w:hAnsi="仿宋_GB2312" w:eastAsia="仿宋_GB2312" w:cs="仿宋_GB2312"/>
          <w:sz w:val="32"/>
          <w:szCs w:val="40"/>
          <w:lang w:val="en-US" w:eastAsia="zh-CN"/>
        </w:rPr>
        <w:t>附件：企业风险排查现场记录单</w:t>
      </w:r>
    </w:p>
    <w:p w14:paraId="311B46CC"/>
    <w:sectPr>
      <w:pgSz w:w="11906" w:h="16838"/>
      <w:pgMar w:top="215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楷体-GB13000">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728FC"/>
    <w:rsid w:val="04B7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2025-01-07T02:03:00Z</dcterms:created>
  <dc:creator>落俗</dc:creator>
  <cp:lastModifiedBy>落俗</cp:lastModifiedBy>
  <dcterms:modified xsi:type="dcterms:W3CDTF">2025-01-07T02:04:18Z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4DFBFF455D1844DD8F951B36CFD5B463_11</vt:lpwstr>
  </property>
  <property fmtid="{D5CDD505-2E9C-101B-9397-08002B2CF9AE}" pid="4" name="KSOTemplateDocerSaveRecord">
    <vt:lpwstr>eyJoZGlkIjoiNWIxNWE1N2Q3OTg3MTFjODM5M2Y4MjI0OTlkZDk4OGQiLCJ1c2VySWQiOiI5Mzg3NTQzNDEifQ==</vt:lpwstr>
  </property>
</Properties>
</file>