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FE6A4">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color w:val="000000"/>
          <w:sz w:val="32"/>
          <w:szCs w:val="32"/>
          <w:lang w:val="en-US" w:eastAsia="zh-CN"/>
        </w:rPr>
        <w:t>附件</w:t>
      </w:r>
    </w:p>
    <w:p w14:paraId="50D8F5AD">
      <w:pPr>
        <w:keepNext w:val="0"/>
        <w:keepLines w:val="0"/>
        <w:pageBreakBefore w:val="0"/>
        <w:widowControl w:val="0"/>
        <w:tabs>
          <w:tab w:val="left" w:pos="429"/>
          <w:tab w:val="center" w:pos="4426"/>
        </w:tabs>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2024年平罗县“金秋送惠 畅享消费”政府</w:t>
      </w:r>
    </w:p>
    <w:p w14:paraId="7916321A">
      <w:pPr>
        <w:keepNext w:val="0"/>
        <w:keepLines w:val="0"/>
        <w:pageBreakBefore w:val="0"/>
        <w:widowControl w:val="0"/>
        <w:tabs>
          <w:tab w:val="left" w:pos="429"/>
          <w:tab w:val="center" w:pos="4426"/>
        </w:tabs>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惠民消费券发放活动方案</w:t>
      </w:r>
      <w:bookmarkEnd w:id="0"/>
    </w:p>
    <w:p w14:paraId="3D917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ascii="仿宋" w:hAnsi="仿宋" w:eastAsia="仿宋"/>
          <w:color w:val="ED7D31"/>
          <w:sz w:val="32"/>
          <w:szCs w:val="32"/>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为</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进一步激发消费活力，培育消费热点，促进我县消费回补，现</w:t>
      </w:r>
      <w:r>
        <w:rPr>
          <w:rFonts w:hint="eastAsia" w:ascii="仿宋_GB2312" w:hAnsi="仿宋_GB2312" w:eastAsia="仿宋_GB2312" w:cs="仿宋_GB2312"/>
          <w:color w:val="000000"/>
          <w:sz w:val="32"/>
          <w:szCs w:val="32"/>
          <w:lang w:eastAsia="zh-CN"/>
        </w:rPr>
        <w:t>结合我县实际，制定以下政府惠民消费券发放活动方案。</w:t>
      </w:r>
    </w:p>
    <w:p w14:paraId="0CFD56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活动目的</w:t>
      </w:r>
    </w:p>
    <w:p w14:paraId="658410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按照“政府补贴、平台支持、商户让利”的原则，统一策划、统一组织、统一主题、统一标识、统一宣传、统一行动，采用政府、商户联合出资，鼓励银行叠加优惠的组合方式，从10月20号起至11月30日，依托银联云闪付APP平台进行政府惠民消费券发放，进一步挖掘消费潜力，促进消费增长，提升商贸服务业对经济增长的支撑和拉动作用。</w:t>
      </w:r>
    </w:p>
    <w:p w14:paraId="2D7D52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、活动时间</w:t>
      </w:r>
    </w:p>
    <w:p w14:paraId="2FA7D1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lang w:val="en-US"/>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2024年10月20日至11月30日</w:t>
      </w:r>
    </w:p>
    <w:p w14:paraId="4D6FBD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活动主题</w:t>
      </w:r>
    </w:p>
    <w:p w14:paraId="710CD0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“金秋送惠 畅享消费”</w:t>
      </w:r>
    </w:p>
    <w:p w14:paraId="0E5969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、活动主体</w:t>
      </w:r>
    </w:p>
    <w:p w14:paraId="1CCE21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活动主办单位：平罗县人民政府</w:t>
      </w:r>
    </w:p>
    <w:p w14:paraId="100F2D6D">
      <w:pPr>
        <w:keepNext w:val="0"/>
        <w:keepLines w:val="0"/>
        <w:pageBreakBefore w:val="0"/>
        <w:widowControl w:val="0"/>
        <w:kinsoku/>
        <w:wordWrap/>
        <w:overflowPunct/>
        <w:topLinePunct w:val="0"/>
        <w:autoSpaceDE/>
        <w:autoSpaceDN/>
        <w:bidi w:val="0"/>
        <w:adjustRightInd/>
        <w:snapToGrid/>
        <w:spacing w:line="560" w:lineRule="exact"/>
        <w:ind w:left="3198" w:leftChars="304" w:right="0" w:rightChars="0" w:hanging="2560" w:hangingChars="8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活动承办单位：平罗县商务和投资促进局、中国银联宁夏</w:t>
      </w:r>
    </w:p>
    <w:p w14:paraId="77A2CE0C">
      <w:pPr>
        <w:keepNext w:val="0"/>
        <w:keepLines w:val="0"/>
        <w:pageBreakBefore w:val="0"/>
        <w:widowControl w:val="0"/>
        <w:kinsoku/>
        <w:wordWrap/>
        <w:overflowPunct/>
        <w:topLinePunct w:val="0"/>
        <w:autoSpaceDE/>
        <w:autoSpaceDN/>
        <w:bidi w:val="0"/>
        <w:adjustRightInd/>
        <w:snapToGrid/>
        <w:spacing w:line="560" w:lineRule="exact"/>
        <w:ind w:left="3193" w:leftChars="1368" w:right="0" w:rightChars="0" w:hanging="320" w:hangingChars="1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分公司</w:t>
      </w:r>
    </w:p>
    <w:p w14:paraId="50332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hAnsi="仿宋" w:eastAsia="仿宋"/>
          <w:sz w:val="32"/>
          <w:szCs w:val="32"/>
        </w:rPr>
      </w:pPr>
      <w:r>
        <w:rPr>
          <w:rFonts w:hint="eastAsia" w:ascii="黑体" w:hAnsi="黑体" w:eastAsia="黑体"/>
          <w:sz w:val="32"/>
          <w:szCs w:val="32"/>
          <w:lang w:val="en-US" w:eastAsia="zh-CN"/>
        </w:rPr>
        <w:t xml:space="preserve">    五、</w:t>
      </w:r>
      <w:r>
        <w:rPr>
          <w:rFonts w:hint="eastAsia" w:ascii="黑体" w:hAnsi="黑体" w:eastAsia="黑体"/>
          <w:sz w:val="32"/>
          <w:szCs w:val="32"/>
        </w:rPr>
        <w:t>活动</w:t>
      </w:r>
      <w:r>
        <w:rPr>
          <w:rFonts w:hint="eastAsia" w:ascii="黑体" w:hAnsi="黑体" w:eastAsia="黑体"/>
          <w:sz w:val="32"/>
          <w:szCs w:val="32"/>
          <w:lang w:eastAsia="zh-CN"/>
        </w:rPr>
        <w:t>内容</w:t>
      </w:r>
    </w:p>
    <w:p w14:paraId="0A48E3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 xml:space="preserve">拟在全县范围内发放超市、住宿餐饮通用消费券0.9万张。具体活动时间和配置张数根据实际发放使用情况进行调整。限GPS定位石嘴山市的云闪付APP注册用户，通过云闪付APP“惠民优惠券”端口抢券，并在平罗县商务和投资促进局公开征集报名参加的符合消费券使用条件的实施企业（或个体户商家）使用云闪付支付。 </w:t>
      </w:r>
    </w:p>
    <w:p w14:paraId="4DC143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sz w:val="32"/>
          <w:szCs w:val="32"/>
        </w:rPr>
      </w:pPr>
      <w:r>
        <w:rPr>
          <w:rFonts w:hint="eastAsia" w:ascii="黑体" w:hAnsi="黑体" w:eastAsia="黑体"/>
          <w:sz w:val="32"/>
          <w:szCs w:val="32"/>
          <w:lang w:eastAsia="zh-CN"/>
        </w:rPr>
        <w:t>六</w:t>
      </w:r>
      <w:r>
        <w:rPr>
          <w:rFonts w:hint="eastAsia" w:ascii="黑体" w:hAnsi="黑体" w:eastAsia="黑体"/>
          <w:sz w:val="32"/>
          <w:szCs w:val="32"/>
        </w:rPr>
        <w:t>、活动形式及规则</w:t>
      </w:r>
    </w:p>
    <w:p w14:paraId="64C09B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超市通用券：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针对超市设置满“100减20”超市通用券3000张，满“200减50”超市通用券4000张，用户获券后使用银联二维码支付可享受优惠，单用户单日限领取、使用各1张，单月限领取、使用2张，票券有效期3天。</w:t>
      </w:r>
    </w:p>
    <w:p w14:paraId="614EF4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val="en-US" w:eastAsia="zh-CN"/>
        </w:rPr>
        <w:t>（二）餐饮券、住宿餐饮通用券：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住宿餐饮商户设置满“100减20”餐饮通用券500张，满“200减40”住宿餐饮通用券1000张，满“500减100”住宿餐饮通用券500张，用户获券后使用银联二维码支付可享受优惠，单用户单日限领取、使用各1张，单月限领取、使用2张，票券有效期3天。</w:t>
      </w:r>
    </w:p>
    <w:p w14:paraId="37CE38A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sz w:val="32"/>
          <w:szCs w:val="32"/>
          <w:lang w:eastAsia="zh-CN"/>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以上活动初定预算及名额可视实际执行情况及时调整，以保证活动效果。销售黄金、珠宝等大额综合类商品不参与本次活动。</w:t>
      </w:r>
    </w:p>
    <w:p w14:paraId="61AF94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、活动预算</w:t>
      </w:r>
      <w:r>
        <w:rPr>
          <w:rFonts w:hint="eastAsia" w:ascii="黑体" w:hAnsi="黑体" w:eastAsia="黑体"/>
          <w:sz w:val="32"/>
          <w:szCs w:val="32"/>
          <w:lang w:eastAsia="zh-CN"/>
        </w:rPr>
        <w:t>、</w:t>
      </w:r>
      <w:r>
        <w:rPr>
          <w:rFonts w:hint="eastAsia" w:ascii="黑体" w:hAnsi="黑体" w:eastAsia="黑体"/>
          <w:sz w:val="32"/>
          <w:szCs w:val="32"/>
        </w:rPr>
        <w:t>资金来源</w:t>
      </w:r>
      <w:r>
        <w:rPr>
          <w:rFonts w:hint="eastAsia" w:ascii="黑体" w:hAnsi="黑体" w:eastAsia="黑体"/>
          <w:sz w:val="32"/>
          <w:szCs w:val="32"/>
          <w:lang w:eastAsia="zh-CN"/>
        </w:rPr>
        <w:t>及清算方式</w:t>
      </w:r>
    </w:p>
    <w:p w14:paraId="14F7FE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本次活动费用总预算36万元，消费券活动费用由平罗县商务局及参与商户共同承担。经与参与商户协商同意，本次活动超市通用消费券营销资金政府承担75%，19.5万元，企业承担25%，6.5万元；餐饮以及住宿餐饮通用消费券营销资金政府承担80%，8万元，企业承担20%，2万元。补贴资金在活动结束后按照中国银联宁夏分公司提供的实际销售清单及活动报表进行一次性清算。清算时采用政府补贴资金金额全额到账。</w:t>
      </w:r>
    </w:p>
    <w:p w14:paraId="520830FB">
      <w:pPr>
        <w:pStyle w:val="5"/>
        <w:keepNext w:val="0"/>
        <w:keepLines w:val="0"/>
        <w:pageBreakBefore w:val="0"/>
        <w:kinsoku/>
        <w:wordWrap/>
        <w:overflowPunct/>
        <w:topLinePunct w:val="0"/>
        <w:autoSpaceDE/>
        <w:autoSpaceDN/>
        <w:bidi w:val="0"/>
        <w:adjustRightInd/>
        <w:snapToGrid/>
        <w:spacing w:line="560" w:lineRule="exact"/>
        <w:jc w:val="both"/>
        <w:textAlignment w:val="auto"/>
        <w:rPr>
          <w:rFonts w:hint="eastAsia"/>
          <w:lang w:eastAsia="zh-CN"/>
        </w:rPr>
      </w:pPr>
    </w:p>
    <w:p w14:paraId="1C3C9FAE">
      <w:pPr>
        <w:keepNext w:val="0"/>
        <w:keepLines w:val="0"/>
        <w:pageBreakBefore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附件：2024年10-11月平罗县“金秋送惠 畅享消费”政府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惠民消费</w:t>
      </w:r>
      <w:r>
        <w:rPr>
          <w:rFonts w:hint="eastAsia" w:ascii="仿宋_GB2312" w:hAnsi="仿宋_GB2312" w:eastAsia="仿宋_GB2312" w:cs="仿宋_GB2312"/>
          <w:color w:val="000000"/>
          <w:sz w:val="32"/>
          <w:szCs w:val="32"/>
          <w:lang w:val="en-US" w:eastAsia="zh-CN"/>
        </w:rPr>
        <w:t>消费券门店名单</w:t>
      </w:r>
    </w:p>
    <w:p w14:paraId="23962C47">
      <w:pPr>
        <w:pStyle w:val="5"/>
        <w:rPr>
          <w:rFonts w:hint="eastAsia"/>
          <w:lang w:val="en-US" w:eastAsia="zh-CN"/>
        </w:rPr>
      </w:pPr>
    </w:p>
    <w:p w14:paraId="0B5AB001">
      <w:pPr>
        <w:keepNext w:val="0"/>
        <w:keepLines w:val="0"/>
        <w:pageBreakBefore w:val="0"/>
        <w:kinsoku/>
        <w:wordWrap/>
        <w:overflowPunct/>
        <w:topLinePunct w:val="0"/>
        <w:autoSpaceDE/>
        <w:autoSpaceDN/>
        <w:bidi w:val="0"/>
        <w:spacing w:line="560" w:lineRule="exact"/>
        <w:ind w:right="0" w:rightChars="0"/>
        <w:jc w:val="left"/>
        <w:outlineLvl w:val="9"/>
        <w:rPr>
          <w:rFonts w:hint="eastAsia" w:ascii="仿宋_GB2312" w:hAnsi="仿宋_GB2312" w:eastAsia="仿宋_GB2312" w:cs="仿宋_GB2312"/>
          <w:color w:val="000000"/>
          <w:sz w:val="32"/>
          <w:szCs w:val="32"/>
          <w:lang w:val="en-US" w:eastAsia="zh-CN"/>
        </w:rPr>
      </w:pPr>
    </w:p>
    <w:p w14:paraId="63554A02">
      <w:pPr>
        <w:keepNext w:val="0"/>
        <w:keepLines w:val="0"/>
        <w:pageBreakBefore w:val="0"/>
        <w:kinsoku/>
        <w:wordWrap/>
        <w:overflowPunct/>
        <w:topLinePunct w:val="0"/>
        <w:autoSpaceDE/>
        <w:autoSpaceDN/>
        <w:bidi w:val="0"/>
        <w:spacing w:line="560" w:lineRule="exact"/>
        <w:ind w:left="0" w:leftChars="0" w:right="0" w:rightChars="0" w:firstLine="640" w:firstLineChars="200"/>
        <w:jc w:val="left"/>
        <w:outlineLvl w:val="9"/>
        <w:rPr>
          <w:rFonts w:hint="eastAsia" w:ascii="仿宋_GB2312" w:hAnsi="仿宋_GB2312" w:eastAsia="仿宋_GB2312" w:cs="仿宋_GB2312"/>
          <w:color w:val="000000"/>
          <w:sz w:val="32"/>
          <w:szCs w:val="32"/>
          <w:lang w:val="en-US" w:eastAsia="zh-CN"/>
        </w:rPr>
      </w:pPr>
    </w:p>
    <w:p w14:paraId="2EFA0C4E">
      <w:pPr>
        <w:spacing w:line="520" w:lineRule="exact"/>
        <w:rPr>
          <w:rFonts w:hint="eastAsia" w:ascii="仿宋_GB2312" w:eastAsia="仿宋_GB2312"/>
          <w:sz w:val="32"/>
          <w:szCs w:val="32"/>
          <w:lang w:val="en-US" w:eastAsia="zh-CN"/>
        </w:rPr>
      </w:pPr>
    </w:p>
    <w:p w14:paraId="2497DEED">
      <w:pPr>
        <w:pStyle w:val="5"/>
        <w:rPr>
          <w:rFonts w:hint="eastAsia" w:ascii="仿宋_GB2312" w:eastAsia="仿宋_GB2312"/>
          <w:sz w:val="32"/>
          <w:szCs w:val="32"/>
          <w:lang w:val="en-US" w:eastAsia="zh-CN"/>
        </w:rPr>
      </w:pPr>
    </w:p>
    <w:p w14:paraId="49A9DA7F">
      <w:pPr>
        <w:rPr>
          <w:rFonts w:hint="eastAsia"/>
          <w:lang w:val="en-US" w:eastAsia="zh-CN"/>
        </w:rPr>
      </w:pPr>
    </w:p>
    <w:p w14:paraId="6AA1553F">
      <w:pPr>
        <w:spacing w:line="520" w:lineRule="exact"/>
        <w:ind w:firstLine="640"/>
        <w:rPr>
          <w:rFonts w:hint="eastAsia" w:ascii="仿宋_GB2312" w:eastAsia="仿宋_GB2312"/>
          <w:sz w:val="32"/>
          <w:szCs w:val="32"/>
          <w:lang w:val="en-US" w:eastAsia="zh-CN"/>
        </w:rPr>
      </w:pPr>
    </w:p>
    <w:p w14:paraId="09E24C69">
      <w:pPr>
        <w:spacing w:line="520" w:lineRule="exact"/>
        <w:ind w:firstLine="640"/>
        <w:rPr>
          <w:rFonts w:hint="eastAsia" w:ascii="仿宋_GB2312" w:eastAsia="仿宋_GB2312"/>
          <w:sz w:val="32"/>
          <w:szCs w:val="32"/>
          <w:lang w:val="en-US" w:eastAsia="zh-CN"/>
        </w:rPr>
      </w:pPr>
    </w:p>
    <w:p w14:paraId="68E81C1A">
      <w:pPr>
        <w:spacing w:line="520" w:lineRule="exact"/>
        <w:rPr>
          <w:rFonts w:hint="eastAsia" w:ascii="仿宋_GB2312" w:eastAsia="仿宋_GB2312"/>
          <w:sz w:val="32"/>
          <w:szCs w:val="32"/>
          <w:lang w:val="en-US" w:eastAsia="zh-CN"/>
        </w:rPr>
        <w:sectPr>
          <w:headerReference r:id="rId3" w:type="default"/>
          <w:footerReference r:id="rId4" w:type="default"/>
          <w:footerReference r:id="rId5" w:type="even"/>
          <w:pgSz w:w="11906" w:h="16838"/>
          <w:pgMar w:top="2154" w:right="1587" w:bottom="1984" w:left="1587" w:header="851" w:footer="198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4EEEA89">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6170782E">
      <w:pPr>
        <w:pStyle w:val="5"/>
        <w:keepNext w:val="0"/>
        <w:keepLines w:val="0"/>
        <w:pageBreakBefore w:val="0"/>
        <w:widowControl w:val="0"/>
        <w:kinsoku/>
        <w:wordWrap/>
        <w:overflowPunct/>
        <w:topLinePunct w:val="0"/>
        <w:autoSpaceDE/>
        <w:autoSpaceDN/>
        <w:bidi w:val="0"/>
        <w:adjustRightInd/>
        <w:snapToGrid/>
        <w:spacing w:before="0" w:after="0"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2024年12月-2025年1月平罗县发放政府电子消费券超市、住宿餐饮门店名单</w:t>
      </w:r>
    </w:p>
    <w:tbl>
      <w:tblPr>
        <w:tblStyle w:val="6"/>
        <w:tblW w:w="9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3165"/>
        <w:gridCol w:w="3750"/>
        <w:gridCol w:w="2445"/>
      </w:tblGrid>
      <w:tr w14:paraId="2AFC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BE21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A111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参与活动</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4C47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商户名称</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22BF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门店详细地址</w:t>
            </w:r>
          </w:p>
        </w:tc>
      </w:tr>
      <w:tr w14:paraId="716A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8375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2432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7270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平罗县旭隆超市</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1751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平罗县唐徕湾北大门</w:t>
            </w:r>
          </w:p>
        </w:tc>
      </w:tr>
      <w:tr w14:paraId="3EDE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74EC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5320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679F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平罗县南门守仓综合商店桥馨分店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CDF6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平罗县桥馨B区39号楼8号商铺</w:t>
            </w:r>
          </w:p>
        </w:tc>
      </w:tr>
      <w:tr w14:paraId="7580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45B8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AFAA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2192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平罗县上海百联超市</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F710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鼓楼北街161号</w:t>
            </w:r>
          </w:p>
        </w:tc>
      </w:tr>
      <w:tr w14:paraId="5F18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DE1A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88FD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F897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平罗县永商百联超市</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9FDF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平罗县前进东路70号阳光商城一楼</w:t>
            </w:r>
          </w:p>
        </w:tc>
      </w:tr>
      <w:tr w14:paraId="747A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FFC1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CA7F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4A66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平罗县正兴百货超市</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7B0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步行街大圆球东侧</w:t>
            </w:r>
          </w:p>
        </w:tc>
      </w:tr>
      <w:tr w14:paraId="190B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39AD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A7E3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9C0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平罗县小胡百货超市康湖店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2794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平罗县康湖水岸东门北侧408号门面房</w:t>
            </w:r>
          </w:p>
        </w:tc>
      </w:tr>
      <w:tr w14:paraId="2B19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9505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584F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17F7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银川新华百货连锁超市有限公司平罗桥馨店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8FFF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平罗县鼓楼南街取值段以东，桥馨花园8#商业楼地上一层</w:t>
            </w:r>
          </w:p>
        </w:tc>
      </w:tr>
      <w:tr w14:paraId="492D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E37C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B5FA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5BD9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银川新华百货连锁超市有限公司平罗店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83CB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平罗县团结东路北侧、鼓楼北街东侧汇融新天地二楼</w:t>
            </w:r>
          </w:p>
        </w:tc>
      </w:tr>
      <w:tr w14:paraId="10F0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58A2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E198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9656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平罗县永商百联阳光店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DEFF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平罗县鼓楼西街与萧公大街交汇处阳光商业广场负一层</w:t>
            </w:r>
          </w:p>
        </w:tc>
      </w:tr>
      <w:tr w14:paraId="2BD4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7D87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4735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3BAC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平罗县众民羊羔肉</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7788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平罗县金桥路山水雅居南门18-20号</w:t>
            </w:r>
          </w:p>
        </w:tc>
      </w:tr>
      <w:tr w14:paraId="4194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A50F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4BC1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3DA3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平罗县丁香阁伊品佳宴餐厅</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C39E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平罗县民族大街唐华首府西门向北100米</w:t>
            </w:r>
          </w:p>
        </w:tc>
      </w:tr>
      <w:tr w14:paraId="5A73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02FD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 xml:space="preserve"> 12</w:t>
            </w:r>
          </w:p>
          <w:p w14:paraId="5597E036">
            <w:pPr>
              <w:keepNext w:val="0"/>
              <w:keepLines w:val="0"/>
              <w:pageBreakBefore w:val="0"/>
              <w:widowControl/>
              <w:suppressLineNumbers w:val="0"/>
              <w:kinsoku/>
              <w:wordWrap/>
              <w:overflowPunct/>
              <w:topLinePunct w:val="0"/>
              <w:autoSpaceDE/>
              <w:autoSpaceDN/>
              <w:bidi w:val="0"/>
              <w:adjustRightInd/>
              <w:snapToGrid/>
              <w:spacing w:line="15" w:lineRule="auto"/>
              <w:jc w:val="both"/>
              <w:textAlignment w:val="center"/>
              <w:rPr>
                <w:rFonts w:hint="eastAsia" w:ascii="仿宋_GB2312" w:hAnsi="宋体" w:eastAsia="仿宋_GB2312" w:cs="仿宋_GB2312"/>
                <w:i w:val="0"/>
                <w:iCs w:val="0"/>
                <w:color w:val="000000"/>
                <w:spacing w:val="17"/>
                <w:kern w:val="0"/>
                <w:sz w:val="20"/>
                <w:szCs w:val="20"/>
                <w:u w:val="none"/>
                <w:lang w:val="en-US" w:eastAsia="zh-CN" w:bidi="ar"/>
              </w:rPr>
            </w:pP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D270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3340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平罗县忠民羊羔肉食府</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8522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金水湖畔西门忠民羊羔肉食府</w:t>
            </w:r>
          </w:p>
        </w:tc>
      </w:tr>
      <w:tr w14:paraId="6B0D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B538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8CD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D4F3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德惠宴会厅</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8601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平罗县山水名居西门口</w:t>
            </w:r>
          </w:p>
        </w:tc>
      </w:tr>
      <w:tr w14:paraId="1230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3E62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886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86C4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pacing w:val="17"/>
                <w:kern w:val="0"/>
                <w:sz w:val="20"/>
                <w:szCs w:val="20"/>
                <w:u w:val="none"/>
                <w:lang w:val="en-US" w:eastAsia="zh-CN" w:bidi="ar"/>
              </w:rPr>
              <w:t>平罗县徳隆鲜味火锅城</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C8B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平罗县玉皇阁大道北侧金地家园17幢8号</w:t>
            </w:r>
          </w:p>
        </w:tc>
      </w:tr>
      <w:tr w14:paraId="47D6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C5B5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F29E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6CDA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平罗县爱尚青青冰淇淋阳光店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78B9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阳光商业广场2#商业街临街商铺</w:t>
            </w:r>
          </w:p>
        </w:tc>
      </w:tr>
      <w:tr w14:paraId="1739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58D9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524D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1030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平罗县爱尚青青冰淇淋汇融店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70B9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平罗县城关镇团结东路169号二号</w:t>
            </w:r>
          </w:p>
        </w:tc>
      </w:tr>
      <w:tr w14:paraId="1661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F696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E528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F1B4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金湖大饭店（酒店）</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8462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平罗县玉皇阁大道210号</w:t>
            </w:r>
          </w:p>
        </w:tc>
      </w:tr>
      <w:tr w14:paraId="1D53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B83F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438B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890A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天禧宴会中心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7203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平罗县星和家园北侧和平村标准化菜市场二楼三楼</w:t>
            </w:r>
          </w:p>
        </w:tc>
      </w:tr>
      <w:tr w14:paraId="04C6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55FD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1B7B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1515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金湖大饭店（餐饮）</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4093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平罗县玉皇阁大道210号</w:t>
            </w:r>
          </w:p>
        </w:tc>
      </w:tr>
      <w:tr w14:paraId="0D8B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44C0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608B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044E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平罗县汇君礼宴</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7157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平罗县汇融商业房二楼</w:t>
            </w:r>
          </w:p>
        </w:tc>
      </w:tr>
      <w:tr w14:paraId="635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9D63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6424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100减20、200减40、500减100（餐饮住宿通用券）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2D26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平罗县辣客景粥鲜餐厅</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6A44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家和春天西区东大门</w:t>
            </w:r>
          </w:p>
        </w:tc>
      </w:tr>
    </w:tbl>
    <w:p w14:paraId="71C49BE7">
      <w:pPr>
        <w:rPr>
          <w:rFonts w:hint="eastAsia"/>
          <w:lang w:val="en-US" w:eastAsia="zh-CN"/>
        </w:rPr>
      </w:pPr>
    </w:p>
    <w:p w14:paraId="193E7959"/>
    <w:sectPr>
      <w:footerReference r:id="rId6" w:type="default"/>
      <w:footerReference r:id="rId7" w:type="even"/>
      <w:pgSz w:w="11906" w:h="16838"/>
      <w:pgMar w:top="2154" w:right="1587" w:bottom="1984" w:left="1587" w:header="851" w:footer="1984"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A0E17">
    <w:pPr>
      <w:pStyle w:val="2"/>
      <w:tabs>
        <w:tab w:val="left" w:pos="111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3351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CA3351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2C4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2DE20">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2D2DE20">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5A81">
    <w:pPr>
      <w:pStyle w:val="2"/>
      <w:tabs>
        <w:tab w:val="left" w:pos="1111"/>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9C7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EF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D63F0"/>
    <w:rsid w:val="47CD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eastAsia="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2025-01-07T01:37:00Z</dcterms:created>
  <dc:creator>落俗</dc:creator>
  <cp:lastModifiedBy>落俗</cp:lastModifiedBy>
  <dcterms:modified xsi:type="dcterms:W3CDTF">2025-01-07T01:38:59Z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E79976E1513A444595BF6053FF9032B4_11</vt:lpwstr>
  </property>
  <property fmtid="{D5CDD505-2E9C-101B-9397-08002B2CF9AE}" pid="4" name="KSOTemplateDocerSaveRecord">
    <vt:lpwstr>eyJoZGlkIjoiNWIxNWE1N2Q3OTg3MTFjODM5M2Y4MjI0OTlkZDk4OGQiLCJ1c2VySWQiOiI5Mzg3NTQzNDEifQ==</vt:lpwstr>
  </property>
</Properties>
</file>