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黑体-GB13000" w:hAnsi="CESI黑体-GB13000" w:eastAsia="CESI黑体-GB13000" w:cs="CESI黑体-GB1300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附表三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/>
        <w:jc w:val="center"/>
        <w:textAlignment w:val="auto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 w:bidi="ar"/>
        </w:rPr>
        <w:t>2024年度平罗县商务部门联合随机抽查事项清单</w:t>
      </w:r>
    </w:p>
    <w:bookmarkEnd w:id="0"/>
    <w:tbl>
      <w:tblPr>
        <w:tblStyle w:val="6"/>
        <w:tblpPr w:leftFromText="180" w:rightFromText="180" w:vertAnchor="text" w:horzAnchor="page" w:tblpX="1703" w:tblpY="664"/>
        <w:tblOverlap w:val="never"/>
        <w:tblW w:w="13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15"/>
        <w:gridCol w:w="3555"/>
        <w:gridCol w:w="2190"/>
        <w:gridCol w:w="2250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抽查领域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发起部门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配合部门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795" w:type="dxa"/>
            <w:noWrap w:val="0"/>
            <w:vAlign w:val="center"/>
          </w:tcPr>
          <w:p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成品油流通市场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1、无证无照经营行为；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2、非法运输、储存和销售成品油行为；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3、非法销售国家明令禁止的非标油行为；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4、偷税漏税行为；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5、安全生产主体责任落实情况。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成品油流通企业</w:t>
            </w:r>
          </w:p>
        </w:tc>
        <w:tc>
          <w:tcPr>
            <w:tcW w:w="22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平罗县商务和投资促进局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公安、财政、生态环境、交通运输、应急、市场监管、税务、消防救援部门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795" w:type="dxa"/>
            <w:noWrap w:val="0"/>
            <w:vAlign w:val="center"/>
          </w:tcPr>
          <w:p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二手车流通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36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  <w:t>二手车市场、经销企业备案经营情况；安全生产主体责任落实情况。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经备案的二手车交易市场和二手车经营主体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公安、市场监管、税务等部门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795" w:type="dxa"/>
            <w:noWrap w:val="0"/>
            <w:vAlign w:val="center"/>
          </w:tcPr>
          <w:p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单用途商业预付卡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36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单用途卡业务活动、内部控制和风险状况情况。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经备案的单用途商业预付卡备案企业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市场监管、教育、体育等相关部门</w:t>
            </w:r>
          </w:p>
        </w:tc>
      </w:tr>
    </w:tbl>
    <w:p>
      <w:pPr>
        <w:pStyle w:val="8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8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8"/>
        <w:rPr>
          <w:rFonts w:hint="default"/>
          <w:lang w:val="en-US" w:eastAsia="zh-CN"/>
        </w:rPr>
      </w:pPr>
    </w:p>
    <w:p/>
    <w:sectPr>
      <w:pgSz w:w="16838" w:h="11906" w:orient="landscape"/>
      <w:pgMar w:top="1587" w:right="2154" w:bottom="1587" w:left="198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CESI黑体-GB13000">
    <w:altName w:val="黑体"/>
    <w:panose1 w:val="02000500000000000000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D271F"/>
    <w:rsid w:val="0C072C51"/>
    <w:rsid w:val="16307929"/>
    <w:rsid w:val="21FD271F"/>
    <w:rsid w:val="6C5E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Times New Roman" w:hAnsi="Times New Roman" w:eastAsia="华文中宋" w:cs="Times New Roman"/>
      <w:sz w:val="36"/>
    </w:rPr>
  </w:style>
  <w:style w:type="paragraph" w:styleId="4">
    <w:name w:val="Body Text First Indent"/>
    <w:basedOn w:val="3"/>
    <w:qFormat/>
    <w:uiPriority w:val="0"/>
    <w:pPr>
      <w:spacing w:after="120"/>
      <w:ind w:firstLine="420" w:firstLineChars="100"/>
      <w:jc w:val="both"/>
    </w:pPr>
    <w:rPr>
      <w:rFonts w:ascii="Times New Roman" w:hAnsi="Times New Roman" w:eastAsia="宋体"/>
      <w:sz w:val="21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2024-04-29T02:34:00Z</dcterms:created>
  <dc:creator>落俗</dc:creator>
  <cp:lastModifiedBy>落俗</cp:lastModifiedBy>
  <dcterms:modified xsi:type="dcterms:W3CDTF">2024-04-29T02:35:48Z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1BEB49D8C3574839B39C09D34D1141AB</vt:lpwstr>
  </property>
</Properties>
</file>