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附表二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2024年度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 w:bidi="ar"/>
        </w:rPr>
        <w:t>平罗县商务部门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“双随机”抽查工作计划</w:t>
      </w:r>
    </w:p>
    <w:bookmarkEnd w:id="0"/>
    <w:tbl>
      <w:tblPr>
        <w:tblStyle w:val="6"/>
        <w:tblpPr w:leftFromText="180" w:rightFromText="180" w:vertAnchor="text" w:horzAnchor="page" w:tblpX="1703" w:tblpY="664"/>
        <w:tblOverlap w:val="never"/>
        <w:tblW w:w="134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1350"/>
        <w:gridCol w:w="3675"/>
        <w:gridCol w:w="1050"/>
        <w:gridCol w:w="1290"/>
        <w:gridCol w:w="960"/>
        <w:gridCol w:w="1320"/>
        <w:gridCol w:w="1575"/>
        <w:gridCol w:w="1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1" w:hRule="atLeast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序号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抽查任务名称</w:t>
            </w:r>
          </w:p>
        </w:tc>
        <w:tc>
          <w:tcPr>
            <w:tcW w:w="3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抽查事项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抽查比例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检查对象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抽查类型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组织抽查部门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4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实施检查部门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615" w:type="dxa"/>
            <w:noWrap w:val="0"/>
            <w:vAlign w:val="center"/>
          </w:tcPr>
          <w:p>
            <w:pPr>
              <w:pStyle w:val="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成品油流通市场的检查</w:t>
            </w:r>
          </w:p>
        </w:tc>
        <w:tc>
          <w:tcPr>
            <w:tcW w:w="3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both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1、无证无照经营行为；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both"/>
              <w:outlineLvl w:val="9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2、非法运输、储存和销售成品油行为；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both"/>
              <w:outlineLvl w:val="9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3、非法销售国家明令禁止的非标油行为；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both"/>
              <w:outlineLvl w:val="9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4、偷税漏税行为；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both"/>
              <w:outlineLvl w:val="9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5、安全生产主体责任落实情况。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10%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成品油流通企业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不定向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平罗县商务和投资促进局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平罗县商务和投资促进局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  <w:p>
            <w:pPr>
              <w:pStyle w:val="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-SA"/>
              </w:rPr>
              <w:t>2024年12月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615" w:type="dxa"/>
            <w:noWrap w:val="0"/>
            <w:vAlign w:val="center"/>
          </w:tcPr>
          <w:p>
            <w:pPr>
              <w:pStyle w:val="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二手车交易市场的检查</w:t>
            </w:r>
          </w:p>
        </w:tc>
        <w:tc>
          <w:tcPr>
            <w:tcW w:w="3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both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1、二手车市场、经销企业备案经营情况；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both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2、安全生产主体责任落实情况。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50%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pStyle w:val="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经备案的二手车交易市场和二手车经营主体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不定向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平罗县商务和投资促进局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平罗县商务和投资促进局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-SA"/>
              </w:rPr>
              <w:t>2024年12月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615" w:type="dxa"/>
            <w:noWrap w:val="0"/>
            <w:vAlign w:val="center"/>
          </w:tcPr>
          <w:p>
            <w:pPr>
              <w:pStyle w:val="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报废机动车回收拆解企业的检查</w:t>
            </w:r>
          </w:p>
        </w:tc>
        <w:tc>
          <w:tcPr>
            <w:tcW w:w="3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both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1、报废机动车回收拆解程序合规情况；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both"/>
              <w:outlineLvl w:val="9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2、《资质认定书》使用合规情况；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both"/>
              <w:outlineLvl w:val="9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3、出具《报废机动车回收证明》情况；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both"/>
              <w:outlineLvl w:val="9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4、“五大总成”处置情况；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both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5、落实安全主体责任情况。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pStyle w:val="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经备案的单用途商业预付卡备案企业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不定向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平罗县商务和投资促进局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平罗县商务和投资促进局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-SA"/>
              </w:rPr>
              <w:t>2024年12月</w:t>
            </w:r>
          </w:p>
        </w:tc>
      </w:tr>
    </w:tbl>
    <w:p>
      <w:pPr>
        <w:pStyle w:val="2"/>
        <w:ind w:left="0" w:leftChars="0" w:firstLine="0" w:firstLineChars="0"/>
        <w:rPr>
          <w:rFonts w:hint="default"/>
          <w:lang w:val="en-US" w:eastAsia="zh-CN"/>
        </w:rPr>
        <w:sectPr>
          <w:pgSz w:w="16838" w:h="11906" w:orient="landscape"/>
          <w:pgMar w:top="1701" w:right="1587" w:bottom="1701" w:left="1587" w:header="737" w:footer="1247" w:gutter="0"/>
          <w:pgNumType w:fmt="decimal"/>
          <w:cols w:space="720" w:num="1"/>
          <w:rtlGutter w:val="0"/>
          <w:docGrid w:type="lines" w:linePitch="342" w:charSpace="0"/>
        </w:sectPr>
      </w:pPr>
    </w:p>
    <w:p/>
    <w:sectPr>
      <w:pgSz w:w="16838" w:h="11906" w:orient="landscape"/>
      <w:pgMar w:top="1587" w:right="2154" w:bottom="1587" w:left="1984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ESI黑体-GB13000">
    <w:altName w:val="黑体"/>
    <w:panose1 w:val="02000500000000000000"/>
    <w:charset w:val="00"/>
    <w:family w:val="auto"/>
    <w:pitch w:val="default"/>
    <w:sig w:usb0="00000000" w:usb1="00000000" w:usb2="00000016" w:usb3="00000000" w:csb0="0004000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7318FD"/>
    <w:rsid w:val="0C072C51"/>
    <w:rsid w:val="137318FD"/>
    <w:rsid w:val="16307929"/>
    <w:rsid w:val="6C5E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1"/>
    </w:rPr>
  </w:style>
  <w:style w:type="paragraph" w:styleId="3">
    <w:name w:val="Body Text"/>
    <w:basedOn w:val="1"/>
    <w:next w:val="1"/>
    <w:qFormat/>
    <w:uiPriority w:val="0"/>
    <w:pPr>
      <w:jc w:val="center"/>
    </w:pPr>
    <w:rPr>
      <w:rFonts w:ascii="Times New Roman" w:hAnsi="Times New Roman" w:eastAsia="华文中宋" w:cs="Times New Roman"/>
      <w:sz w:val="36"/>
    </w:rPr>
  </w:style>
  <w:style w:type="paragraph" w:styleId="4">
    <w:name w:val="Body Text First Indent"/>
    <w:basedOn w:val="3"/>
    <w:qFormat/>
    <w:uiPriority w:val="0"/>
    <w:pPr>
      <w:spacing w:after="120"/>
      <w:ind w:firstLine="420" w:firstLineChars="100"/>
      <w:jc w:val="both"/>
    </w:pPr>
    <w:rPr>
      <w:rFonts w:ascii="Times New Roman" w:hAnsi="Times New Roman" w:eastAsia="宋体"/>
      <w:sz w:val="21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Normal Indent"/>
    <w:basedOn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2024-04-29T02:33:00Z</dcterms:created>
  <dc:creator>落俗</dc:creator>
  <cp:lastModifiedBy>落俗</cp:lastModifiedBy>
  <dcterms:modified xsi:type="dcterms:W3CDTF">2024-04-29T02:35:36Z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A9C8A8BC23DF4557A1CE9A513423BE15</vt:lpwstr>
  </property>
</Properties>
</file>