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4" w:line="230" w:lineRule="auto"/>
        <w:ind w:left="143"/>
        <w:rPr>
          <w:rFonts w:ascii="Times New Roman" w:hAnsi="Times New Roman" w:eastAsia="Times New Roman" w:cs="Times New Roman"/>
          <w:sz w:val="31"/>
          <w:szCs w:val="31"/>
        </w:rPr>
      </w:pPr>
      <w:r>
        <w:rPr>
          <w:rFonts w:ascii="黑体" w:hAnsi="黑体" w:eastAsia="黑体" w:cs="黑体"/>
          <w:spacing w:val="-1"/>
          <w:sz w:val="31"/>
          <w:szCs w:val="31"/>
        </w:rPr>
        <w:t>附件</w:t>
      </w:r>
      <w:r>
        <w:rPr>
          <w:rFonts w:ascii="黑体" w:hAnsi="黑体" w:eastAsia="黑体" w:cs="黑体"/>
          <w:spacing w:val="-64"/>
          <w:sz w:val="31"/>
          <w:szCs w:val="31"/>
        </w:rPr>
        <w:t xml:space="preserve">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《关于加强食品安全重点领域监管的方案》明确的重点工作落实清单</w:t>
      </w:r>
    </w:p>
    <w:tbl>
      <w:tblPr>
        <w:tblStyle w:val="3"/>
        <w:tblW w:w="15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867"/>
        <w:gridCol w:w="3761"/>
        <w:gridCol w:w="6772"/>
        <w:gridCol w:w="1168"/>
        <w:gridCol w:w="1254"/>
        <w:gridCol w:w="9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00" w:type="dxa"/>
            <w:vMerge w:val="restart"/>
            <w:tcBorders>
              <w:bottom w:val="nil"/>
            </w:tcBorders>
            <w:noWrap w:val="0"/>
            <w:textDirection w:val="tbRlV"/>
            <w:vAlign w:val="center"/>
          </w:tcPr>
          <w:p>
            <w:pPr>
              <w:jc w:val="center"/>
              <w:rPr>
                <w:rFonts w:hint="eastAsia" w:ascii="黑体" w:hAnsi="黑体" w:eastAsia="黑体" w:cs="黑体"/>
                <w:sz w:val="21"/>
                <w:szCs w:val="21"/>
              </w:rPr>
            </w:pPr>
            <w:r>
              <w:rPr>
                <w:rFonts w:hint="eastAsia" w:ascii="黑体" w:hAnsi="黑体" w:eastAsia="黑体" w:cs="黑体"/>
                <w:sz w:val="21"/>
                <w:szCs w:val="21"/>
              </w:rPr>
              <w:t>序号</w:t>
            </w:r>
          </w:p>
        </w:tc>
        <w:tc>
          <w:tcPr>
            <w:tcW w:w="4628" w:type="dxa"/>
            <w:gridSpan w:val="2"/>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重点任务</w:t>
            </w:r>
          </w:p>
        </w:tc>
        <w:tc>
          <w:tcPr>
            <w:tcW w:w="6772" w:type="dxa"/>
            <w:vMerge w:val="restart"/>
            <w:tcBorders>
              <w:bottom w:val="nil"/>
            </w:tcBorders>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落实措施</w:t>
            </w:r>
          </w:p>
        </w:tc>
        <w:tc>
          <w:tcPr>
            <w:tcW w:w="1168" w:type="dxa"/>
            <w:vMerge w:val="restart"/>
            <w:tcBorders>
              <w:bottom w:val="nil"/>
            </w:tcBorders>
            <w:noWrap w:val="0"/>
            <w:vAlign w:val="center"/>
          </w:tcPr>
          <w:p>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责任部门</w:t>
            </w:r>
          </w:p>
        </w:tc>
        <w:tc>
          <w:tcPr>
            <w:tcW w:w="1254" w:type="dxa"/>
            <w:vMerge w:val="restart"/>
            <w:tcBorders>
              <w:bottom w:val="nil"/>
            </w:tcBorders>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完成时限</w:t>
            </w:r>
          </w:p>
        </w:tc>
        <w:tc>
          <w:tcPr>
            <w:tcW w:w="974" w:type="dxa"/>
            <w:vMerge w:val="restart"/>
            <w:tcBorders>
              <w:bottom w:val="nil"/>
            </w:tcBorders>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进展情况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00" w:type="dxa"/>
            <w:vMerge w:val="continue"/>
            <w:tcBorders>
              <w:top w:val="nil"/>
            </w:tcBorders>
            <w:noWrap w:val="0"/>
            <w:textDirection w:val="tbRlV"/>
            <w:vAlign w:val="top"/>
          </w:tcPr>
          <w:p/>
        </w:tc>
        <w:tc>
          <w:tcPr>
            <w:tcW w:w="867" w:type="dxa"/>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项目</w:t>
            </w:r>
          </w:p>
        </w:tc>
        <w:tc>
          <w:tcPr>
            <w:tcW w:w="3761" w:type="dxa"/>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具体任务</w:t>
            </w:r>
          </w:p>
        </w:tc>
        <w:tc>
          <w:tcPr>
            <w:tcW w:w="6772" w:type="dxa"/>
            <w:vMerge w:val="continue"/>
            <w:tcBorders>
              <w:top w:val="nil"/>
            </w:tcBorders>
            <w:noWrap w:val="0"/>
            <w:vAlign w:val="top"/>
          </w:tcPr>
          <w:p/>
        </w:tc>
        <w:tc>
          <w:tcPr>
            <w:tcW w:w="1168" w:type="dxa"/>
            <w:vMerge w:val="continue"/>
            <w:tcBorders>
              <w:top w:val="nil"/>
            </w:tcBorders>
            <w:noWrap w:val="0"/>
            <w:vAlign w:val="top"/>
          </w:tcPr>
          <w:p/>
        </w:tc>
        <w:tc>
          <w:tcPr>
            <w:tcW w:w="1254" w:type="dxa"/>
            <w:vMerge w:val="continue"/>
            <w:tcBorders>
              <w:top w:val="nil"/>
            </w:tcBorders>
            <w:noWrap w:val="0"/>
            <w:vAlign w:val="top"/>
          </w:tcPr>
          <w:p/>
        </w:tc>
        <w:tc>
          <w:tcPr>
            <w:tcW w:w="974" w:type="dxa"/>
            <w:vMerge w:val="continue"/>
            <w:tcBorders>
              <w:top w:val="nil"/>
            </w:tcBorders>
            <w:noWrap w:val="0"/>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00" w:type="dxa"/>
            <w:vMerge w:val="restart"/>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867"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(一) 加强食用农产品质量安全监管</w:t>
            </w: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1.落实《宁夏回族自治区实施&lt;中华人民共和国农产品质量安全法&gt;办法》。</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以宣贯新修订的《中华人民共和国农产品质量安全法》为契机，发放禁限用农药名录宣传材料等，进一步提高广大群众农产品质量安全意识、识假辨假能力和依法维权能力，营造全社会共同</w:t>
            </w:r>
            <w:r>
              <w:rPr>
                <w:rFonts w:hint="eastAsia" w:ascii="仿宋" w:hAnsi="仿宋" w:eastAsia="仿宋" w:cs="仿宋"/>
                <w:w w:val="90"/>
                <w:sz w:val="24"/>
                <w:szCs w:val="24"/>
              </w:rPr>
              <w:t>关心、支持、参与</w:t>
            </w:r>
            <w:r>
              <w:rPr>
                <w:rFonts w:hint="eastAsia" w:ascii="仿宋" w:hAnsi="仿宋" w:eastAsia="仿宋" w:cs="仿宋"/>
                <w:sz w:val="24"/>
                <w:szCs w:val="24"/>
              </w:rPr>
              <w:t>农产品质</w:t>
            </w:r>
            <w:r>
              <w:rPr>
                <w:rFonts w:hint="eastAsia" w:ascii="仿宋" w:hAnsi="仿宋" w:eastAsia="仿宋" w:cs="仿宋"/>
                <w:w w:val="90"/>
                <w:sz w:val="24"/>
                <w:szCs w:val="24"/>
              </w:rPr>
              <w:t>量安</w:t>
            </w:r>
            <w:r>
              <w:rPr>
                <w:rFonts w:hint="eastAsia" w:ascii="仿宋" w:hAnsi="仿宋" w:eastAsia="仿宋" w:cs="仿宋"/>
                <w:sz w:val="24"/>
                <w:szCs w:val="24"/>
              </w:rPr>
              <w:t>全工作的良好氛围。</w:t>
            </w:r>
            <w:bookmarkStart w:id="0" w:name="_GoBack"/>
            <w:bookmarkEnd w:id="0"/>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县农业农村局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2.引导种植、养殖规范化和标准化，加强违法使用禁限用药物行为监管，严格督促食用农产品生产经营主体落实质量安全管理、生产记录、承诺达标 合格证、用药间隔期和休药期制度，加大食用农产品抽检力度，严把食用农产品产地准出与市场准入。</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1.加大对重点农产品的监测频次，及时发现问题，严禁问题农产品流入市场。</w:t>
            </w:r>
          </w:p>
          <w:p>
            <w:pPr>
              <w:jc w:val="both"/>
              <w:rPr>
                <w:rFonts w:hint="eastAsia" w:ascii="仿宋" w:hAnsi="仿宋" w:eastAsia="仿宋" w:cs="仿宋"/>
                <w:sz w:val="24"/>
                <w:szCs w:val="24"/>
              </w:rPr>
            </w:pPr>
            <w:r>
              <w:rPr>
                <w:rFonts w:hint="eastAsia" w:ascii="仿宋" w:hAnsi="仿宋" w:eastAsia="仿宋" w:cs="仿宋"/>
                <w:sz w:val="24"/>
                <w:szCs w:val="24"/>
              </w:rPr>
              <w:t>2.推进食用农产品承诺达标合格证制度，加快承诺达标合格证市场准入。</w:t>
            </w:r>
          </w:p>
          <w:p>
            <w:pPr>
              <w:jc w:val="both"/>
              <w:rPr>
                <w:rFonts w:hint="eastAsia" w:ascii="仿宋" w:hAnsi="仿宋" w:eastAsia="仿宋" w:cs="仿宋"/>
                <w:sz w:val="24"/>
                <w:szCs w:val="24"/>
              </w:rPr>
            </w:pPr>
            <w:r>
              <w:rPr>
                <w:rFonts w:hint="eastAsia" w:ascii="仿宋" w:hAnsi="仿宋" w:eastAsia="仿宋" w:cs="仿宋"/>
                <w:sz w:val="24"/>
                <w:szCs w:val="24"/>
              </w:rPr>
              <w:t>3.县乡监管人员结合日常监管监督指导种养殖场、水产养殖主体、农药店、兽药饲料店等生产经营主体，严格落实农产品生产记录、农药安全间隔期、兽药休药期制度。</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县农业农村局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3.指导全县涉农乡镇加强农产品质量安全监管站建设，建立健全网格化监管机制，推进乡镇监管站标准化创建。</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按照石嘴山市农业农村局《关于开展石嘴山市乡镇农产品质量安全监管机构星级评定的通知》要求，在全县范围内开展乡镇农产品质量安全监管机构星级评定工作，推进乡镇网格化管理，提升我县农产品质量安全监管机构标准化建设水平。</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县农业农村局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4.督促完善全县食用农产品批发市场快速检测室建设，加强食用农产品快速检测,常态化监测蔬菜农药残留。</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按照自治区农业农村厅《关于提前下达 2023 年中央和自治区第一批财政支农项目计划的通知》（宁农（计）发〔2022〕44号）《2023年全区农产品质量安全监管项目实施方案》文件精神，支持平罗县富乐民蔬菜批发市场快检室建设。</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县农业农村局</w:t>
            </w:r>
            <w:r>
              <w:rPr>
                <w:rFonts w:hint="eastAsia" w:ascii="仿宋" w:hAnsi="仿宋" w:eastAsia="仿宋" w:cs="仿宋"/>
                <w:sz w:val="24"/>
                <w:szCs w:val="24"/>
                <w:lang w:eastAsia="zh-CN"/>
              </w:rPr>
              <w:t>，城关南区所，食品室</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5.完善粮食质量安全检验检测体系,加强粮食质量安全监管。</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1.合理运用产业政策，大力支持平罗县粮油产品质量检测站（</w:t>
            </w:r>
            <w:r>
              <w:rPr>
                <w:rFonts w:hint="eastAsia" w:ascii="仿宋" w:hAnsi="仿宋" w:eastAsia="仿宋" w:cs="仿宋"/>
                <w:sz w:val="24"/>
                <w:szCs w:val="24"/>
                <w:lang w:eastAsia="zh-CN"/>
              </w:rPr>
              <w:t>平</w:t>
            </w:r>
            <w:r>
              <w:rPr>
                <w:rFonts w:hint="eastAsia" w:ascii="仿宋" w:hAnsi="仿宋" w:eastAsia="仿宋" w:cs="仿宋"/>
                <w:sz w:val="24"/>
                <w:szCs w:val="24"/>
              </w:rPr>
              <w:t>罗县质量监督检验与计量测试站）提升检验检测能力水平，为全县粮食及“六特 ”产业发展提供技术支撑。</w:t>
            </w:r>
          </w:p>
          <w:p>
            <w:pPr>
              <w:jc w:val="both"/>
              <w:rPr>
                <w:rFonts w:hint="eastAsia" w:ascii="仿宋" w:hAnsi="仿宋" w:eastAsia="仿宋" w:cs="仿宋"/>
                <w:sz w:val="24"/>
                <w:szCs w:val="24"/>
              </w:rPr>
            </w:pPr>
            <w:r>
              <w:rPr>
                <w:rFonts w:hint="eastAsia" w:ascii="仿宋" w:hAnsi="仿宋" w:eastAsia="仿宋" w:cs="仿宋"/>
                <w:sz w:val="24"/>
                <w:szCs w:val="24"/>
              </w:rPr>
              <w:t>2.严格执行国家粮食质量标准和食品安全标准，严把粮食收购、储存、销售出库质量安全关。</w:t>
            </w:r>
          </w:p>
          <w:p>
            <w:pPr>
              <w:jc w:val="both"/>
              <w:rPr>
                <w:rFonts w:hint="eastAsia" w:ascii="仿宋" w:hAnsi="仿宋" w:eastAsia="仿宋" w:cs="仿宋"/>
                <w:sz w:val="24"/>
                <w:szCs w:val="24"/>
              </w:rPr>
            </w:pPr>
            <w:r>
              <w:rPr>
                <w:rFonts w:hint="eastAsia" w:ascii="仿宋" w:hAnsi="仿宋" w:eastAsia="仿宋" w:cs="仿宋"/>
                <w:sz w:val="24"/>
                <w:szCs w:val="24"/>
              </w:rPr>
              <w:t>3.建立超标粮食处置长效机制，对不符合食品安全标准的粮食实施定点收购、分类储存、定向销售、闭环处置，不得作为食用用途销售。</w:t>
            </w:r>
          </w:p>
          <w:p>
            <w:pPr>
              <w:jc w:val="both"/>
              <w:rPr>
                <w:rFonts w:hint="eastAsia" w:ascii="仿宋" w:hAnsi="仿宋" w:eastAsia="仿宋" w:cs="仿宋"/>
                <w:sz w:val="24"/>
                <w:szCs w:val="24"/>
              </w:rPr>
            </w:pPr>
            <w:r>
              <w:rPr>
                <w:rFonts w:hint="eastAsia" w:ascii="仿宋" w:hAnsi="仿宋" w:eastAsia="仿宋" w:cs="仿宋"/>
                <w:sz w:val="24"/>
                <w:szCs w:val="24"/>
              </w:rPr>
              <w:t>4.按要求开展粮食质量安全检验监测工作，库存粮食质量监测覆盖比例不低于库存数量的25%，库存粮食监测发现问题处置率达到 100%。</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县发改局</w:t>
            </w:r>
            <w:r>
              <w:rPr>
                <w:rFonts w:hint="eastAsia" w:ascii="仿宋" w:hAnsi="仿宋" w:eastAsia="仿宋" w:cs="仿宋"/>
                <w:sz w:val="24"/>
                <w:szCs w:val="24"/>
                <w:lang w:eastAsia="zh-CN"/>
              </w:rPr>
              <w:t>，质量室、价格室、食品室，各市场监管所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6.加强进口食用农产品监管, 防范风险输入。</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严格落实《农产品质量安全法》《食品安全法》相关规定，严厉打击非法进口和不符合国内规定的进口食用农产品。</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县农业农村局</w:t>
            </w:r>
            <w:r>
              <w:rPr>
                <w:rFonts w:hint="eastAsia" w:ascii="仿宋" w:hAnsi="仿宋" w:eastAsia="仿宋" w:cs="仿宋"/>
                <w:sz w:val="24"/>
                <w:szCs w:val="24"/>
                <w:lang w:eastAsia="zh-CN"/>
              </w:rPr>
              <w:t>，各市场监管所，执法稽查队、食品室</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trPr>
        <w:tc>
          <w:tcPr>
            <w:tcW w:w="500" w:type="dxa"/>
            <w:vMerge w:val="restart"/>
            <w:tcBorders>
              <w:bottom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867" w:type="dxa"/>
            <w:vMerge w:val="restart"/>
            <w:tcBorders>
              <w:bottom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(二)加强食品生产经营风险 监管</w:t>
            </w: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1.严格执行食品生产经营许可审查通则，强化食品安全源头管控。</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不断加强审批部门、监管部门对《食品生产许可管理办法》和 食品生产经营许可审查通则等法律法规、标准规范的学习，提升审批、审查和监管能力，把好市场主体“准入关 ”。</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县审批局，食品室，各市场监管所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500" w:type="dxa"/>
            <w:vMerge w:val="continue"/>
            <w:tcBorders>
              <w:top w:val="nil"/>
              <w:bottom w:val="nil"/>
            </w:tcBorders>
            <w:noWrap w:val="0"/>
            <w:vAlign w:val="center"/>
          </w:tcPr>
          <w:p>
            <w:pPr>
              <w:jc w:val="center"/>
              <w:rPr>
                <w:rFonts w:hint="eastAsia" w:ascii="仿宋" w:hAnsi="仿宋" w:eastAsia="仿宋" w:cs="仿宋"/>
                <w:sz w:val="24"/>
                <w:szCs w:val="24"/>
              </w:rPr>
            </w:pPr>
          </w:p>
        </w:tc>
        <w:tc>
          <w:tcPr>
            <w:tcW w:w="867" w:type="dxa"/>
            <w:vMerge w:val="continue"/>
            <w:tcBorders>
              <w:top w:val="nil"/>
              <w:bottom w:val="nil"/>
            </w:tcBorders>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2.按照“一企一档 ”要求，督促生产企业建立风险清单、措施清单和责任清单,对重点品种生产企业开展体系检查、飞行检查，健全信息记录制度，完善食品生产安全追溯机制，实现生产信息可查询、问题产品可召回、工作责任可溯源。</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1.贯彻《食品安全法》预防为主、风险管理的食品安全工作原 则，落实“一企一档、一域一档、一品一策 ”的工作举措，着力防范和化解风险，保障食品安全。</w:t>
            </w:r>
          </w:p>
          <w:p>
            <w:pPr>
              <w:jc w:val="both"/>
              <w:rPr>
                <w:rFonts w:hint="eastAsia" w:ascii="仿宋" w:hAnsi="仿宋" w:eastAsia="仿宋" w:cs="仿宋"/>
                <w:sz w:val="24"/>
                <w:szCs w:val="24"/>
              </w:rPr>
            </w:pPr>
            <w:r>
              <w:rPr>
                <w:rFonts w:hint="eastAsia" w:ascii="仿宋" w:hAnsi="仿宋" w:eastAsia="仿宋" w:cs="仿宋"/>
                <w:sz w:val="24"/>
                <w:szCs w:val="24"/>
              </w:rPr>
              <w:t>2.认真贯彻落实《企业落实食品安全主体责任规定》，督促企业建立重点食品的风险清单、责任清单、措施清单，依据风险清单，落实“日管控、周排查、月调度”主体责任。</w:t>
            </w:r>
          </w:p>
          <w:p>
            <w:pPr>
              <w:jc w:val="both"/>
              <w:rPr>
                <w:rFonts w:hint="eastAsia" w:ascii="仿宋" w:hAnsi="仿宋" w:eastAsia="仿宋" w:cs="仿宋"/>
                <w:sz w:val="24"/>
                <w:szCs w:val="24"/>
              </w:rPr>
            </w:pPr>
            <w:r>
              <w:rPr>
                <w:rFonts w:hint="eastAsia" w:ascii="仿宋" w:hAnsi="仿宋" w:eastAsia="仿宋" w:cs="仿宋"/>
                <w:sz w:val="24"/>
                <w:szCs w:val="24"/>
              </w:rPr>
              <w:t>3.对重点品种生产企业开展体系检查</w:t>
            </w:r>
            <w:r>
              <w:rPr>
                <w:rFonts w:hint="eastAsia" w:ascii="仿宋" w:hAnsi="仿宋" w:eastAsia="仿宋" w:cs="仿宋"/>
                <w:sz w:val="24"/>
                <w:szCs w:val="24"/>
                <w:lang w:eastAsia="zh-CN"/>
              </w:rPr>
              <w:t>、</w:t>
            </w:r>
            <w:r>
              <w:rPr>
                <w:rFonts w:hint="eastAsia" w:ascii="仿宋" w:hAnsi="仿宋" w:eastAsia="仿宋" w:cs="仿宋"/>
                <w:sz w:val="24"/>
                <w:szCs w:val="24"/>
              </w:rPr>
              <w:t>飞行检查，健全信息记录制度，完善食品生产安全追溯机制，实现生产信息可查询、问题产品可召回、工作责任可溯源。</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食品室，各市场监管所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500" w:type="dxa"/>
            <w:vMerge w:val="continue"/>
            <w:tcBorders>
              <w:top w:val="nil"/>
              <w:bottom w:val="nil"/>
            </w:tcBorders>
            <w:noWrap w:val="0"/>
            <w:vAlign w:val="center"/>
          </w:tcPr>
          <w:p>
            <w:pPr>
              <w:jc w:val="center"/>
              <w:rPr>
                <w:rFonts w:hint="eastAsia" w:ascii="仿宋" w:hAnsi="仿宋" w:eastAsia="仿宋" w:cs="仿宋"/>
                <w:sz w:val="24"/>
                <w:szCs w:val="24"/>
              </w:rPr>
            </w:pPr>
          </w:p>
        </w:tc>
        <w:tc>
          <w:tcPr>
            <w:tcW w:w="867" w:type="dxa"/>
            <w:vMerge w:val="continue"/>
            <w:tcBorders>
              <w:top w:val="nil"/>
              <w:bottom w:val="nil"/>
            </w:tcBorders>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3.落实食品销售安全风险分级动态管理制度。</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根据《食品生产经营监督管理办法》《企业落实食品安全主体 责任规定》《市场监管总局办公厅关于开展食品经营风险分级 管理工作的指导意见》（市监食经〔2019〕64号）文件要求，认真贯彻落实企业主体责任，确保辖区内取得《食品经营许可证》的食品销售者全部纳入风险分级评定范围，实现风险分级管理全覆盖。</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食品室、各市场监管所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00" w:type="dxa"/>
            <w:vMerge w:val="continue"/>
            <w:tcBorders>
              <w:top w:val="nil"/>
            </w:tcBorders>
            <w:noWrap w:val="0"/>
            <w:vAlign w:val="center"/>
          </w:tcPr>
          <w:p>
            <w:pPr>
              <w:jc w:val="center"/>
              <w:rPr>
                <w:rFonts w:hint="eastAsia" w:ascii="仿宋" w:hAnsi="仿宋" w:eastAsia="仿宋" w:cs="仿宋"/>
                <w:sz w:val="24"/>
                <w:szCs w:val="24"/>
              </w:rPr>
            </w:pPr>
          </w:p>
        </w:tc>
        <w:tc>
          <w:tcPr>
            <w:tcW w:w="867" w:type="dxa"/>
            <w:vMerge w:val="continue"/>
            <w:tcBorders>
              <w:top w:val="nil"/>
            </w:tcBorders>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4.开展大型食品销售企业体系检查，严控食品销售安全风险。</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配合自治区市场监管厅开展大型食品销售企业体系检查，严控食品销售安全风险。</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食品室、各市场监管所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019" w:hRule="atLeast"/>
        </w:trPr>
        <w:tc>
          <w:tcPr>
            <w:tcW w:w="500" w:type="dxa"/>
            <w:vMerge w:val="restart"/>
            <w:tcBorders>
              <w:bottom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867" w:type="dxa"/>
            <w:vMerge w:val="restart"/>
            <w:tcBorders>
              <w:bottom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（三)加强农村食品安监管</w:t>
            </w: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1.深入开展农村食品安全专项 整治,以食品加工小作坊、小餐饮、小销售店、小摊点等食品生产经营主体和农村集市、食品批发市场、城乡结合部为重点对象,以米面油、饮料、调味品等为重点品种,严厉打击无证无照、假冒伪劣、“三无 ”和过期变质食品等违法违规行为,严肃查处农村假冒伪劣食品违法案件。</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1.对全县各类食品生产加工经营主体开展自治区党委十三届四次全会精神</w:t>
            </w:r>
            <w:r>
              <w:rPr>
                <w:rFonts w:hint="eastAsia" w:ascii="仿宋" w:hAnsi="仿宋" w:eastAsia="仿宋" w:cs="仿宋"/>
                <w:sz w:val="24"/>
                <w:szCs w:val="24"/>
                <w:lang w:eastAsia="zh-CN"/>
              </w:rPr>
              <w:t>和</w:t>
            </w:r>
            <w:r>
              <w:rPr>
                <w:rFonts w:hint="eastAsia" w:ascii="仿宋" w:hAnsi="仿宋" w:eastAsia="仿宋" w:cs="仿宋"/>
                <w:sz w:val="24"/>
                <w:szCs w:val="24"/>
              </w:rPr>
              <w:t>1+37+8重要系列文件的宣传贯彻，督促各类主体开展全员宣传培训，确保会议精神和文件落地落实落细。</w:t>
            </w:r>
          </w:p>
          <w:p>
            <w:pPr>
              <w:jc w:val="both"/>
              <w:rPr>
                <w:rFonts w:hint="eastAsia" w:ascii="仿宋" w:hAnsi="仿宋" w:eastAsia="仿宋" w:cs="仿宋"/>
                <w:sz w:val="24"/>
                <w:szCs w:val="24"/>
              </w:rPr>
            </w:pPr>
            <w:r>
              <w:rPr>
                <w:rFonts w:hint="eastAsia" w:ascii="仿宋" w:hAnsi="仿宋" w:eastAsia="仿宋" w:cs="仿宋"/>
                <w:sz w:val="24"/>
                <w:szCs w:val="24"/>
              </w:rPr>
              <w:t>2.坚持目标导向、问题导向，以重点地区、重点市场、重点品种为突破口，深入开展农村食品安全隐患大排查，对排查出的食品安全隐患问题，要加大整治力度，实行销号管理。</w:t>
            </w:r>
          </w:p>
          <w:p>
            <w:pPr>
              <w:jc w:val="both"/>
              <w:rPr>
                <w:rFonts w:hint="eastAsia" w:ascii="仿宋" w:hAnsi="仿宋" w:eastAsia="仿宋" w:cs="仿宋"/>
                <w:sz w:val="24"/>
                <w:szCs w:val="24"/>
              </w:rPr>
            </w:pPr>
            <w:r>
              <w:rPr>
                <w:rFonts w:hint="eastAsia" w:ascii="仿宋" w:hAnsi="仿宋" w:eastAsia="仿宋" w:cs="仿宋"/>
                <w:sz w:val="24"/>
                <w:szCs w:val="24"/>
              </w:rPr>
              <w:t>3.建立风险隐患清单，有针对性的制定整改措施，明确整治重点，采取突击检查、随机抽查、明察暗访、交叉检查、联合检查等方式开展监督检查，切实做到整改一个，销号一个，巩固一个。</w:t>
            </w:r>
          </w:p>
          <w:p>
            <w:pPr>
              <w:jc w:val="both"/>
              <w:rPr>
                <w:rFonts w:hint="eastAsia" w:ascii="仿宋" w:hAnsi="仿宋" w:eastAsia="仿宋" w:cs="仿宋"/>
                <w:sz w:val="24"/>
                <w:szCs w:val="24"/>
              </w:rPr>
            </w:pPr>
            <w:r>
              <w:rPr>
                <w:rFonts w:hint="eastAsia" w:ascii="仿宋" w:hAnsi="仿宋" w:eastAsia="仿宋" w:cs="仿宋"/>
                <w:sz w:val="24"/>
                <w:szCs w:val="24"/>
              </w:rPr>
              <w:t>4.狠抓大案要案查处，对涉案食品要加强源头追溯。发现违法线索，要从严从快从重惩治违法行为。</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食品室、餐饮室、执法稽查队、政策法规室、各市场监管所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69" w:hRule="atLeast"/>
        </w:trPr>
        <w:tc>
          <w:tcPr>
            <w:tcW w:w="500" w:type="dxa"/>
            <w:vMerge w:val="continue"/>
            <w:tcBorders>
              <w:top w:val="nil"/>
            </w:tcBorders>
            <w:noWrap w:val="0"/>
            <w:vAlign w:val="center"/>
          </w:tcPr>
          <w:p>
            <w:pPr>
              <w:jc w:val="center"/>
              <w:rPr>
                <w:rFonts w:hint="eastAsia" w:ascii="仿宋" w:hAnsi="仿宋" w:eastAsia="仿宋" w:cs="仿宋"/>
                <w:sz w:val="24"/>
                <w:szCs w:val="24"/>
              </w:rPr>
            </w:pPr>
          </w:p>
        </w:tc>
        <w:tc>
          <w:tcPr>
            <w:tcW w:w="867" w:type="dxa"/>
            <w:vMerge w:val="continue"/>
            <w:tcBorders>
              <w:top w:val="nil"/>
            </w:tcBorders>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2.落实自治区农村集体聚餐食品安全管理制度,建立“事前有 申报、过程有监管、事后可追溯 ”工作机制,督促承办者严格 落实信息报告、从业人员健康 管理、原料采购和贮存、加工制作、清洗消毒等规范要求,防范农村集体聚餐风险。</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依据《国务院食品安全办关于进一步强化农村集体聚餐食品安全风险防控的指导意见》及《石嘴山市县乡“属地管理”事项 主体责任和配合责任清单指导目录》《平罗县食品安全委员会办公室关于进一步加强农村集体聚餐食品安全隐患排查工作的通知》，明确工作目标及各方责任，全面强化报备、指导、监管工作机制，确保农村集体聚餐食品安全。</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各乡镇，各市场监管所，餐饮室</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0" w:hRule="atLeast"/>
        </w:trPr>
        <w:tc>
          <w:tcPr>
            <w:tcW w:w="50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867"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（四)加强校园食品安全监 管</w:t>
            </w:r>
          </w:p>
        </w:tc>
        <w:tc>
          <w:tcPr>
            <w:tcW w:w="3761" w:type="dxa"/>
            <w:noWrap w:val="0"/>
            <w:vAlign w:val="center"/>
          </w:tcPr>
          <w:p>
            <w:pPr>
              <w:jc w:val="both"/>
              <w:rPr>
                <w:rFonts w:hint="eastAsia" w:ascii="仿宋" w:hAnsi="仿宋" w:eastAsia="仿宋" w:cs="仿宋"/>
                <w:sz w:val="24"/>
                <w:szCs w:val="24"/>
                <w:lang w:eastAsia="zh-CN"/>
              </w:rPr>
            </w:pPr>
            <w:r>
              <w:rPr>
                <w:rFonts w:hint="eastAsia" w:ascii="仿宋" w:hAnsi="仿宋" w:eastAsia="仿宋" w:cs="仿宋"/>
                <w:sz w:val="24"/>
                <w:szCs w:val="24"/>
              </w:rPr>
              <w:t>1.督促落实校长(园长)食品安全责任制和相关负责人陪餐制度，学校食堂、校外供餐单位按规定配备食品安全总监、食品安全员，制定食品安全风险管控清单，建立健全“日管控、周排查、月调</w:t>
            </w:r>
            <w:r>
              <w:rPr>
                <w:rFonts w:hint="eastAsia" w:ascii="仿宋" w:hAnsi="仿宋" w:eastAsia="仿宋" w:cs="仿宋"/>
                <w:sz w:val="24"/>
                <w:szCs w:val="24"/>
                <w:lang w:eastAsia="zh-CN"/>
              </w:rPr>
              <w:t>度”</w:t>
            </w:r>
            <w:r>
              <w:rPr>
                <w:rFonts w:hint="eastAsia" w:ascii="仿宋" w:hAnsi="仿宋" w:eastAsia="仿宋" w:cs="仿宋"/>
                <w:sz w:val="24"/>
                <w:szCs w:val="24"/>
              </w:rPr>
              <w:t>工作制度和机制，严格落实从业人员健康、食品安全自查、食品进货查验记录、原料控制、</w:t>
            </w:r>
            <w:r>
              <w:rPr>
                <w:rFonts w:hint="eastAsia" w:ascii="仿宋" w:hAnsi="仿宋" w:eastAsia="仿宋" w:cs="仿宋"/>
                <w:spacing w:val="-6"/>
                <w:sz w:val="24"/>
                <w:szCs w:val="24"/>
              </w:rPr>
              <w:t>过程控制等管理制度</w:t>
            </w:r>
            <w:r>
              <w:rPr>
                <w:rFonts w:hint="eastAsia" w:ascii="仿宋" w:hAnsi="仿宋" w:eastAsia="仿宋" w:cs="仿宋"/>
                <w:sz w:val="24"/>
                <w:szCs w:val="24"/>
                <w:lang w:eastAsia="zh-CN"/>
              </w:rPr>
              <w:t>。</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依据《校园食品安全与营养健康管理规定》加强督导检查，督促落实校长(园长)食品安全责任制和相关负责人陪餐制度；依据《企业落实食品安全主体责任监督管理规定》强化督查，校外供餐单位按规定配备食品安全总监、食品安全员，制定食品安全风险管控清单，建立健全并落实“日管控、周排查、月调度”工作机制及食品安全相关制度。</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2.每年开展春秋季校园食品安全专项整治，全面排查风险隐患。</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依据国家四部委《关于主体责任强化校园食品安全管理的指导意见》联合行业主管部门每年春秋两季开学之季开展校园食品风险隐患排查。</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3.定期对学校食堂承包企业开展食品安全专项排查。</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依据国家四部委《关于主体责任强化校园食品安全管理的指导意见》联合行业主管部门每年春秋两季开学之季开展校园食品风险隐患排查。</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4.全面推进“互联网+明厨亮灶”应用，开展网上巡查。</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依据自治区市场监管厅教育厅《宁夏校园食堂“互联网+明厨亮灶”智慧监管系统建设方案》全面推进“互联网+明厨亮灶”应用，不定期通过手机APP开展网上巡查。</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5.严厉打击校园周边食品生产经营违法违规行为。</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依据国家四部委《关于主体责任强化校园食品安全管理的指导意见》联合行业主管部门每年春秋两季开学之季开展校园食品风险隐患排查。</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餐饮室、食品室、各市场监管所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50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867"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（五 ) 加强餐饮质量安全监管</w:t>
            </w: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1.督促餐饮服务单位严格落实《餐饮服务食品安全操作规范》。</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加强《餐饮服务食品安全操作规范》宣传教育培训，各级包保干部和执法人员结合督导任务和日常监督检查，督导督促餐饮服务单位认真落实食品安全主体责任。</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20"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2.依据自治区餐饮业“清洁厨房”评价规范地方标准，推行色标管理、4D 管理方法，全力打造“清洁厨房”。</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根据自治区餐饮业“清洁厨房 ”评价规范地方标准出台情况，结合县市场监管局“六项行动”工作方案，在大中型餐饮单位全面开展“清洁厨房 ”整治行动，督导餐饮服务单位推行色标管理、4D管理。加大对集体用餐单位的监督检查，指导并鼓励其建立稳定的食材供货渠道和追溯体系，确保供餐食品安全。</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1"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3.鼓励集体用餐单位建立稳定的食材供应渠道和追溯记录，保证购进原料符合食品安全标准。</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充分发挥校园食堂食品食材统一配送平台作用，鼓励各类集用餐单位通过统一配送平台采购食材原料，降低食品采购风险，实现食材供应渠道安全稳定、追溯来源可靠。</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1"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4.强化主管部门对养老机构、福利院、医疗机构、建筑工地、残疾人康复机构食堂等集中用餐单位的食品安全教育和日常管理，健全从业人员培训、索证索票、食品留样等食品安全管理制度，对违法违规行为依法依规处理，及时消除食品安全隐患。</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依据《食品生产经营监督检查管理办法》每年不定期开展对养老机构、医疗机构、建筑工地、残疾人康复机构食堂等集中用餐单位的食品安全专项检查，强化风险隐患排查，查处违法违规，同时联合行业主管部门开展食品安全知识培训增强风险防范意识。</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5.开展餐具饮具集中消毒服务单位专项整治。</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依据《食品安全法》第五十八条、第一百二十六第条第二款落实。</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县卫健局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6.督促网络食品交易第三方平台提供者加强入网食品经营者的登记审查、信息公示等管理，督促入网餐饮服务单位保证线上线下餐饮食品同标同质。</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依据《网络餐饮服务食品安全监督管理办法》不定期开展网络餐饮食品安全检查，以督促网络食品交易第三方平台提供者主动履行责任，切实加强对入网食品经营者的登记审查、信息公示等管理，以确保线上线下餐饮食品同标同质。</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长期</w:t>
            </w:r>
            <w:r>
              <w:rPr>
                <w:rFonts w:hint="eastAsia" w:ascii="仿宋" w:hAnsi="仿宋" w:eastAsia="仿宋" w:cs="仿宋"/>
                <w:sz w:val="24"/>
                <w:szCs w:val="24"/>
              </w:rPr>
              <w:t>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00" w:type="dxa"/>
            <w:vMerge w:val="restart"/>
            <w:tcBorders>
              <w:bottom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867" w:type="dxa"/>
            <w:vMerge w:val="restart"/>
            <w:tcBorders>
              <w:bottom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(六)</w:t>
            </w:r>
          </w:p>
          <w:p>
            <w:pPr>
              <w:jc w:val="center"/>
              <w:rPr>
                <w:rFonts w:hint="eastAsia" w:ascii="仿宋" w:hAnsi="仿宋" w:eastAsia="仿宋" w:cs="仿宋"/>
                <w:sz w:val="24"/>
                <w:szCs w:val="24"/>
              </w:rPr>
            </w:pPr>
            <w:r>
              <w:rPr>
                <w:rFonts w:hint="eastAsia" w:ascii="仿宋" w:hAnsi="仿宋" w:eastAsia="仿宋" w:cs="仿宋"/>
                <w:sz w:val="24"/>
                <w:szCs w:val="24"/>
              </w:rPr>
              <w:t>加强特殊食品 安全监管</w:t>
            </w: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1.严格执行《保健食品注册与备案管理办法》等规定，加强特殊食品生产经营监管。</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严格依照《食品安全法》及其实施条例</w:t>
            </w:r>
            <w:r>
              <w:rPr>
                <w:rFonts w:hint="eastAsia" w:ascii="仿宋" w:hAnsi="仿宋" w:eastAsia="仿宋" w:cs="仿宋"/>
                <w:sz w:val="24"/>
                <w:szCs w:val="24"/>
                <w:lang w:eastAsia="zh-CN"/>
              </w:rPr>
              <w:t>，</w:t>
            </w:r>
            <w:r>
              <w:rPr>
                <w:rFonts w:hint="eastAsia" w:ascii="仿宋" w:hAnsi="仿宋" w:eastAsia="仿宋" w:cs="仿宋"/>
                <w:sz w:val="24"/>
                <w:szCs w:val="24"/>
              </w:rPr>
              <w:t>《食品生产经营监督管理办法》《企业落实食品安全主体责任规定》等法律法规、标准规范的要求，加强保健食品、婴幼儿配方乳粉、特殊医学膳食食品等特殊食品经营监管。</w:t>
            </w:r>
          </w:p>
        </w:tc>
        <w:tc>
          <w:tcPr>
            <w:tcW w:w="1168" w:type="dxa"/>
            <w:vMerge w:val="restart"/>
            <w:noWrap w:val="0"/>
            <w:vAlign w:val="center"/>
          </w:tcPr>
          <w:p>
            <w:pP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lang w:eastAsia="zh-CN"/>
              </w:rPr>
              <w:t>食品室、执法稽查队、政策法规室，各市场监管所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8" w:hRule="atLeast"/>
        </w:trPr>
        <w:tc>
          <w:tcPr>
            <w:tcW w:w="500" w:type="dxa"/>
            <w:vMerge w:val="continue"/>
            <w:tcBorders>
              <w:top w:val="nil"/>
            </w:tcBorders>
            <w:noWrap w:val="0"/>
            <w:vAlign w:val="center"/>
          </w:tcPr>
          <w:p>
            <w:pPr>
              <w:jc w:val="center"/>
              <w:rPr>
                <w:rFonts w:hint="eastAsia" w:ascii="仿宋" w:hAnsi="仿宋" w:eastAsia="仿宋" w:cs="仿宋"/>
                <w:sz w:val="24"/>
                <w:szCs w:val="24"/>
              </w:rPr>
            </w:pPr>
          </w:p>
        </w:tc>
        <w:tc>
          <w:tcPr>
            <w:tcW w:w="867" w:type="dxa"/>
            <w:vMerge w:val="continue"/>
            <w:tcBorders>
              <w:top w:val="nil"/>
            </w:tcBorders>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.开展保健食品清理整治行动，加大联合执法力度，严厉打击保健食品非法生产经营、非法添加，以购物送礼、讲座会销、养生知识等形式变相销售保健食品，标签说明书宣称疾病预防、治疗功能等行为， 切实规范保健食品生产经营秩序。</w:t>
            </w:r>
          </w:p>
          <w:p>
            <w:pPr>
              <w:jc w:val="both"/>
              <w:rPr>
                <w:rFonts w:hint="eastAsia" w:ascii="仿宋" w:hAnsi="仿宋" w:eastAsia="仿宋" w:cs="仿宋"/>
                <w:sz w:val="24"/>
                <w:szCs w:val="24"/>
              </w:rPr>
            </w:pPr>
            <w:r>
              <w:rPr>
                <w:rFonts w:hint="eastAsia" w:ascii="仿宋" w:hAnsi="仿宋" w:eastAsia="仿宋" w:cs="仿宋"/>
                <w:sz w:val="24"/>
                <w:szCs w:val="24"/>
              </w:rPr>
              <w:t>3.依法依规严格审查保健食品广告，严厉查处未经审查发布 保健食品广告以及发布虚假保 健食品广告，保健食品欺诈和 虚假宣传等违法犯罪行为。</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按照自治区市场监管厅、自治区党委宣传部、自治区公安厅、商务厅、文旅厅、广电局《关于印发&lt;2023年全区保健食品行业专项清理整治工作方案&gt;的通知》（宁市监发〔2023〕51号）文件精神，扎实开展整治行动，加大联合执法力度，严厉打击保健食品违法违规行为。</w:t>
            </w:r>
          </w:p>
        </w:tc>
        <w:tc>
          <w:tcPr>
            <w:tcW w:w="1168" w:type="dxa"/>
            <w:vMerge w:val="continue"/>
            <w:noWrap w:val="0"/>
            <w:vAlign w:val="center"/>
          </w:tcPr>
          <w:p>
            <w:pPr>
              <w:jc w:val="center"/>
              <w:rPr>
                <w:rFonts w:hint="eastAsia" w:ascii="仿宋" w:hAnsi="仿宋" w:eastAsia="仿宋" w:cs="仿宋"/>
                <w:sz w:val="24"/>
                <w:szCs w:val="24"/>
              </w:rPr>
            </w:pPr>
          </w:p>
        </w:tc>
        <w:tc>
          <w:tcPr>
            <w:tcW w:w="1254" w:type="dxa"/>
            <w:noWrap w:val="0"/>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500" w:type="dxa"/>
            <w:vMerge w:val="restart"/>
            <w:tcBorders>
              <w:bottom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867" w:type="dxa"/>
            <w:vMerge w:val="restart"/>
            <w:tcBorders>
              <w:bottom w:val="nil"/>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（七)严厉打击食品安全违 法犯罪行为</w:t>
            </w: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1.按照《中华人民共和国食品安全法》等法律法规，对违法企业及其法定代表人、实际控制人、主要负责人等直接负责的主管人员和其他直接责任人员依法处罚。</w:t>
            </w:r>
          </w:p>
        </w:tc>
        <w:tc>
          <w:tcPr>
            <w:tcW w:w="6772" w:type="dxa"/>
            <w:vMerge w:val="restart"/>
            <w:tcBorders>
              <w:bottom w:val="nil"/>
            </w:tcBorders>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按照《中华人民共和国食品安全法》《食品安全法实施条例》等法律法规，认真落实《平罗县公安局与市场监督管理局联动执法协作工作机制》（平公发〔2018〕61号）、《平罗县人民检察院平罗县市场监督管理局办理食品药品安全领域公益诉讼案件协作机制》（平检发〔2018〕46号）等工作制度机制，严格落实行刑衔接和处罚到人惩处措施。</w:t>
            </w:r>
          </w:p>
          <w:p>
            <w:pPr>
              <w:jc w:val="both"/>
              <w:rPr>
                <w:rFonts w:hint="eastAsia" w:ascii="仿宋" w:hAnsi="仿宋" w:eastAsia="仿宋" w:cs="仿宋"/>
                <w:sz w:val="24"/>
                <w:szCs w:val="24"/>
              </w:rPr>
            </w:pPr>
            <w:r>
              <w:rPr>
                <w:rFonts w:hint="eastAsia" w:ascii="仿宋" w:hAnsi="仿宋" w:eastAsia="仿宋" w:cs="仿宋"/>
                <w:sz w:val="24"/>
                <w:szCs w:val="24"/>
              </w:rPr>
              <w:t>2.根据相关法律法规及自治区公安厅关于“昆仑”行动的相关安排部署和自治区市场监管厅《关于印发2023民生领域案件查办“铁拳”行动方案的通知》（宁市监发〔2023〕149号）文件要求</w:t>
            </w:r>
            <w:r>
              <w:rPr>
                <w:rFonts w:hint="eastAsia" w:ascii="仿宋" w:hAnsi="仿宋" w:eastAsia="仿宋" w:cs="仿宋"/>
                <w:sz w:val="24"/>
                <w:szCs w:val="24"/>
                <w:lang w:eastAsia="zh-CN"/>
              </w:rPr>
              <w:t>，</w:t>
            </w:r>
            <w:r>
              <w:rPr>
                <w:rFonts w:hint="eastAsia" w:ascii="仿宋" w:hAnsi="仿宋" w:eastAsia="仿宋" w:cs="仿宋"/>
                <w:sz w:val="24"/>
                <w:szCs w:val="24"/>
              </w:rPr>
              <w:t>结合我县实际，坚持问题导向，聚焦群众期盼、社会关注和监管难点，加大案件查办力度。联合执法、综合执法优势，集中力量，重拳出</w:t>
            </w:r>
          </w:p>
          <w:p>
            <w:pPr>
              <w:jc w:val="both"/>
              <w:rPr>
                <w:rFonts w:hint="eastAsia" w:ascii="仿宋" w:hAnsi="仿宋" w:eastAsia="仿宋" w:cs="仿宋"/>
                <w:sz w:val="24"/>
                <w:szCs w:val="24"/>
              </w:rPr>
            </w:pPr>
            <w:r>
              <w:rPr>
                <w:rFonts w:hint="eastAsia" w:ascii="仿宋" w:hAnsi="仿宋" w:eastAsia="仿宋" w:cs="仿宋"/>
                <w:sz w:val="24"/>
                <w:szCs w:val="24"/>
              </w:rPr>
              <w:t>击，严厉查办一批民生领域性质恶劣的违法案件，努力营造安全放心的消费环境。推动执法要求与执法形式相统一，执法效果与社会效果相统一。</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县公安局</w:t>
            </w:r>
            <w:r>
              <w:rPr>
                <w:rFonts w:hint="eastAsia" w:ascii="仿宋" w:hAnsi="仿宋" w:eastAsia="仿宋" w:cs="仿宋"/>
                <w:sz w:val="24"/>
                <w:szCs w:val="24"/>
                <w:lang w:eastAsia="zh-CN"/>
              </w:rPr>
              <w:t>，执法稽查队、政策法规室、食品室、餐饮室，各市场监管所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51" w:hRule="atLeast"/>
        </w:trPr>
        <w:tc>
          <w:tcPr>
            <w:tcW w:w="500" w:type="dxa"/>
            <w:vMerge w:val="continue"/>
            <w:tcBorders>
              <w:top w:val="nil"/>
              <w:bottom w:val="nil"/>
            </w:tcBorders>
            <w:noWrap w:val="0"/>
            <w:vAlign w:val="center"/>
          </w:tcPr>
          <w:p>
            <w:pPr>
              <w:jc w:val="center"/>
              <w:rPr>
                <w:rFonts w:hint="eastAsia" w:ascii="仿宋" w:hAnsi="仿宋" w:eastAsia="仿宋" w:cs="仿宋"/>
                <w:sz w:val="24"/>
                <w:szCs w:val="24"/>
              </w:rPr>
            </w:pPr>
          </w:p>
        </w:tc>
        <w:tc>
          <w:tcPr>
            <w:tcW w:w="867" w:type="dxa"/>
            <w:vMerge w:val="continue"/>
            <w:tcBorders>
              <w:top w:val="nil"/>
              <w:bottom w:val="nil"/>
            </w:tcBorders>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2.深入开展“铁拳”行动，聚焦重点领域查办一批违法案件，依法依规列入严重违法失信名单，严打重处性质恶劣的违法行为。</w:t>
            </w:r>
          </w:p>
        </w:tc>
        <w:tc>
          <w:tcPr>
            <w:tcW w:w="6772" w:type="dxa"/>
            <w:vMerge w:val="continue"/>
            <w:tcBorders>
              <w:top w:val="nil"/>
              <w:bottom w:val="nil"/>
            </w:tcBorders>
            <w:noWrap w:val="0"/>
            <w:vAlign w:val="center"/>
          </w:tcPr>
          <w:p>
            <w:pPr>
              <w:jc w:val="both"/>
              <w:rPr>
                <w:rFonts w:hint="eastAsia" w:ascii="仿宋" w:hAnsi="仿宋" w:eastAsia="仿宋" w:cs="仿宋"/>
                <w:sz w:val="24"/>
                <w:szCs w:val="24"/>
              </w:rPr>
            </w:pP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县公安局</w:t>
            </w:r>
            <w:r>
              <w:rPr>
                <w:rFonts w:hint="eastAsia" w:ascii="仿宋" w:hAnsi="仿宋" w:eastAsia="仿宋" w:cs="仿宋"/>
                <w:sz w:val="24"/>
                <w:szCs w:val="24"/>
                <w:lang w:eastAsia="zh-CN"/>
              </w:rPr>
              <w:t>，执法稽查队、政策法规室，各市场监管所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rPr>
        <w:tc>
          <w:tcPr>
            <w:tcW w:w="500" w:type="dxa"/>
            <w:vMerge w:val="continue"/>
            <w:tcBorders>
              <w:top w:val="nil"/>
            </w:tcBorders>
            <w:noWrap w:val="0"/>
            <w:vAlign w:val="center"/>
          </w:tcPr>
          <w:p>
            <w:pPr>
              <w:jc w:val="center"/>
              <w:rPr>
                <w:rFonts w:hint="eastAsia" w:ascii="仿宋" w:hAnsi="仿宋" w:eastAsia="仿宋" w:cs="仿宋"/>
                <w:sz w:val="24"/>
                <w:szCs w:val="24"/>
              </w:rPr>
            </w:pPr>
          </w:p>
        </w:tc>
        <w:tc>
          <w:tcPr>
            <w:tcW w:w="867" w:type="dxa"/>
            <w:vMerge w:val="continue"/>
            <w:tcBorders>
              <w:top w:val="nil"/>
            </w:tcBorders>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3.开展“昆仑</w:t>
            </w:r>
            <w:r>
              <w:rPr>
                <w:rFonts w:hint="eastAsia" w:ascii="仿宋" w:hAnsi="仿宋" w:eastAsia="仿宋" w:cs="仿宋"/>
                <w:sz w:val="24"/>
                <w:szCs w:val="24"/>
                <w:lang w:eastAsia="zh-CN"/>
              </w:rPr>
              <w:t>”</w:t>
            </w:r>
            <w:r>
              <w:rPr>
                <w:rFonts w:hint="eastAsia" w:ascii="仿宋" w:hAnsi="仿宋" w:eastAsia="仿宋" w:cs="仿宋"/>
                <w:sz w:val="24"/>
                <w:szCs w:val="24"/>
              </w:rPr>
              <w:t>专项行动，完善行政执法与刑事司法衔接工作机制，严厉打击食用农产品涉违禁物质、农兽药残留超标等危害食品安全违法犯罪活动，严厉打击食品超范围、超限量使用食品添加剂，非法添加非食用物质“两超一非”违法犯罪活动，严厉打击冻品等走私违法犯罪活动。</w:t>
            </w:r>
          </w:p>
        </w:tc>
        <w:tc>
          <w:tcPr>
            <w:tcW w:w="6772" w:type="dxa"/>
            <w:vMerge w:val="continue"/>
            <w:tcBorders>
              <w:top w:val="nil"/>
            </w:tcBorders>
            <w:noWrap w:val="0"/>
            <w:vAlign w:val="center"/>
          </w:tcPr>
          <w:p>
            <w:pPr>
              <w:jc w:val="both"/>
              <w:rPr>
                <w:rFonts w:hint="eastAsia" w:ascii="仿宋" w:hAnsi="仿宋" w:eastAsia="仿宋" w:cs="仿宋"/>
                <w:sz w:val="24"/>
                <w:szCs w:val="24"/>
              </w:rPr>
            </w:pP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县公安局</w:t>
            </w:r>
            <w:r>
              <w:rPr>
                <w:rFonts w:hint="eastAsia" w:ascii="仿宋" w:hAnsi="仿宋" w:eastAsia="仿宋" w:cs="仿宋"/>
                <w:sz w:val="24"/>
                <w:szCs w:val="24"/>
                <w:lang w:eastAsia="zh-CN"/>
              </w:rPr>
              <w:t>，执法稽查队、政策法规室，各市场监管所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50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867"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(八)推进食品安全智慧监管</w:t>
            </w: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配合自治区建设统一的食品安全综合监管平台，健全完善食品生产经营许可风险预警、应急处置、监督检查、评议考核、责任落实等信息系统，建立食品安全监管数据库，推进大数据、云计算、物联网、人工智能、区块链等技术在食品安全监管领域的应用，打通生产、仓储、冷链物流、商场终端销售等全链条数据信息，构建食品安全监管信息化体系，全面提升食品安全监管效能。</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按照深化改革加强食品安全工作、宁夏全域创建食品药品安全区和石嘴山市创建国家食品安全示范城市的任务要求和分工，各部门及时、准确录入各自监管系统数据，确保自治区食品安全综合监管平台运行效能。</w:t>
            </w:r>
          </w:p>
        </w:tc>
        <w:tc>
          <w:tcPr>
            <w:tcW w:w="1168" w:type="dxa"/>
            <w:noWrap w:val="0"/>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食品室、餐饮室、市管室，各市场监管所</w:t>
            </w:r>
          </w:p>
        </w:tc>
        <w:tc>
          <w:tcPr>
            <w:tcW w:w="1254" w:type="dxa"/>
            <w:vMerge w:val="restart"/>
            <w:noWrap w:val="0"/>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vMerge w:val="restart"/>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2.利用信用监管手段，将信用信息归集共享至国家企业信用信息公示系统，强化信用约束和联合惩戒。</w:t>
            </w:r>
          </w:p>
        </w:tc>
        <w:tc>
          <w:tcPr>
            <w:tcW w:w="6772" w:type="dxa"/>
            <w:noWrap w:val="0"/>
            <w:vAlign w:val="center"/>
          </w:tcPr>
          <w:p>
            <w:pPr>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落实《国务院办公厅关于政府部门涉企信息统一归集公示工作实施方案的复函》（国办函〔2016〕74 号）要求，发挥国家企业信用信息公示系统作用，按照“谁产生、谁公示、谁负责”原则，强化信用约束和联合惩戒。</w:t>
            </w:r>
          </w:p>
        </w:tc>
        <w:tc>
          <w:tcPr>
            <w:tcW w:w="1168" w:type="dxa"/>
            <w:noWrap w:val="0"/>
            <w:vAlign w:val="center"/>
          </w:tcPr>
          <w:p>
            <w:pPr>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eastAsia="zh-CN"/>
              </w:rPr>
              <w:t>市管室、其他各市、队、站、所</w:t>
            </w:r>
          </w:p>
        </w:tc>
        <w:tc>
          <w:tcPr>
            <w:tcW w:w="1254" w:type="dxa"/>
            <w:vMerge w:val="continue"/>
            <w:noWrap w:val="0"/>
            <w:vAlign w:val="center"/>
          </w:tcPr>
          <w:p>
            <w:pPr>
              <w:jc w:val="center"/>
              <w:rPr>
                <w:rFonts w:hint="eastAsia" w:ascii="仿宋" w:hAnsi="仿宋" w:eastAsia="仿宋" w:cs="仿宋"/>
                <w:sz w:val="24"/>
                <w:szCs w:val="24"/>
              </w:rPr>
            </w:pPr>
          </w:p>
        </w:tc>
        <w:tc>
          <w:tcPr>
            <w:tcW w:w="974" w:type="dxa"/>
            <w:vMerge w:val="continue"/>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96" w:hRule="atLeast"/>
        </w:trPr>
        <w:tc>
          <w:tcPr>
            <w:tcW w:w="50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867"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(九)推进食品安全共治共享</w:t>
            </w: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1.巩固拓展全域创建食品药品安全区成果，全力推动石嘴山市实现“ 国家食品安全示范城市”创建目标。</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联合县食品药品安全委员会各成员单位，依据《平罗县全域创建“食品药品安全区”责任分工》《石嘴山市创建国家食品安全示范城市评价细则平罗县任务分工（2021 版）》合力开展食品安全“六进”活动。根据国家、 自治区、市年度“食品安全宣传周”活动方案，制定我县宣传方案并按照方案开展宣传活动，巩固创建成果。</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各室、队、站、所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97"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6"/>
                <w:sz w:val="24"/>
                <w:szCs w:val="24"/>
              </w:rPr>
              <w:t>积极申报国家农产品质量安全县创建。</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积极申报国家农产品质量安全县创建工作</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县农业农村局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15"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3.根据国家、自治区、市制定的“食品安全宣传周”和食品安全“六进”等活动，加大食品安全法律法规、国家标准和科学知识的宣传教育</w:t>
            </w:r>
            <w:r>
              <w:rPr>
                <w:rFonts w:hint="eastAsia" w:ascii="仿宋" w:hAnsi="仿宋" w:eastAsia="仿宋" w:cs="仿宋"/>
                <w:sz w:val="24"/>
                <w:szCs w:val="24"/>
                <w:lang w:val="en-US"/>
              </w:rPr>
              <w:t>,</w:t>
            </w:r>
            <w:r>
              <w:rPr>
                <w:rFonts w:hint="eastAsia" w:ascii="仿宋" w:hAnsi="仿宋" w:eastAsia="仿宋" w:cs="仿宋"/>
                <w:sz w:val="24"/>
                <w:szCs w:val="24"/>
              </w:rPr>
              <w:t>提高食品生产经营者以及公众食品安全风险防范意识和法治素养，打造“食安‘宁’好 ”社会共治品牌。</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联合县食品药品安全委员会各成员单位，依据《平罗县全域创建“食品药品安全区 ”责任分工》《石嘴山市创建国家食品安 全示范城市评价细则平罗县任务分工（2021版）》合力开展食 品安全“六进”活动。根据国家、自治区、市年度“食品安全 宣传周 ”活动方案，制定我县宣传方案并按照方案开展宣传活动，巩固创建成果。</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各室、队、站、所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top"/>
          </w:tcPr>
          <w:p>
            <w:pPr>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4.组建县级食品安全专家小组，开展风险研判、预警交流等工作。</w:t>
            </w:r>
          </w:p>
        </w:tc>
        <w:tc>
          <w:tcPr>
            <w:tcW w:w="6772" w:type="dxa"/>
            <w:noWrap w:val="0"/>
            <w:vAlign w:val="top"/>
          </w:tcPr>
          <w:p>
            <w:pPr>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根据县域实际，组建县级食品安全专家小组，每年至少开展1次食品安全研判、预警交流。</w:t>
            </w:r>
          </w:p>
        </w:tc>
        <w:tc>
          <w:tcPr>
            <w:tcW w:w="1168" w:type="dxa"/>
            <w:noWrap w:val="0"/>
            <w:vAlign w:val="center"/>
          </w:tcPr>
          <w:p>
            <w:pPr>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食品室、餐饮室、综合管理室</w:t>
            </w:r>
          </w:p>
        </w:tc>
        <w:tc>
          <w:tcPr>
            <w:tcW w:w="1254" w:type="dxa"/>
            <w:noWrap w:val="0"/>
            <w:vAlign w:val="center"/>
          </w:tcPr>
          <w:p>
            <w:pPr>
              <w:jc w:val="center"/>
              <w:rPr>
                <w:rFonts w:hint="eastAsia" w:ascii="仿宋" w:hAnsi="仿宋" w:eastAsia="仿宋" w:cs="仿宋"/>
                <w:sz w:val="24"/>
                <w:szCs w:val="24"/>
                <w:lang w:val="en-US" w:eastAsia="en-US"/>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40" w:hRule="atLeast"/>
        </w:trPr>
        <w:tc>
          <w:tcPr>
            <w:tcW w:w="500" w:type="dxa"/>
            <w:vMerge w:val="continue"/>
            <w:noWrap w:val="0"/>
            <w:vAlign w:val="center"/>
          </w:tcPr>
          <w:p>
            <w:pPr>
              <w:jc w:val="center"/>
              <w:rPr>
                <w:rFonts w:hint="eastAsia" w:ascii="仿宋" w:hAnsi="仿宋" w:eastAsia="仿宋" w:cs="仿宋"/>
                <w:sz w:val="24"/>
                <w:szCs w:val="24"/>
              </w:rPr>
            </w:pPr>
          </w:p>
        </w:tc>
        <w:tc>
          <w:tcPr>
            <w:tcW w:w="867" w:type="dxa"/>
            <w:vMerge w:val="continue"/>
            <w:noWrap w:val="0"/>
            <w:vAlign w:val="center"/>
          </w:tcPr>
          <w:p>
            <w:pPr>
              <w:jc w:val="center"/>
              <w:rPr>
                <w:rFonts w:hint="eastAsia" w:ascii="仿宋" w:hAnsi="仿宋" w:eastAsia="仿宋" w:cs="仿宋"/>
                <w:sz w:val="24"/>
                <w:szCs w:val="24"/>
              </w:rPr>
            </w:pPr>
          </w:p>
        </w:tc>
        <w:tc>
          <w:tcPr>
            <w:tcW w:w="3761" w:type="dxa"/>
            <w:noWrap w:val="0"/>
            <w:vAlign w:val="top"/>
          </w:tcPr>
          <w:p>
            <w:pPr>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5.推进食品安全“你点我检”</w:t>
            </w:r>
            <w:r>
              <w:rPr>
                <w:rFonts w:hint="eastAsia" w:ascii="仿宋" w:hAnsi="仿宋" w:eastAsia="仿宋" w:cs="仿宋"/>
                <w:sz w:val="24"/>
                <w:szCs w:val="24"/>
                <w:lang w:eastAsia="zh-CN"/>
              </w:rPr>
              <w:t>、</w:t>
            </w:r>
            <w:r>
              <w:rPr>
                <w:rFonts w:hint="eastAsia" w:ascii="仿宋" w:hAnsi="仿宋" w:eastAsia="仿宋" w:cs="仿宋"/>
                <w:sz w:val="24"/>
                <w:szCs w:val="24"/>
              </w:rPr>
              <w:t>“随机查餐厅”服务惠民生行动，解决群众急难愁盼问题。</w:t>
            </w:r>
          </w:p>
        </w:tc>
        <w:tc>
          <w:tcPr>
            <w:tcW w:w="6772" w:type="dxa"/>
            <w:noWrap w:val="0"/>
            <w:vAlign w:val="top"/>
          </w:tcPr>
          <w:p>
            <w:pPr>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根据《自治区市场监管总局办公厅关于做好食品安全“你点我检”服务工作的指导意见》（市监食检〔2020〕86号）要求，将“你点我检”服务活动与年度食品安全抽检任务相结合，开展专项抽检。</w:t>
            </w:r>
          </w:p>
        </w:tc>
        <w:tc>
          <w:tcPr>
            <w:tcW w:w="116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食品室、餐饮室、综合管理室，各市场监管所</w:t>
            </w:r>
          </w:p>
        </w:tc>
        <w:tc>
          <w:tcPr>
            <w:tcW w:w="1254" w:type="dxa"/>
            <w:noWrap w:val="0"/>
            <w:vAlign w:val="center"/>
          </w:tcPr>
          <w:p>
            <w:pPr>
              <w:jc w:val="center"/>
              <w:rPr>
                <w:rFonts w:hint="eastAsia" w:ascii="仿宋" w:hAnsi="仿宋" w:eastAsia="仿宋" w:cs="仿宋"/>
                <w:sz w:val="24"/>
                <w:szCs w:val="24"/>
                <w:lang w:val="en-US" w:eastAsia="en-US"/>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78" w:hRule="atLeast"/>
        </w:trPr>
        <w:tc>
          <w:tcPr>
            <w:tcW w:w="500" w:type="dxa"/>
            <w:vMerge w:val="continue"/>
            <w:tcBorders>
              <w:bottom w:val="single" w:color="auto" w:sz="4" w:space="0"/>
            </w:tcBorders>
            <w:noWrap w:val="0"/>
            <w:vAlign w:val="center"/>
          </w:tcPr>
          <w:p>
            <w:pPr>
              <w:jc w:val="center"/>
              <w:rPr>
                <w:rFonts w:hint="eastAsia" w:ascii="仿宋" w:hAnsi="仿宋" w:eastAsia="仿宋" w:cs="仿宋"/>
                <w:sz w:val="24"/>
                <w:szCs w:val="24"/>
              </w:rPr>
            </w:pPr>
          </w:p>
        </w:tc>
        <w:tc>
          <w:tcPr>
            <w:tcW w:w="867" w:type="dxa"/>
            <w:vMerge w:val="continue"/>
            <w:tcBorders>
              <w:bottom w:val="single" w:color="auto" w:sz="4" w:space="0"/>
            </w:tcBorders>
            <w:noWrap w:val="0"/>
            <w:vAlign w:val="center"/>
          </w:tcPr>
          <w:p>
            <w:pPr>
              <w:jc w:val="center"/>
              <w:rPr>
                <w:rFonts w:hint="eastAsia" w:ascii="仿宋" w:hAnsi="仿宋" w:eastAsia="仿宋" w:cs="仿宋"/>
                <w:sz w:val="24"/>
                <w:szCs w:val="24"/>
              </w:rPr>
            </w:pPr>
          </w:p>
        </w:tc>
        <w:tc>
          <w:tcPr>
            <w:tcW w:w="3761" w:type="dxa"/>
            <w:noWrap w:val="0"/>
            <w:vAlign w:val="top"/>
          </w:tcPr>
          <w:p>
            <w:pPr>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6.健全食品安全责任保险工作机制，鼓励和支持食品企业购买食品安全责任保险。</w:t>
            </w:r>
          </w:p>
        </w:tc>
        <w:tc>
          <w:tcPr>
            <w:tcW w:w="6772" w:type="dxa"/>
            <w:noWrap w:val="0"/>
            <w:vAlign w:val="top"/>
          </w:tcPr>
          <w:p>
            <w:pPr>
              <w:jc w:val="both"/>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rPr>
              <w:t>扎实推进，努力实现DB64 1818-2021《宁夏回族自治区全域创 建食品药品安全区评价验收细则》中“食品安全责任保险投保率达到 35%以上”任务目标</w:t>
            </w:r>
            <w:r>
              <w:rPr>
                <w:rFonts w:hint="eastAsia" w:ascii="仿宋" w:hAnsi="仿宋" w:eastAsia="仿宋" w:cs="仿宋"/>
                <w:sz w:val="24"/>
                <w:szCs w:val="24"/>
                <w:lang w:eastAsia="zh-CN"/>
              </w:rPr>
              <w:t>。</w:t>
            </w:r>
          </w:p>
        </w:tc>
        <w:tc>
          <w:tcPr>
            <w:tcW w:w="1168" w:type="dxa"/>
            <w:noWrap w:val="0"/>
            <w:vAlign w:val="center"/>
          </w:tcPr>
          <w:p>
            <w:pPr>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eastAsia="zh-CN"/>
              </w:rPr>
              <w:t>食品室、餐饮室，各市场监管所</w:t>
            </w:r>
          </w:p>
        </w:tc>
        <w:tc>
          <w:tcPr>
            <w:tcW w:w="1254" w:type="dxa"/>
            <w:noWrap w:val="0"/>
            <w:vAlign w:val="center"/>
          </w:tcPr>
          <w:p>
            <w:pPr>
              <w:jc w:val="center"/>
              <w:rPr>
                <w:rFonts w:hint="eastAsia" w:ascii="仿宋" w:hAnsi="仿宋" w:eastAsia="仿宋" w:cs="仿宋"/>
                <w:sz w:val="24"/>
                <w:szCs w:val="24"/>
                <w:lang w:val="en-US" w:eastAsia="en-US"/>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14" w:hRule="atLeast"/>
        </w:trPr>
        <w:tc>
          <w:tcPr>
            <w:tcW w:w="500" w:type="dxa"/>
            <w:vMerge w:val="restart"/>
            <w:tcBorders>
              <w:top w:val="single" w:color="auto" w:sz="4" w:space="0"/>
              <w:left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867" w:type="dxa"/>
            <w:vMerge w:val="restart"/>
            <w:tcBorders>
              <w:top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(十)</w:t>
            </w:r>
          </w:p>
          <w:p>
            <w:pPr>
              <w:jc w:val="center"/>
              <w:rPr>
                <w:rFonts w:hint="eastAsia" w:ascii="仿宋" w:hAnsi="仿宋" w:eastAsia="仿宋" w:cs="仿宋"/>
                <w:sz w:val="24"/>
                <w:szCs w:val="24"/>
              </w:rPr>
            </w:pPr>
            <w:r>
              <w:rPr>
                <w:rFonts w:hint="eastAsia" w:ascii="仿宋" w:hAnsi="仿宋" w:eastAsia="仿宋" w:cs="仿宋"/>
                <w:sz w:val="24"/>
                <w:szCs w:val="24"/>
              </w:rPr>
              <w:t>提升应急处置能力</w:t>
            </w:r>
          </w:p>
        </w:tc>
        <w:tc>
          <w:tcPr>
            <w:tcW w:w="3761" w:type="dxa"/>
            <w:tcBorders>
              <w:left w:val="single" w:color="auto" w:sz="4" w:space="0"/>
            </w:tcBorders>
            <w:noWrap w:val="0"/>
            <w:vAlign w:val="top"/>
          </w:tcPr>
          <w:p>
            <w:pPr>
              <w:jc w:val="both"/>
              <w:rPr>
                <w:rFonts w:hint="eastAsia" w:ascii="仿宋" w:hAnsi="仿宋" w:eastAsia="仿宋" w:cs="仿宋"/>
                <w:sz w:val="24"/>
                <w:szCs w:val="24"/>
                <w:lang w:val="en-US" w:eastAsia="en-US"/>
              </w:rPr>
            </w:pPr>
            <w:r>
              <w:rPr>
                <w:rFonts w:hint="eastAsia" w:ascii="仿宋" w:hAnsi="仿宋" w:eastAsia="仿宋" w:cs="仿宋"/>
                <w:sz w:val="24"/>
                <w:szCs w:val="24"/>
              </w:rPr>
              <w:t>1.根据自治区、市修订的《宁夏回族自治区食品安全突发事件应急预案》，完善组织指挥体系、监测、预警、报告、应急响应、恢复与重建、保障措施、预案管理等内容，规范应急信息报送程序和要求。</w:t>
            </w:r>
          </w:p>
        </w:tc>
        <w:tc>
          <w:tcPr>
            <w:tcW w:w="6772" w:type="dxa"/>
            <w:noWrap w:val="0"/>
            <w:vAlign w:val="top"/>
          </w:tcPr>
          <w:p>
            <w:pPr>
              <w:jc w:val="both"/>
              <w:rPr>
                <w:rFonts w:hint="eastAsia" w:ascii="仿宋" w:hAnsi="仿宋" w:eastAsia="仿宋" w:cs="仿宋"/>
                <w:sz w:val="24"/>
                <w:szCs w:val="24"/>
              </w:rPr>
            </w:pPr>
          </w:p>
          <w:p>
            <w:pPr>
              <w:jc w:val="both"/>
              <w:rPr>
                <w:rFonts w:hint="eastAsia" w:ascii="仿宋" w:hAnsi="仿宋" w:eastAsia="仿宋" w:cs="仿宋"/>
                <w:sz w:val="24"/>
                <w:szCs w:val="24"/>
              </w:rPr>
            </w:pPr>
          </w:p>
          <w:p>
            <w:pPr>
              <w:jc w:val="both"/>
              <w:rPr>
                <w:rFonts w:hint="eastAsia" w:ascii="仿宋" w:hAnsi="仿宋" w:eastAsia="仿宋" w:cs="仿宋"/>
                <w:sz w:val="24"/>
                <w:szCs w:val="24"/>
              </w:rPr>
            </w:pPr>
          </w:p>
          <w:p>
            <w:pPr>
              <w:jc w:val="both"/>
              <w:rPr>
                <w:rFonts w:hint="eastAsia" w:ascii="仿宋" w:hAnsi="仿宋" w:eastAsia="仿宋" w:cs="仿宋"/>
                <w:sz w:val="24"/>
                <w:szCs w:val="24"/>
                <w:lang w:val="en-US" w:eastAsia="en-US"/>
              </w:rPr>
            </w:pPr>
            <w:r>
              <w:rPr>
                <w:rFonts w:hint="eastAsia" w:ascii="仿宋" w:hAnsi="仿宋" w:eastAsia="仿宋" w:cs="仿宋"/>
                <w:sz w:val="24"/>
                <w:szCs w:val="24"/>
              </w:rPr>
              <w:t>按照自治区、市修订《食品安全突发事件应急预案》进展，适时修订县级预案。</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食品室、餐饮室、综合管理室，各市场监管所</w:t>
            </w:r>
          </w:p>
        </w:tc>
        <w:tc>
          <w:tcPr>
            <w:tcW w:w="1254"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14" w:hRule="atLeast"/>
        </w:trPr>
        <w:tc>
          <w:tcPr>
            <w:tcW w:w="500" w:type="dxa"/>
            <w:vMerge w:val="continue"/>
            <w:tcBorders>
              <w:left w:val="single" w:color="auto" w:sz="4" w:space="0"/>
            </w:tcBorders>
            <w:noWrap w:val="0"/>
            <w:vAlign w:val="top"/>
          </w:tcPr>
          <w:p>
            <w:pPr>
              <w:jc w:val="both"/>
              <w:rPr>
                <w:rFonts w:hint="eastAsia" w:ascii="仿宋" w:hAnsi="仿宋" w:eastAsia="仿宋" w:cs="仿宋"/>
                <w:sz w:val="24"/>
                <w:szCs w:val="24"/>
              </w:rPr>
            </w:pPr>
          </w:p>
        </w:tc>
        <w:tc>
          <w:tcPr>
            <w:tcW w:w="867" w:type="dxa"/>
            <w:vMerge w:val="continue"/>
            <w:tcBorders>
              <w:right w:val="single" w:color="auto" w:sz="4" w:space="0"/>
            </w:tcBorders>
            <w:noWrap w:val="0"/>
            <w:vAlign w:val="top"/>
          </w:tcPr>
          <w:p>
            <w:pPr>
              <w:jc w:val="both"/>
              <w:rPr>
                <w:rFonts w:hint="eastAsia" w:ascii="仿宋" w:hAnsi="仿宋" w:eastAsia="仿宋" w:cs="仿宋"/>
                <w:sz w:val="24"/>
                <w:szCs w:val="24"/>
              </w:rPr>
            </w:pPr>
          </w:p>
        </w:tc>
        <w:tc>
          <w:tcPr>
            <w:tcW w:w="3761" w:type="dxa"/>
            <w:tcBorders>
              <w:left w:val="single" w:color="auto" w:sz="4" w:space="0"/>
            </w:tcBorders>
            <w:noWrap w:val="0"/>
            <w:vAlign w:val="top"/>
          </w:tcPr>
          <w:p>
            <w:pPr>
              <w:jc w:val="both"/>
              <w:rPr>
                <w:rFonts w:hint="eastAsia" w:ascii="仿宋" w:hAnsi="仿宋" w:eastAsia="仿宋" w:cs="仿宋"/>
                <w:sz w:val="24"/>
                <w:szCs w:val="24"/>
                <w:lang w:val="en-US" w:eastAsia="en-US"/>
              </w:rPr>
            </w:pPr>
            <w:r>
              <w:rPr>
                <w:rFonts w:hint="eastAsia" w:ascii="仿宋" w:hAnsi="仿宋" w:eastAsia="仿宋" w:cs="仿宋"/>
                <w:sz w:val="24"/>
                <w:szCs w:val="24"/>
              </w:rPr>
              <w:t>2.每两年至少组织一次食品安全突发事件应急演练，提升应急处置能力。</w:t>
            </w:r>
          </w:p>
        </w:tc>
        <w:tc>
          <w:tcPr>
            <w:tcW w:w="6772" w:type="dxa"/>
            <w:noWrap w:val="0"/>
            <w:vAlign w:val="top"/>
          </w:tcPr>
          <w:p>
            <w:pPr>
              <w:jc w:val="both"/>
              <w:rPr>
                <w:rFonts w:hint="eastAsia" w:ascii="仿宋" w:hAnsi="仿宋" w:eastAsia="仿宋" w:cs="仿宋"/>
                <w:sz w:val="24"/>
                <w:szCs w:val="24"/>
                <w:lang w:val="en-US" w:eastAsia="en-US"/>
              </w:rPr>
            </w:pPr>
            <w:r>
              <w:rPr>
                <w:rFonts w:hint="eastAsia" w:ascii="仿宋" w:hAnsi="仿宋" w:eastAsia="仿宋" w:cs="仿宋"/>
                <w:sz w:val="24"/>
                <w:szCs w:val="24"/>
              </w:rPr>
              <w:t>结合县域实际和县级食品安全应急演练预案，认真开展食品安全突发事件应急演练工作。</w:t>
            </w:r>
          </w:p>
        </w:tc>
        <w:tc>
          <w:tcPr>
            <w:tcW w:w="116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食品室、餐饮室、综合管理室，各市场监管所</w:t>
            </w:r>
          </w:p>
        </w:tc>
        <w:tc>
          <w:tcPr>
            <w:tcW w:w="1254"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14" w:hRule="atLeast"/>
        </w:trPr>
        <w:tc>
          <w:tcPr>
            <w:tcW w:w="500" w:type="dxa"/>
            <w:vMerge w:val="continue"/>
            <w:tcBorders>
              <w:left w:val="single" w:color="auto" w:sz="4" w:space="0"/>
            </w:tcBorders>
            <w:noWrap w:val="0"/>
            <w:vAlign w:val="top"/>
          </w:tcPr>
          <w:p>
            <w:pPr>
              <w:jc w:val="both"/>
              <w:rPr>
                <w:rFonts w:hint="eastAsia" w:ascii="仿宋" w:hAnsi="仿宋" w:eastAsia="仿宋" w:cs="仿宋"/>
                <w:sz w:val="24"/>
                <w:szCs w:val="24"/>
              </w:rPr>
            </w:pPr>
          </w:p>
        </w:tc>
        <w:tc>
          <w:tcPr>
            <w:tcW w:w="867" w:type="dxa"/>
            <w:vMerge w:val="continue"/>
            <w:tcBorders>
              <w:right w:val="single" w:color="auto" w:sz="4" w:space="0"/>
            </w:tcBorders>
            <w:noWrap w:val="0"/>
            <w:vAlign w:val="top"/>
          </w:tcPr>
          <w:p>
            <w:pPr>
              <w:jc w:val="both"/>
              <w:rPr>
                <w:rFonts w:hint="eastAsia" w:ascii="仿宋" w:hAnsi="仿宋" w:eastAsia="仿宋" w:cs="仿宋"/>
                <w:sz w:val="24"/>
                <w:szCs w:val="24"/>
              </w:rPr>
            </w:pPr>
          </w:p>
        </w:tc>
        <w:tc>
          <w:tcPr>
            <w:tcW w:w="3761" w:type="dxa"/>
            <w:tcBorders>
              <w:left w:val="single" w:color="auto" w:sz="4" w:space="0"/>
            </w:tcBorders>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3.督促食品生产经营企业落实应急处置预案和不合格食品下架、召回等相关要求。</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督促食品安全各级包保干部和监管部门，加强对食品生产经营企业落实应急处置预案和不合格食品下架、召回等相关要求。</w:t>
            </w:r>
          </w:p>
        </w:tc>
        <w:tc>
          <w:tcPr>
            <w:tcW w:w="11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食品室，各市场监管所</w:t>
            </w:r>
          </w:p>
        </w:tc>
        <w:tc>
          <w:tcPr>
            <w:tcW w:w="125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91" w:hRule="atLeast"/>
        </w:trPr>
        <w:tc>
          <w:tcPr>
            <w:tcW w:w="500" w:type="dxa"/>
            <w:vMerge w:val="continue"/>
            <w:tcBorders>
              <w:left w:val="single" w:color="auto" w:sz="4" w:space="0"/>
              <w:bottom w:val="single" w:color="auto" w:sz="4" w:space="0"/>
            </w:tcBorders>
            <w:noWrap w:val="0"/>
            <w:vAlign w:val="center"/>
          </w:tcPr>
          <w:p>
            <w:pPr>
              <w:jc w:val="center"/>
              <w:rPr>
                <w:rFonts w:hint="eastAsia" w:ascii="仿宋_GB2312" w:hAnsi="仿宋_GB2312" w:eastAsia="仿宋_GB2312" w:cs="仿宋_GB2312"/>
                <w:sz w:val="21"/>
                <w:szCs w:val="21"/>
              </w:rPr>
            </w:pPr>
          </w:p>
        </w:tc>
        <w:tc>
          <w:tcPr>
            <w:tcW w:w="867" w:type="dxa"/>
            <w:vMerge w:val="continue"/>
            <w:tcBorders>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p>
        </w:tc>
        <w:tc>
          <w:tcPr>
            <w:tcW w:w="3761" w:type="dxa"/>
            <w:tcBorders>
              <w:left w:val="single" w:color="auto" w:sz="4" w:space="0"/>
            </w:tcBorders>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4.强化应急值守，做好食品安全领域舆情监测，密切跟踪热 点事件，审慎发布各类食品安全信息，掌握舆论主动权，及时稳妥处置突发舆情事件。</w:t>
            </w:r>
          </w:p>
        </w:tc>
        <w:tc>
          <w:tcPr>
            <w:tcW w:w="6772"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建立食品药品安全重大舆情监测、会商研判和应对处置工作机 制，做好突发舆情应急处置工作。</w:t>
            </w:r>
          </w:p>
        </w:tc>
        <w:tc>
          <w:tcPr>
            <w:tcW w:w="1168" w:type="dxa"/>
            <w:noWrap w:val="0"/>
            <w:vAlign w:val="top"/>
          </w:tcPr>
          <w:p>
            <w:pPr>
              <w:jc w:val="both"/>
              <w:rPr>
                <w:rFonts w:hint="eastAsia" w:ascii="仿宋" w:hAnsi="仿宋" w:eastAsia="仿宋" w:cs="仿宋"/>
                <w:sz w:val="24"/>
                <w:szCs w:val="24"/>
              </w:rPr>
            </w:pPr>
            <w:r>
              <w:rPr>
                <w:rFonts w:hint="eastAsia" w:ascii="仿宋" w:hAnsi="仿宋" w:eastAsia="仿宋" w:cs="仿宋"/>
                <w:sz w:val="24"/>
                <w:szCs w:val="24"/>
                <w:lang w:eastAsia="zh-CN"/>
              </w:rPr>
              <w:t>综合管理室、市管室、食品室、餐饮室，各市场监管所</w:t>
            </w:r>
          </w:p>
        </w:tc>
        <w:tc>
          <w:tcPr>
            <w:tcW w:w="1254"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长期坚持</w:t>
            </w:r>
          </w:p>
        </w:tc>
        <w:tc>
          <w:tcPr>
            <w:tcW w:w="974" w:type="dxa"/>
            <w:noWrap w:val="0"/>
            <w:vAlign w:val="center"/>
          </w:tcPr>
          <w:p>
            <w:pPr>
              <w:jc w:val="center"/>
              <w:rPr>
                <w:rFonts w:hint="eastAsia" w:ascii="仿宋_GB2312" w:hAnsi="仿宋_GB2312" w:eastAsia="仿宋_GB2312" w:cs="仿宋_GB2312"/>
                <w:sz w:val="21"/>
                <w:szCs w:val="21"/>
              </w:rPr>
            </w:pPr>
          </w:p>
        </w:tc>
      </w:tr>
    </w:tbl>
    <w:p/>
    <w:sectPr>
      <w:pgSz w:w="16838" w:h="11906" w:orient="landscape"/>
      <w:pgMar w:top="1519" w:right="816" w:bottom="1463" w:left="8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zQyODk1MmU4MDYxN2ViZmI5ZTNlN2Q2YWJiYmUifQ=="/>
  </w:docVars>
  <w:rsids>
    <w:rsidRoot w:val="7D575E19"/>
    <w:rsid w:val="7D57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2023-09-15T03:51:00Z</dcterms:created>
  <dc:creator>小北鼻不爱你</dc:creator>
  <cp:lastModifiedBy>小北鼻不爱你</cp:lastModifiedBy>
  <dcterms:modified xsi:type="dcterms:W3CDTF">2023-09-15T03:54:05Z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C9B01238AA4F495E84A03EFF8BE7FEB7_11</vt:lpwstr>
  </property>
</Properties>
</file>