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C17E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0D0F77C">
      <w:pPr>
        <w:pStyle w:val="2"/>
        <w:spacing w:line="460" w:lineRule="exact"/>
      </w:pPr>
    </w:p>
    <w:p w14:paraId="47C748CD"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县人民政府决定修改的文件</w:t>
      </w:r>
    </w:p>
    <w:p w14:paraId="202E79D1">
      <w:pPr>
        <w:pStyle w:val="2"/>
        <w:autoSpaceDE/>
        <w:autoSpaceDN/>
        <w:adjustRightInd/>
        <w:spacing w:line="520" w:lineRule="exact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45364148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一、关于统一发放企业职工“持岗证”的通知</w:t>
      </w:r>
      <w:r>
        <w:rPr>
          <w:rFonts w:ascii="Times New Roman" w:hAnsi="Times New Roman" w:eastAsia="方正仿宋_GBK" w:cs="Times New Roman"/>
          <w:sz w:val="32"/>
          <w:szCs w:val="32"/>
        </w:rPr>
        <w:t>（平政发〔1998〕第47号）</w:t>
      </w:r>
    </w:p>
    <w:p w14:paraId="37B50F9D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将原文中县“人事劳动局”“平罗县劳动就业服务局”修改为“平罗县人力资源和社会保障局”。</w:t>
      </w:r>
    </w:p>
    <w:p w14:paraId="5D5AEBBE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二、平罗县落实&lt;自治区消费需求促进年活动实施方案&gt;工作方案（平政办规</w:t>
      </w:r>
      <w:r>
        <w:rPr>
          <w:rFonts w:ascii="Times New Roman" w:hAnsi="Times New Roman" w:eastAsia="方正仿宋_GBK" w:cs="Times New Roman"/>
          <w:sz w:val="32"/>
          <w:szCs w:val="32"/>
        </w:rPr>
        <w:t>发〔2023〕1号）</w:t>
      </w:r>
    </w:p>
    <w:p w14:paraId="24D179CD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将“三、重点任务（一）实施消费恢复提速行动。”的第一条修改为：“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.持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续开展多领域、多层次、多元化的消费促进活动，充分利用春节、五一、国庆等节假日，针对家电家居、餐饮、商超、农特产品、文旅、电影、体育等领域，采取多种形式面向社会投放消费券、惠民券，提高节假日消费‘热度’。”</w:t>
      </w:r>
    </w:p>
    <w:p w14:paraId="0C33A5F0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（二）删除“三、重点任务（一）实施消费恢复提速行动。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.支持乡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镇举办‘黄渠桥文化美食节’……对举办节会的企业或单位给予一定的奖补资金。”一段中的“黄渠桥”及两处“大型”。</w:t>
      </w:r>
    </w:p>
    <w:p w14:paraId="46907B63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（三）删除“三、重点任务（二）实施商贸主体壮大行动。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.鼓励各类商贸流通骨干企业通过各种经营方式，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……给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予一次性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10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万元奖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励。”中的“骨干”二字。</w:t>
      </w:r>
    </w:p>
    <w:p w14:paraId="3C328595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（四）将“三、重点任务（二）实施商贸主体壮大行动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2.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强化商贸领域招商引资……单个项目奖励最高不超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过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500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元。”中的“在县内注册成立法人企业”修改为“落地后”。</w:t>
      </w:r>
    </w:p>
    <w:p w14:paraId="311B3F30">
      <w:pPr>
        <w:spacing w:line="52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（五）将“三、重点任务（二）实施商贸主体壮大行动”中“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  <w:t>3.</w:t>
      </w:r>
      <w:r>
        <w:rPr>
          <w:rFonts w:ascii="Times New Roman" w:hAnsi="Times New Roman" w:eastAsia="方正仿宋_GBK"/>
          <w:sz w:val="32"/>
          <w:szCs w:val="32"/>
        </w:rPr>
        <w:t>支持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限额以上商贸企业（含个体工商户，下同）与规上工业企业结对……鼓励在同等条件下优先在限额以上商贸企业（含个体）采购。”整条删除。</w:t>
      </w:r>
    </w:p>
    <w:p w14:paraId="364119B8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（六）删除“三、重点任务（四）实施商贸物流提效行动。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.加快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物流业智能化转型，积极推进瑧顺工业物流仓储、大地循环物流园等重点物流项目建设，壮大现代物流业规模。支持滨河物流、财海迈星等商贸物流企业提档升级……分别给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万、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10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万、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20万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100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万、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200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万元一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次性奖励。”中的“滨河物流、财海迈星等”。</w:t>
      </w:r>
    </w:p>
    <w:p w14:paraId="0D51DEA8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（七）将“三、重点任务（四）实施商贸物流提效行动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.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大力发展冷链物流……提供仓储、包装、加工、配送等增值服务。”整条删除。</w:t>
      </w:r>
    </w:p>
    <w:p w14:paraId="594D2749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  <w:lang w:bidi="ar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bidi="ar"/>
        </w:rPr>
        <w:t>（八）将“三、重点任务（五）实施品牌消费提档行动。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2.</w:t>
      </w:r>
      <w:r>
        <w:rPr>
          <w:rFonts w:hint="eastAsia" w:ascii="方正仿宋_GBK" w:hAnsi="仿宋_GB2312" w:eastAsia="方正仿宋_GBK" w:cs="仿宋_GB2312"/>
          <w:sz w:val="32"/>
          <w:szCs w:val="32"/>
          <w:lang w:bidi="ar"/>
        </w:rPr>
        <w:t>组织开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展2023</w:t>
      </w:r>
      <w:r>
        <w:rPr>
          <w:rFonts w:hint="eastAsia" w:ascii="方正仿宋_GBK" w:hAnsi="仿宋_GB2312" w:eastAsia="方正仿宋_GBK" w:cs="仿宋_GB2312"/>
          <w:sz w:val="32"/>
          <w:szCs w:val="32"/>
          <w:lang w:bidi="ar"/>
        </w:rPr>
        <w:t>‘数商兴农年’活动……一次性奖励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50万元。</w:t>
      </w:r>
      <w:r>
        <w:rPr>
          <w:rFonts w:hint="eastAsia" w:ascii="方正仿宋_GBK" w:hAnsi="仿宋_GB2312" w:eastAsia="方正仿宋_GBK" w:cs="仿宋_GB2312"/>
          <w:sz w:val="32"/>
          <w:szCs w:val="32"/>
          <w:lang w:bidi="ar"/>
        </w:rPr>
        <w:t>”中的“对年实际线上销售额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1000万元（含）到3000万元的，按照销售额的0.5%进行奖励，销售额3000万元（含）到5000万元的，按照销售额的0.7%进行奖励，销售额5000万元（含）以上的，一次性奖励50万元</w:t>
      </w:r>
      <w:r>
        <w:rPr>
          <w:rFonts w:hint="eastAsia" w:ascii="方正仿宋_GBK" w:hAnsi="仿宋_GB2312" w:eastAsia="方正仿宋_GBK" w:cs="仿宋_GB2312"/>
          <w:sz w:val="32"/>
          <w:szCs w:val="32"/>
          <w:lang w:bidi="ar"/>
        </w:rPr>
        <w:t>。”删除。</w:t>
      </w:r>
    </w:p>
    <w:p w14:paraId="18DF46AC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（九）将“三、重点任务（十）实施数字生活赋能行动。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1.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依托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‘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·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18</w:t>
      </w: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’、‘双十一’、春节等重要消费节点……推动传统商贸企业、特色商业街、商品市场数字化转型升级。”中的“县内重点”删除。</w:t>
      </w:r>
    </w:p>
    <w:p w14:paraId="303E02FC">
      <w:pPr>
        <w:pStyle w:val="2"/>
        <w:autoSpaceDE/>
        <w:autoSpaceDN/>
        <w:adjustRightInd/>
        <w:spacing w:line="52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kern w:val="2"/>
          <w:sz w:val="32"/>
          <w:szCs w:val="32"/>
        </w:rPr>
        <w:t>（十）将“三、重点任务（十二）实施引客入平专项行动。鼓励文旅企业开展节庆活动……激发文旅消费增量。”中的“在县域内组织”删除。</w:t>
      </w:r>
    </w:p>
    <w:p w14:paraId="2125C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56EC083A"/>
    <w:rsid w:val="56EC083A"/>
    <w:rsid w:val="7DE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1145</Characters>
  <Lines>0</Lines>
  <Paragraphs>0</Paragraphs>
  <TotalTime>0</TotalTime>
  <ScaleCrop>false</ScaleCrop>
  <LinksUpToDate>false</LinksUpToDate>
  <CharactersWithSpaces>1145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2024-09-06T08:48:00Z</dcterms:created>
  <dc:creator>糖果</dc:creator>
  <cp:lastModifiedBy>糖果</cp:lastModifiedBy>
  <dcterms:modified xsi:type="dcterms:W3CDTF">2024-10-22T07:47:08Z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2130C5FDCFEB49A8A816EE041C2809B9_13</vt:lpwstr>
  </property>
</Properties>
</file>