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19BA5">
      <w:pPr>
        <w:rPr>
          <w:rFonts w:ascii="黑体" w:hAnsi="黑体" w:eastAsia="黑体" w:cs="黑体"/>
          <w:sz w:val="32"/>
          <w:szCs w:val="32"/>
        </w:rPr>
      </w:pPr>
      <w:r>
        <w:rPr>
          <w:rFonts w:hint="eastAsia" w:ascii="黑体" w:hAnsi="黑体" w:eastAsia="黑体" w:cs="黑体"/>
          <w:sz w:val="32"/>
          <w:szCs w:val="32"/>
        </w:rPr>
        <w:t>附件2</w:t>
      </w:r>
      <w:bookmarkStart w:id="0" w:name="_GoBack"/>
    </w:p>
    <w:p w14:paraId="4D4454F7">
      <w:pPr>
        <w:widowControl/>
        <w:kinsoku w:val="0"/>
        <w:autoSpaceDE w:val="0"/>
        <w:autoSpaceDN w:val="0"/>
        <w:adjustRightInd w:val="0"/>
        <w:snapToGrid w:val="0"/>
        <w:spacing w:line="64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平罗县节水型社会建设重要任务分解表</w:t>
      </w:r>
    </w:p>
    <w:bookmarkEnd w:id="0"/>
    <w:tbl>
      <w:tblPr>
        <w:tblStyle w:val="3"/>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27"/>
        <w:gridCol w:w="975"/>
        <w:gridCol w:w="9586"/>
        <w:gridCol w:w="1620"/>
        <w:gridCol w:w="1620"/>
      </w:tblGrid>
      <w:tr w14:paraId="5CAEEB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527" w:type="dxa"/>
            <w:vMerge w:val="restart"/>
            <w:noWrap w:val="0"/>
            <w:vAlign w:val="center"/>
          </w:tcPr>
          <w:p w14:paraId="3FF55F88">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序号</w:t>
            </w:r>
          </w:p>
        </w:tc>
        <w:tc>
          <w:tcPr>
            <w:tcW w:w="975" w:type="dxa"/>
            <w:vMerge w:val="restart"/>
            <w:noWrap w:val="0"/>
            <w:vAlign w:val="center"/>
          </w:tcPr>
          <w:p w14:paraId="68831884">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重点</w:t>
            </w:r>
          </w:p>
          <w:p w14:paraId="6474B727">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任务</w:t>
            </w:r>
          </w:p>
        </w:tc>
        <w:tc>
          <w:tcPr>
            <w:tcW w:w="9586" w:type="dxa"/>
            <w:vMerge w:val="restart"/>
            <w:noWrap w:val="0"/>
            <w:vAlign w:val="center"/>
          </w:tcPr>
          <w:p w14:paraId="197ADB6D">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具体内容</w:t>
            </w:r>
          </w:p>
        </w:tc>
        <w:tc>
          <w:tcPr>
            <w:tcW w:w="3240" w:type="dxa"/>
            <w:gridSpan w:val="2"/>
            <w:noWrap w:val="0"/>
            <w:vAlign w:val="center"/>
          </w:tcPr>
          <w:p w14:paraId="1F0DBC9B">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责任单位</w:t>
            </w:r>
          </w:p>
        </w:tc>
      </w:tr>
      <w:tr w14:paraId="149956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0" w:type="auto"/>
            <w:vMerge w:val="continue"/>
            <w:noWrap w:val="0"/>
            <w:vAlign w:val="center"/>
          </w:tcPr>
          <w:p w14:paraId="6A833F55">
            <w:pPr>
              <w:widowControl/>
              <w:snapToGrid w:val="0"/>
              <w:jc w:val="center"/>
              <w:textAlignment w:val="center"/>
              <w:rPr>
                <w:rStyle w:val="5"/>
                <w:rFonts w:hint="default"/>
                <w:b/>
                <w:bCs/>
                <w:snapToGrid w:val="0"/>
                <w:color w:val="auto"/>
                <w:sz w:val="24"/>
                <w:szCs w:val="24"/>
                <w:lang w:bidi="ar"/>
              </w:rPr>
            </w:pPr>
          </w:p>
        </w:tc>
        <w:tc>
          <w:tcPr>
            <w:tcW w:w="0" w:type="auto"/>
            <w:vMerge w:val="continue"/>
            <w:noWrap w:val="0"/>
            <w:vAlign w:val="center"/>
          </w:tcPr>
          <w:p w14:paraId="3D3871A3">
            <w:pPr>
              <w:widowControl/>
              <w:snapToGrid w:val="0"/>
              <w:jc w:val="center"/>
              <w:textAlignment w:val="center"/>
              <w:rPr>
                <w:rStyle w:val="5"/>
                <w:rFonts w:hint="default"/>
                <w:b/>
                <w:bCs/>
                <w:snapToGrid w:val="0"/>
                <w:color w:val="auto"/>
                <w:sz w:val="24"/>
                <w:szCs w:val="24"/>
                <w:lang w:bidi="ar"/>
              </w:rPr>
            </w:pPr>
          </w:p>
        </w:tc>
        <w:tc>
          <w:tcPr>
            <w:tcW w:w="0" w:type="auto"/>
            <w:vMerge w:val="continue"/>
            <w:noWrap w:val="0"/>
            <w:vAlign w:val="center"/>
          </w:tcPr>
          <w:p w14:paraId="01069644">
            <w:pPr>
              <w:widowControl/>
              <w:snapToGrid w:val="0"/>
              <w:jc w:val="center"/>
              <w:textAlignment w:val="center"/>
              <w:rPr>
                <w:rStyle w:val="5"/>
                <w:rFonts w:hint="default"/>
                <w:b/>
                <w:bCs/>
                <w:snapToGrid w:val="0"/>
                <w:color w:val="auto"/>
                <w:sz w:val="24"/>
                <w:szCs w:val="24"/>
                <w:lang w:bidi="ar"/>
              </w:rPr>
            </w:pPr>
          </w:p>
        </w:tc>
        <w:tc>
          <w:tcPr>
            <w:tcW w:w="1620" w:type="dxa"/>
            <w:noWrap w:val="0"/>
            <w:vAlign w:val="center"/>
          </w:tcPr>
          <w:p w14:paraId="13A49051">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牵头部门</w:t>
            </w:r>
          </w:p>
        </w:tc>
        <w:tc>
          <w:tcPr>
            <w:tcW w:w="1620" w:type="dxa"/>
            <w:noWrap w:val="0"/>
            <w:vAlign w:val="center"/>
          </w:tcPr>
          <w:p w14:paraId="31006406">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配合部门</w:t>
            </w:r>
          </w:p>
        </w:tc>
      </w:tr>
      <w:tr w14:paraId="26E2FE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10" w:hRule="atLeast"/>
        </w:trPr>
        <w:tc>
          <w:tcPr>
            <w:tcW w:w="527" w:type="dxa"/>
            <w:noWrap w:val="0"/>
            <w:vAlign w:val="center"/>
          </w:tcPr>
          <w:p w14:paraId="3ED36539">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1</w:t>
            </w:r>
          </w:p>
        </w:tc>
        <w:tc>
          <w:tcPr>
            <w:tcW w:w="975" w:type="dxa"/>
            <w:vMerge w:val="restart"/>
            <w:noWrap w:val="0"/>
            <w:vAlign w:val="center"/>
          </w:tcPr>
          <w:p w14:paraId="3016A5E1">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（一）农业节水领跑</w:t>
            </w:r>
          </w:p>
        </w:tc>
        <w:tc>
          <w:tcPr>
            <w:tcW w:w="9586" w:type="dxa"/>
            <w:noWrap w:val="0"/>
            <w:vAlign w:val="center"/>
          </w:tcPr>
          <w:p w14:paraId="615758F6">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1、严格农业用水总量控制，开展节水灌溉技术推广。</w:t>
            </w:r>
            <w:r>
              <w:rPr>
                <w:rStyle w:val="5"/>
                <w:rFonts w:hint="default"/>
                <w:snapToGrid w:val="0"/>
                <w:color w:val="auto"/>
                <w:sz w:val="24"/>
                <w:szCs w:val="24"/>
                <w:lang w:bidi="ar"/>
              </w:rPr>
              <w:t>以农业用水量管控指标为刚性约束，合理确定农业灌溉面积规模目标、种植布局及粮食产出，实现以水定地、以水定产，禁止挤占农田灌溉合理用水，保障粮食安全用水。全县2025年灌溉面积控制在123.9万亩以内，农田灌溉水有效利用系数达到0.569。大力推广高效节水灌溉技术。因地制宜推广喷灌、微灌、低压管道输水等高效灌溉技术。加强农田土壤墒情监测，推行测墒灌溉。积极推广应用农艺节水措施，大力发展节水型生态农业，提高田间水资源利用效率。</w:t>
            </w:r>
          </w:p>
        </w:tc>
        <w:tc>
          <w:tcPr>
            <w:tcW w:w="1620" w:type="dxa"/>
            <w:noWrap w:val="0"/>
            <w:vAlign w:val="center"/>
          </w:tcPr>
          <w:p w14:paraId="1962A6E9">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水务局、农业农村局</w:t>
            </w:r>
          </w:p>
        </w:tc>
        <w:tc>
          <w:tcPr>
            <w:tcW w:w="1620" w:type="dxa"/>
            <w:noWrap w:val="0"/>
            <w:vAlign w:val="center"/>
          </w:tcPr>
          <w:p w14:paraId="64E4B13B">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各乡镇</w:t>
            </w:r>
          </w:p>
        </w:tc>
      </w:tr>
      <w:tr w14:paraId="298838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21" w:hRule="atLeast"/>
        </w:trPr>
        <w:tc>
          <w:tcPr>
            <w:tcW w:w="527" w:type="dxa"/>
            <w:noWrap w:val="0"/>
            <w:vAlign w:val="center"/>
          </w:tcPr>
          <w:p w14:paraId="660F0F67">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2</w:t>
            </w:r>
          </w:p>
        </w:tc>
        <w:tc>
          <w:tcPr>
            <w:tcW w:w="0" w:type="auto"/>
            <w:vMerge w:val="continue"/>
            <w:noWrap w:val="0"/>
            <w:vAlign w:val="center"/>
          </w:tcPr>
          <w:p w14:paraId="3A1D4116">
            <w:pPr>
              <w:widowControl/>
              <w:snapToGrid w:val="0"/>
              <w:jc w:val="center"/>
              <w:textAlignment w:val="center"/>
              <w:rPr>
                <w:rStyle w:val="5"/>
                <w:rFonts w:hint="default"/>
                <w:b/>
                <w:bCs/>
                <w:snapToGrid w:val="0"/>
                <w:color w:val="auto"/>
                <w:sz w:val="24"/>
                <w:szCs w:val="24"/>
                <w:lang w:bidi="ar"/>
              </w:rPr>
            </w:pPr>
          </w:p>
        </w:tc>
        <w:tc>
          <w:tcPr>
            <w:tcW w:w="9586" w:type="dxa"/>
            <w:noWrap w:val="0"/>
            <w:vAlign w:val="center"/>
          </w:tcPr>
          <w:p w14:paraId="755DD267">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2.建设节水型现代化生态灌区。</w:t>
            </w:r>
            <w:r>
              <w:rPr>
                <w:rStyle w:val="5"/>
                <w:rFonts w:hint="default"/>
                <w:snapToGrid w:val="0"/>
                <w:color w:val="auto"/>
                <w:sz w:val="24"/>
                <w:szCs w:val="24"/>
                <w:lang w:bidi="ar"/>
              </w:rPr>
              <w:t>围绕乡村振兴战略，按照现代农业建设要求，实施农业“控灌减水”战略，加快推进老灌区续建配套和全县各乡镇现代化生态灌区建设项目，推进农业灌溉向集约型、高效型、生态型转变，不断提升灌溉保障能力，有效减少农业灌溉用水需求，以农业灌溉节水促其他行业发展，保障全县供水安全。</w:t>
            </w:r>
          </w:p>
        </w:tc>
        <w:tc>
          <w:tcPr>
            <w:tcW w:w="1620" w:type="dxa"/>
            <w:noWrap w:val="0"/>
            <w:vAlign w:val="center"/>
          </w:tcPr>
          <w:p w14:paraId="66B70A9F">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农业农村局</w:t>
            </w:r>
          </w:p>
        </w:tc>
        <w:tc>
          <w:tcPr>
            <w:tcW w:w="1620" w:type="dxa"/>
            <w:noWrap w:val="0"/>
            <w:vAlign w:val="center"/>
          </w:tcPr>
          <w:p w14:paraId="2CAF6EC1">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发改局、水务局、各乡镇</w:t>
            </w:r>
          </w:p>
        </w:tc>
      </w:tr>
      <w:tr w14:paraId="289B54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527" w:type="dxa"/>
            <w:noWrap w:val="0"/>
            <w:vAlign w:val="center"/>
          </w:tcPr>
          <w:p w14:paraId="1229D279">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3</w:t>
            </w:r>
          </w:p>
        </w:tc>
        <w:tc>
          <w:tcPr>
            <w:tcW w:w="0" w:type="auto"/>
            <w:vMerge w:val="continue"/>
            <w:noWrap w:val="0"/>
            <w:vAlign w:val="center"/>
          </w:tcPr>
          <w:p w14:paraId="053153BE">
            <w:pPr>
              <w:widowControl/>
              <w:snapToGrid w:val="0"/>
              <w:jc w:val="center"/>
              <w:textAlignment w:val="center"/>
              <w:rPr>
                <w:rStyle w:val="5"/>
                <w:rFonts w:hint="default"/>
                <w:b/>
                <w:bCs/>
                <w:snapToGrid w:val="0"/>
                <w:color w:val="auto"/>
                <w:sz w:val="24"/>
                <w:szCs w:val="24"/>
                <w:lang w:bidi="ar"/>
              </w:rPr>
            </w:pPr>
          </w:p>
        </w:tc>
        <w:tc>
          <w:tcPr>
            <w:tcW w:w="9586" w:type="dxa"/>
            <w:noWrap w:val="0"/>
            <w:vAlign w:val="center"/>
          </w:tcPr>
          <w:p w14:paraId="40975264">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3.优化调整种植结构。</w:t>
            </w:r>
            <w:r>
              <w:rPr>
                <w:rStyle w:val="5"/>
                <w:rFonts w:hint="default"/>
                <w:snapToGrid w:val="0"/>
                <w:color w:val="auto"/>
                <w:sz w:val="24"/>
                <w:szCs w:val="24"/>
                <w:lang w:bidi="ar"/>
              </w:rPr>
              <w:t>加大农业种植结构调整。按照“因地制宜”原则，持续优化农业种植结构，科学管控高耗水农业种植规模，推广低耗水高耐旱作物种植，严控高耗水作物的种植。优先确保粮食安全、保障特色优势产业用水需求，同时挖掘节水潜力。</w:t>
            </w:r>
          </w:p>
        </w:tc>
        <w:tc>
          <w:tcPr>
            <w:tcW w:w="1620" w:type="dxa"/>
            <w:noWrap w:val="0"/>
            <w:vAlign w:val="center"/>
          </w:tcPr>
          <w:p w14:paraId="55842D64">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发改局、农业农村局</w:t>
            </w:r>
          </w:p>
        </w:tc>
        <w:tc>
          <w:tcPr>
            <w:tcW w:w="1620" w:type="dxa"/>
            <w:noWrap w:val="0"/>
            <w:vAlign w:val="center"/>
          </w:tcPr>
          <w:p w14:paraId="425EDE54">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w:t>
            </w:r>
          </w:p>
        </w:tc>
      </w:tr>
      <w:tr w14:paraId="7FEBFD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2" w:hRule="atLeast"/>
        </w:trPr>
        <w:tc>
          <w:tcPr>
            <w:tcW w:w="527" w:type="dxa"/>
            <w:noWrap w:val="0"/>
            <w:vAlign w:val="center"/>
          </w:tcPr>
          <w:p w14:paraId="085887C6">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4</w:t>
            </w:r>
          </w:p>
        </w:tc>
        <w:tc>
          <w:tcPr>
            <w:tcW w:w="0" w:type="auto"/>
            <w:vMerge w:val="continue"/>
            <w:noWrap w:val="0"/>
            <w:vAlign w:val="center"/>
          </w:tcPr>
          <w:p w14:paraId="03AE5C17">
            <w:pPr>
              <w:widowControl/>
              <w:snapToGrid w:val="0"/>
              <w:jc w:val="center"/>
              <w:textAlignment w:val="center"/>
              <w:rPr>
                <w:rStyle w:val="5"/>
                <w:rFonts w:hint="default"/>
                <w:b/>
                <w:bCs/>
                <w:snapToGrid w:val="0"/>
                <w:color w:val="auto"/>
                <w:sz w:val="24"/>
                <w:szCs w:val="24"/>
                <w:lang w:bidi="ar"/>
              </w:rPr>
            </w:pPr>
          </w:p>
        </w:tc>
        <w:tc>
          <w:tcPr>
            <w:tcW w:w="9586" w:type="dxa"/>
            <w:noWrap w:val="0"/>
            <w:vAlign w:val="center"/>
          </w:tcPr>
          <w:p w14:paraId="3B6E762E">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4.落实农业水价综合改革实施方案。</w:t>
            </w:r>
            <w:r>
              <w:rPr>
                <w:rStyle w:val="5"/>
                <w:rFonts w:hint="default"/>
                <w:snapToGrid w:val="0"/>
                <w:color w:val="auto"/>
                <w:sz w:val="24"/>
                <w:szCs w:val="24"/>
                <w:lang w:bidi="ar"/>
              </w:rPr>
              <w:t>按照《平罗县自流灌区末级渠系农业灌溉用水价格调整方案》《平罗县农业用水精准补贴及节水奖惩办法》和《平罗县引黄灌区水费收缴使用管理办法》全面完成农业水价综合改革，末级渠系农业用水价格总体达到运行维护成本水平，经营性水利工程水价达到完全成本水平。建立健全合理反映渠系供水成本、有利于节水和农田水利工程管理体制机制创新、与投融资体制相适应的农业水价形成机制。</w:t>
            </w:r>
          </w:p>
        </w:tc>
        <w:tc>
          <w:tcPr>
            <w:tcW w:w="1620" w:type="dxa"/>
            <w:noWrap w:val="0"/>
            <w:vAlign w:val="center"/>
          </w:tcPr>
          <w:p w14:paraId="0D27B1BB">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发改局</w:t>
            </w:r>
          </w:p>
        </w:tc>
        <w:tc>
          <w:tcPr>
            <w:tcW w:w="1620" w:type="dxa"/>
            <w:noWrap w:val="0"/>
            <w:vAlign w:val="center"/>
          </w:tcPr>
          <w:p w14:paraId="65B378E0">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水务局、财政局</w:t>
            </w:r>
          </w:p>
        </w:tc>
      </w:tr>
      <w:tr w14:paraId="7E1D1C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26" w:hRule="atLeast"/>
        </w:trPr>
        <w:tc>
          <w:tcPr>
            <w:tcW w:w="527" w:type="dxa"/>
            <w:noWrap w:val="0"/>
            <w:vAlign w:val="center"/>
          </w:tcPr>
          <w:p w14:paraId="06851D4B">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5</w:t>
            </w:r>
          </w:p>
        </w:tc>
        <w:tc>
          <w:tcPr>
            <w:tcW w:w="975" w:type="dxa"/>
            <w:vMerge w:val="restart"/>
            <w:noWrap w:val="0"/>
            <w:vAlign w:val="center"/>
          </w:tcPr>
          <w:p w14:paraId="5CB3BA48">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（二）实施工业节水增效</w:t>
            </w:r>
          </w:p>
        </w:tc>
        <w:tc>
          <w:tcPr>
            <w:tcW w:w="9586" w:type="dxa"/>
            <w:noWrap w:val="0"/>
            <w:vAlign w:val="center"/>
          </w:tcPr>
          <w:p w14:paraId="3F61C7BD">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1.建设节水型工业园区与企业。</w:t>
            </w:r>
            <w:r>
              <w:rPr>
                <w:rStyle w:val="5"/>
                <w:rFonts w:hint="default"/>
                <w:snapToGrid w:val="0"/>
                <w:color w:val="auto"/>
                <w:sz w:val="24"/>
                <w:szCs w:val="24"/>
                <w:lang w:bidi="ar"/>
              </w:rPr>
              <w:t>力争“十四五”期间将平罗工业园区建成节水型工业园区。到2025年，火电、化工等规模以上企业及年用水量在100万立方米以上的企业节水型企业建成率达80%，年用水量在50万～100万立方米内的企业节水型企业建成率达50%，力争规上企业（年用水量在1万立方米以上）节水型企业建成率达20%以上。</w:t>
            </w:r>
          </w:p>
        </w:tc>
        <w:tc>
          <w:tcPr>
            <w:tcW w:w="1620" w:type="dxa"/>
            <w:noWrap w:val="0"/>
            <w:vAlign w:val="center"/>
          </w:tcPr>
          <w:p w14:paraId="0D74AF7F">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工信局、水务局</w:t>
            </w:r>
          </w:p>
        </w:tc>
        <w:tc>
          <w:tcPr>
            <w:tcW w:w="1620" w:type="dxa"/>
            <w:noWrap w:val="0"/>
            <w:vAlign w:val="center"/>
          </w:tcPr>
          <w:p w14:paraId="3971BB34">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园区管委会</w:t>
            </w:r>
          </w:p>
        </w:tc>
      </w:tr>
      <w:tr w14:paraId="6BA974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99" w:hRule="atLeast"/>
        </w:trPr>
        <w:tc>
          <w:tcPr>
            <w:tcW w:w="527" w:type="dxa"/>
            <w:noWrap w:val="0"/>
            <w:vAlign w:val="center"/>
          </w:tcPr>
          <w:p w14:paraId="3A6EC692">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6</w:t>
            </w:r>
          </w:p>
        </w:tc>
        <w:tc>
          <w:tcPr>
            <w:tcW w:w="0" w:type="auto"/>
            <w:vMerge w:val="continue"/>
            <w:noWrap w:val="0"/>
            <w:vAlign w:val="center"/>
          </w:tcPr>
          <w:p w14:paraId="3624FDAC">
            <w:pPr>
              <w:widowControl/>
              <w:snapToGrid w:val="0"/>
              <w:jc w:val="center"/>
              <w:textAlignment w:val="center"/>
              <w:rPr>
                <w:rStyle w:val="5"/>
                <w:rFonts w:hint="default"/>
                <w:b/>
                <w:bCs/>
                <w:snapToGrid w:val="0"/>
                <w:color w:val="auto"/>
                <w:sz w:val="24"/>
                <w:szCs w:val="24"/>
                <w:lang w:bidi="ar"/>
              </w:rPr>
            </w:pPr>
          </w:p>
        </w:tc>
        <w:tc>
          <w:tcPr>
            <w:tcW w:w="9586" w:type="dxa"/>
            <w:noWrap w:val="0"/>
            <w:vAlign w:val="center"/>
          </w:tcPr>
          <w:p w14:paraId="36FEE328">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2.促进工业用水循环高效利用。</w:t>
            </w:r>
            <w:r>
              <w:rPr>
                <w:rStyle w:val="5"/>
                <w:rFonts w:hint="default"/>
                <w:snapToGrid w:val="0"/>
                <w:color w:val="auto"/>
                <w:sz w:val="24"/>
                <w:szCs w:val="24"/>
                <w:lang w:bidi="ar"/>
              </w:rPr>
              <w:t>在工业园区内开展以节水为重点内容的绿色高质量转型升级和循环化改造，加快节水及水循环利用设施建设，促进企业间串联用水、分质用水，一水多用和循环利用，统筹开展工业污染源治理、污水处理、再生水利用，推动建设再生水高效利用示范园区，深入实施循环化改造工程。</w:t>
            </w:r>
          </w:p>
        </w:tc>
        <w:tc>
          <w:tcPr>
            <w:tcW w:w="1620" w:type="dxa"/>
            <w:noWrap w:val="0"/>
            <w:vAlign w:val="center"/>
          </w:tcPr>
          <w:p w14:paraId="76FCE15F">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工信局、水务局</w:t>
            </w:r>
          </w:p>
        </w:tc>
        <w:tc>
          <w:tcPr>
            <w:tcW w:w="1620" w:type="dxa"/>
            <w:noWrap w:val="0"/>
            <w:vAlign w:val="center"/>
          </w:tcPr>
          <w:p w14:paraId="7298FE5D">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市生态环境局平罗分局、住建局</w:t>
            </w:r>
          </w:p>
        </w:tc>
      </w:tr>
      <w:tr w14:paraId="5384B5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49" w:hRule="atLeast"/>
        </w:trPr>
        <w:tc>
          <w:tcPr>
            <w:tcW w:w="527" w:type="dxa"/>
            <w:noWrap w:val="0"/>
            <w:vAlign w:val="center"/>
          </w:tcPr>
          <w:p w14:paraId="193AE76E">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7</w:t>
            </w:r>
          </w:p>
        </w:tc>
        <w:tc>
          <w:tcPr>
            <w:tcW w:w="0" w:type="auto"/>
            <w:vMerge w:val="continue"/>
            <w:noWrap w:val="0"/>
            <w:vAlign w:val="center"/>
          </w:tcPr>
          <w:p w14:paraId="30185794">
            <w:pPr>
              <w:widowControl/>
              <w:snapToGrid w:val="0"/>
              <w:jc w:val="center"/>
              <w:textAlignment w:val="center"/>
              <w:rPr>
                <w:rStyle w:val="5"/>
                <w:rFonts w:hint="default"/>
                <w:b/>
                <w:bCs/>
                <w:snapToGrid w:val="0"/>
                <w:color w:val="auto"/>
                <w:sz w:val="24"/>
                <w:szCs w:val="24"/>
                <w:lang w:bidi="ar"/>
              </w:rPr>
            </w:pPr>
          </w:p>
        </w:tc>
        <w:tc>
          <w:tcPr>
            <w:tcW w:w="9586" w:type="dxa"/>
            <w:noWrap w:val="0"/>
            <w:vAlign w:val="center"/>
          </w:tcPr>
          <w:p w14:paraId="083E5297">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3.推动传统高耗水行业转型升级。</w:t>
            </w:r>
            <w:r>
              <w:rPr>
                <w:rStyle w:val="5"/>
                <w:rFonts w:hint="default"/>
                <w:snapToGrid w:val="0"/>
                <w:color w:val="auto"/>
                <w:sz w:val="24"/>
                <w:szCs w:val="24"/>
                <w:lang w:bidi="ar"/>
              </w:rPr>
              <w:t>严格执行《宁夏回族自治区能耗双控产业结构调整指导目录（试行）》和国家《高耗水工艺、技术和装备淘汰目录》，从严控制新建和扩建高耗水项目，对列入禁止类的，不允许新增固定资产投资项目；对列入限制类的，严格落实规模限制、产业环节、工艺及产品限制和能效水平限制等管理措施；对列入淘汰类的，按时间节点要求限期逐步退出，不予批准新增取水许可。</w:t>
            </w:r>
          </w:p>
        </w:tc>
        <w:tc>
          <w:tcPr>
            <w:tcW w:w="1620" w:type="dxa"/>
            <w:noWrap w:val="0"/>
            <w:vAlign w:val="center"/>
          </w:tcPr>
          <w:p w14:paraId="4C873394">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工信局、水务局、发改局</w:t>
            </w:r>
          </w:p>
        </w:tc>
        <w:tc>
          <w:tcPr>
            <w:tcW w:w="1620" w:type="dxa"/>
            <w:noWrap w:val="0"/>
            <w:vAlign w:val="center"/>
          </w:tcPr>
          <w:p w14:paraId="0456C3DC">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园区管委会</w:t>
            </w:r>
          </w:p>
        </w:tc>
      </w:tr>
      <w:tr w14:paraId="4CF433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70" w:hRule="atLeast"/>
        </w:trPr>
        <w:tc>
          <w:tcPr>
            <w:tcW w:w="527" w:type="dxa"/>
            <w:shd w:val="clear" w:color="auto" w:fill="auto"/>
            <w:noWrap w:val="0"/>
            <w:vAlign w:val="center"/>
          </w:tcPr>
          <w:p w14:paraId="27B7BB1D">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8</w:t>
            </w:r>
          </w:p>
        </w:tc>
        <w:tc>
          <w:tcPr>
            <w:tcW w:w="975" w:type="dxa"/>
            <w:shd w:val="clear" w:color="auto" w:fill="auto"/>
            <w:noWrap w:val="0"/>
            <w:vAlign w:val="center"/>
          </w:tcPr>
          <w:p w14:paraId="5606AB08">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（三）城乡节水普及</w:t>
            </w:r>
          </w:p>
        </w:tc>
        <w:tc>
          <w:tcPr>
            <w:tcW w:w="9586" w:type="dxa"/>
            <w:noWrap w:val="0"/>
            <w:vAlign w:val="center"/>
          </w:tcPr>
          <w:p w14:paraId="25670F20">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1.提升城乡供水利用效率。</w:t>
            </w:r>
            <w:r>
              <w:rPr>
                <w:rStyle w:val="5"/>
                <w:rFonts w:hint="default"/>
                <w:snapToGrid w:val="0"/>
                <w:color w:val="auto"/>
                <w:sz w:val="24"/>
                <w:szCs w:val="24"/>
                <w:lang w:bidi="ar"/>
              </w:rPr>
              <w:t>加快城乡供水管网更新改造和配套改造，强化供水单位公共供水设施、设备、管网的维护管理。建设供水管网数字化监测管理系统，建立完善供水管网检漏制度。加强公共供水系统运行监督管理，推进城镇供水管网分区计量管理，建立精细化管理平台和漏损智能探测、管控体系，协同推进二次供水设施改造和专业化管理。到2025年，平罗县城市供水管网漏损率降低到9%以下。</w:t>
            </w:r>
          </w:p>
        </w:tc>
        <w:tc>
          <w:tcPr>
            <w:tcW w:w="1620" w:type="dxa"/>
            <w:noWrap w:val="0"/>
            <w:vAlign w:val="center"/>
          </w:tcPr>
          <w:p w14:paraId="6474BDAC">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住建局</w:t>
            </w:r>
          </w:p>
        </w:tc>
        <w:tc>
          <w:tcPr>
            <w:tcW w:w="1620" w:type="dxa"/>
            <w:noWrap w:val="0"/>
            <w:vAlign w:val="center"/>
          </w:tcPr>
          <w:p w14:paraId="2B05364F">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水务局、宁夏德渊市政产业投资建设（集团）有限公司、宁夏水投平罗水务有限公司</w:t>
            </w:r>
          </w:p>
        </w:tc>
      </w:tr>
      <w:tr w14:paraId="5DFA91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85" w:hRule="atLeast"/>
        </w:trPr>
        <w:tc>
          <w:tcPr>
            <w:tcW w:w="527" w:type="dxa"/>
            <w:shd w:val="clear" w:color="auto" w:fill="auto"/>
            <w:noWrap w:val="0"/>
            <w:vAlign w:val="center"/>
          </w:tcPr>
          <w:p w14:paraId="474B0591">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9</w:t>
            </w:r>
          </w:p>
        </w:tc>
        <w:tc>
          <w:tcPr>
            <w:tcW w:w="975" w:type="dxa"/>
            <w:vMerge w:val="restart"/>
            <w:shd w:val="clear" w:color="auto" w:fill="auto"/>
            <w:noWrap w:val="0"/>
            <w:vAlign w:val="center"/>
          </w:tcPr>
          <w:p w14:paraId="1AC57A5A">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（三）城乡节水普及</w:t>
            </w:r>
          </w:p>
        </w:tc>
        <w:tc>
          <w:tcPr>
            <w:tcW w:w="9586" w:type="dxa"/>
            <w:noWrap w:val="0"/>
            <w:vAlign w:val="center"/>
          </w:tcPr>
          <w:p w14:paraId="4BCBB6D1">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2.深度实施城乡生活节水。</w:t>
            </w:r>
            <w:r>
              <w:rPr>
                <w:rStyle w:val="5"/>
                <w:rFonts w:hint="default"/>
                <w:snapToGrid w:val="0"/>
                <w:color w:val="auto"/>
                <w:sz w:val="24"/>
                <w:szCs w:val="24"/>
                <w:lang w:bidi="ar"/>
              </w:rPr>
              <w:t>强化公共用水和自建设施供水计划管理，以学校、医院、行政中心、宾馆饭店、洗车洗浴等较大用水户为重点，从严控制用水指标和用水定额管理。加强用水器具市场管理，持续推进节水认证工作，严格落实水效标识制度，持续开展水效标识产品符合性监督检查。到2025年，公共场所和新建居民小区家庭节水型生活器具普及率达到100%。</w:t>
            </w:r>
          </w:p>
        </w:tc>
        <w:tc>
          <w:tcPr>
            <w:tcW w:w="1620" w:type="dxa"/>
            <w:noWrap w:val="0"/>
            <w:vAlign w:val="center"/>
          </w:tcPr>
          <w:p w14:paraId="06A95DC8">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住建局、水务局</w:t>
            </w:r>
          </w:p>
        </w:tc>
        <w:tc>
          <w:tcPr>
            <w:tcW w:w="1620" w:type="dxa"/>
            <w:noWrap w:val="0"/>
            <w:vAlign w:val="center"/>
          </w:tcPr>
          <w:p w14:paraId="342F4745">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宁夏德渊市政产业投资建设（集团）有限公司、各乡镇</w:t>
            </w:r>
          </w:p>
        </w:tc>
      </w:tr>
      <w:tr w14:paraId="7C755A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91" w:hRule="atLeast"/>
        </w:trPr>
        <w:tc>
          <w:tcPr>
            <w:tcW w:w="527" w:type="dxa"/>
            <w:shd w:val="clear" w:color="auto" w:fill="auto"/>
            <w:noWrap w:val="0"/>
            <w:vAlign w:val="center"/>
          </w:tcPr>
          <w:p w14:paraId="3FC1AE05">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10</w:t>
            </w:r>
          </w:p>
        </w:tc>
        <w:tc>
          <w:tcPr>
            <w:tcW w:w="975" w:type="dxa"/>
            <w:vMerge w:val="continue"/>
            <w:shd w:val="clear" w:color="auto" w:fill="auto"/>
            <w:noWrap w:val="0"/>
            <w:vAlign w:val="center"/>
          </w:tcPr>
          <w:p w14:paraId="633D27CB">
            <w:pPr>
              <w:widowControl/>
              <w:snapToGrid w:val="0"/>
              <w:jc w:val="center"/>
              <w:textAlignment w:val="center"/>
              <w:rPr>
                <w:rStyle w:val="5"/>
                <w:rFonts w:hint="default"/>
                <w:b/>
                <w:bCs/>
                <w:snapToGrid w:val="0"/>
                <w:color w:val="auto"/>
                <w:sz w:val="24"/>
                <w:szCs w:val="24"/>
                <w:lang w:bidi="ar"/>
              </w:rPr>
            </w:pPr>
          </w:p>
        </w:tc>
        <w:tc>
          <w:tcPr>
            <w:tcW w:w="9586" w:type="dxa"/>
            <w:noWrap w:val="0"/>
            <w:vAlign w:val="center"/>
          </w:tcPr>
          <w:p w14:paraId="4CC0B416">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3.强化服务业节水管理。</w:t>
            </w:r>
            <w:r>
              <w:rPr>
                <w:rStyle w:val="5"/>
                <w:rFonts w:hint="default"/>
                <w:snapToGrid w:val="0"/>
                <w:color w:val="auto"/>
                <w:sz w:val="24"/>
                <w:szCs w:val="24"/>
                <w:lang w:bidi="ar"/>
              </w:rPr>
              <w:t>发挥用水户节水主体作用，用水单位和个人应采用节水型生产生活方式。推进党政机关、学校、医院、居民小区等单位对标节水型社会达标建设，将党政机关、事业单位、人民团体等单位节水纳入文明单位创建。到2025年，节水型居民小区覆盖率大于25%。公共机构节水型单位建成率达到95%。</w:t>
            </w:r>
          </w:p>
        </w:tc>
        <w:tc>
          <w:tcPr>
            <w:tcW w:w="1620" w:type="dxa"/>
            <w:noWrap w:val="0"/>
            <w:vAlign w:val="center"/>
          </w:tcPr>
          <w:p w14:paraId="5B116BEF">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住建局、机关事务服务中心、水务局、市场监管局</w:t>
            </w:r>
          </w:p>
        </w:tc>
        <w:tc>
          <w:tcPr>
            <w:tcW w:w="1620" w:type="dxa"/>
            <w:noWrap w:val="0"/>
            <w:vAlign w:val="center"/>
          </w:tcPr>
          <w:p w14:paraId="1E5548AF">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节水型社会建设领导小组各成员单位</w:t>
            </w:r>
          </w:p>
        </w:tc>
      </w:tr>
      <w:tr w14:paraId="1EDAC6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0" w:hRule="atLeast"/>
        </w:trPr>
        <w:tc>
          <w:tcPr>
            <w:tcW w:w="527" w:type="dxa"/>
            <w:shd w:val="clear" w:color="auto" w:fill="auto"/>
            <w:noWrap w:val="0"/>
            <w:vAlign w:val="center"/>
          </w:tcPr>
          <w:p w14:paraId="5CC219E9">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11</w:t>
            </w:r>
          </w:p>
        </w:tc>
        <w:tc>
          <w:tcPr>
            <w:tcW w:w="975" w:type="dxa"/>
            <w:vMerge w:val="continue"/>
            <w:shd w:val="clear" w:color="auto" w:fill="auto"/>
            <w:noWrap w:val="0"/>
            <w:vAlign w:val="center"/>
          </w:tcPr>
          <w:p w14:paraId="2CFA6F2E">
            <w:pPr>
              <w:widowControl/>
              <w:snapToGrid w:val="0"/>
              <w:jc w:val="center"/>
              <w:textAlignment w:val="center"/>
              <w:rPr>
                <w:rStyle w:val="5"/>
                <w:rFonts w:hint="default"/>
                <w:b/>
                <w:bCs/>
                <w:snapToGrid w:val="0"/>
                <w:color w:val="auto"/>
                <w:sz w:val="24"/>
                <w:szCs w:val="24"/>
                <w:lang w:bidi="ar"/>
              </w:rPr>
            </w:pPr>
          </w:p>
        </w:tc>
        <w:tc>
          <w:tcPr>
            <w:tcW w:w="9586" w:type="dxa"/>
            <w:noWrap w:val="0"/>
            <w:vAlign w:val="center"/>
          </w:tcPr>
          <w:p w14:paraId="2D26B0A9">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4.利用价格杠杆促进生活节水。</w:t>
            </w:r>
            <w:r>
              <w:rPr>
                <w:rStyle w:val="5"/>
                <w:rFonts w:hint="default"/>
                <w:snapToGrid w:val="0"/>
                <w:color w:val="auto"/>
                <w:sz w:val="24"/>
                <w:szCs w:val="24"/>
                <w:lang w:bidi="ar"/>
              </w:rPr>
              <w:t>核定公共供水价格，农村居民生活用水实行两部制水价、根据《自治区人民政府办公厅关于印发〈宁夏回族自治区水资源税改革试点实施办法〉的通知》（宁政办发〔2017〕217号），结合用水计划和取水许可证办理情况，城镇居民用水实行阶梯水价，非居民用水实行超计划、超定额累进加价。</w:t>
            </w:r>
          </w:p>
        </w:tc>
        <w:tc>
          <w:tcPr>
            <w:tcW w:w="1620" w:type="dxa"/>
            <w:noWrap w:val="0"/>
            <w:vAlign w:val="center"/>
          </w:tcPr>
          <w:p w14:paraId="76E920D1">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发改局</w:t>
            </w:r>
          </w:p>
        </w:tc>
        <w:tc>
          <w:tcPr>
            <w:tcW w:w="1620" w:type="dxa"/>
            <w:noWrap w:val="0"/>
            <w:vAlign w:val="center"/>
          </w:tcPr>
          <w:p w14:paraId="0F39BE83">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水务局、宁夏德渊市政产业投资建设（集团）有限公司、宁夏水投平罗水务有限公司</w:t>
            </w:r>
          </w:p>
        </w:tc>
      </w:tr>
      <w:tr w14:paraId="4054B5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14" w:hRule="atLeast"/>
        </w:trPr>
        <w:tc>
          <w:tcPr>
            <w:tcW w:w="527" w:type="dxa"/>
            <w:shd w:val="clear" w:color="auto" w:fill="auto"/>
            <w:noWrap w:val="0"/>
            <w:vAlign w:val="center"/>
          </w:tcPr>
          <w:p w14:paraId="6F84F597">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12</w:t>
            </w:r>
          </w:p>
        </w:tc>
        <w:tc>
          <w:tcPr>
            <w:tcW w:w="975" w:type="dxa"/>
            <w:shd w:val="clear" w:color="auto" w:fill="auto"/>
            <w:noWrap w:val="0"/>
            <w:vAlign w:val="center"/>
          </w:tcPr>
          <w:p w14:paraId="4D582863">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（四）多源增供保障</w:t>
            </w:r>
          </w:p>
        </w:tc>
        <w:tc>
          <w:tcPr>
            <w:tcW w:w="9586" w:type="dxa"/>
            <w:noWrap w:val="0"/>
            <w:vAlign w:val="center"/>
          </w:tcPr>
          <w:p w14:paraId="75979DAF">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1.加大再生水利用。</w:t>
            </w:r>
            <w:r>
              <w:rPr>
                <w:rStyle w:val="5"/>
                <w:rFonts w:hint="default"/>
                <w:snapToGrid w:val="0"/>
                <w:color w:val="auto"/>
                <w:sz w:val="24"/>
                <w:szCs w:val="24"/>
                <w:lang w:bidi="ar"/>
              </w:rPr>
              <w:t>加强再生水回用设施建设，提标改造污水处理厂，推进城镇、工业污（废）水处理回用设施建设，再生水供水单位发掘潜在再生水用水户，水行政主管部门参与管理，要求再生水供水区域内企业循环冷却、道路降尘、人造景观使用再生水；强制推动再生水等非常规水纳入水资源统一配置，具备非常规水利用条件但未充分利用的，取水许可审批机关不得批准新增取水许可。到2025年，平罗县再生水利用率达到50%。</w:t>
            </w:r>
          </w:p>
        </w:tc>
        <w:tc>
          <w:tcPr>
            <w:tcW w:w="1620" w:type="dxa"/>
            <w:noWrap w:val="0"/>
            <w:vAlign w:val="center"/>
          </w:tcPr>
          <w:p w14:paraId="77073551">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住建局、水务局、市生态环境局平罗分局</w:t>
            </w:r>
          </w:p>
        </w:tc>
        <w:tc>
          <w:tcPr>
            <w:tcW w:w="1620" w:type="dxa"/>
            <w:noWrap w:val="0"/>
            <w:vAlign w:val="center"/>
          </w:tcPr>
          <w:p w14:paraId="4F654AFC">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工信局、园区管委会、宁夏德渊市政产业投资建设（集团）有限公司、各乡镇</w:t>
            </w:r>
          </w:p>
        </w:tc>
      </w:tr>
      <w:tr w14:paraId="382E58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05" w:hRule="atLeast"/>
        </w:trPr>
        <w:tc>
          <w:tcPr>
            <w:tcW w:w="527" w:type="dxa"/>
            <w:shd w:val="clear" w:color="auto" w:fill="auto"/>
            <w:noWrap w:val="0"/>
            <w:vAlign w:val="center"/>
          </w:tcPr>
          <w:p w14:paraId="76FC7679">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13</w:t>
            </w:r>
          </w:p>
        </w:tc>
        <w:tc>
          <w:tcPr>
            <w:tcW w:w="975" w:type="dxa"/>
            <w:shd w:val="clear" w:color="auto" w:fill="auto"/>
            <w:noWrap w:val="0"/>
            <w:vAlign w:val="center"/>
          </w:tcPr>
          <w:p w14:paraId="68E7245F">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（四）多源增供保障</w:t>
            </w:r>
          </w:p>
        </w:tc>
        <w:tc>
          <w:tcPr>
            <w:tcW w:w="9586" w:type="dxa"/>
            <w:noWrap w:val="0"/>
            <w:vAlign w:val="center"/>
          </w:tcPr>
          <w:p w14:paraId="128B304E">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2.加大雨水资源利用。</w:t>
            </w:r>
            <w:r>
              <w:rPr>
                <w:rStyle w:val="5"/>
                <w:rFonts w:hint="default"/>
                <w:snapToGrid w:val="0"/>
                <w:color w:val="auto"/>
                <w:sz w:val="24"/>
                <w:szCs w:val="24"/>
                <w:lang w:bidi="ar"/>
              </w:rPr>
              <w:t>开展县域雨水利用调查，大力推广雨水集蓄利用，城镇绿化用水充分利用集蓄雨水资源。对于园区雨水利用，可通过加强园区雨水科学管理、配置等非工程措施和实施雨水集蓄等工程措施提高雨水利用率。</w:t>
            </w:r>
          </w:p>
        </w:tc>
        <w:tc>
          <w:tcPr>
            <w:tcW w:w="1620" w:type="dxa"/>
            <w:noWrap w:val="0"/>
            <w:vAlign w:val="center"/>
          </w:tcPr>
          <w:p w14:paraId="7198E6E8">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住建局、水务局、市生态环境局平罗分局</w:t>
            </w:r>
          </w:p>
        </w:tc>
        <w:tc>
          <w:tcPr>
            <w:tcW w:w="1620" w:type="dxa"/>
            <w:noWrap w:val="0"/>
            <w:vAlign w:val="center"/>
          </w:tcPr>
          <w:p w14:paraId="48343ABC">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工信局、园区管委会、宁夏德渊市政产业投资建设（集团）有限公司、各乡镇</w:t>
            </w:r>
          </w:p>
        </w:tc>
      </w:tr>
      <w:tr w14:paraId="0284F8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49" w:hRule="atLeast"/>
        </w:trPr>
        <w:tc>
          <w:tcPr>
            <w:tcW w:w="527" w:type="dxa"/>
            <w:noWrap w:val="0"/>
            <w:vAlign w:val="center"/>
          </w:tcPr>
          <w:p w14:paraId="12D0786A">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14</w:t>
            </w:r>
          </w:p>
        </w:tc>
        <w:tc>
          <w:tcPr>
            <w:tcW w:w="975" w:type="dxa"/>
            <w:vMerge w:val="restart"/>
            <w:noWrap w:val="0"/>
            <w:vAlign w:val="center"/>
          </w:tcPr>
          <w:p w14:paraId="52A43BBB">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（五）科技创新引领</w:t>
            </w:r>
          </w:p>
        </w:tc>
        <w:tc>
          <w:tcPr>
            <w:tcW w:w="9586" w:type="dxa"/>
            <w:noWrap w:val="0"/>
            <w:vAlign w:val="center"/>
          </w:tcPr>
          <w:p w14:paraId="489C8738">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1.加快关键节水技术研发。</w:t>
            </w:r>
            <w:r>
              <w:rPr>
                <w:rStyle w:val="5"/>
                <w:rFonts w:hint="default"/>
                <w:snapToGrid w:val="0"/>
                <w:color w:val="auto"/>
                <w:sz w:val="24"/>
                <w:szCs w:val="24"/>
                <w:lang w:bidi="ar"/>
              </w:rPr>
              <w:t>充分调动高校、科研机构、科技社团和企业等各方力量，加强节水重大课题研究和关键技术攻关。瞄准世界先进技术，加强东西部科技合作，推动节水技术、工艺、产品、装备研发创新，大力支持精量节水灌溉、精准计量控制、水资源高效循环利用、管网漏损监测智能化、矿井水淡化处理、非常规水源利用等先进技术及设备研发。</w:t>
            </w:r>
          </w:p>
        </w:tc>
        <w:tc>
          <w:tcPr>
            <w:tcW w:w="1620" w:type="dxa"/>
            <w:noWrap w:val="0"/>
            <w:vAlign w:val="center"/>
          </w:tcPr>
          <w:p w14:paraId="007DDD1B">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科技局、住建局、农业农村局、市场监管局、工信局</w:t>
            </w:r>
          </w:p>
        </w:tc>
        <w:tc>
          <w:tcPr>
            <w:tcW w:w="1620" w:type="dxa"/>
            <w:noWrap w:val="0"/>
            <w:vAlign w:val="center"/>
          </w:tcPr>
          <w:p w14:paraId="3733B492">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水务局、园区管委会</w:t>
            </w:r>
          </w:p>
        </w:tc>
      </w:tr>
      <w:tr w14:paraId="5F6234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59" w:hRule="atLeast"/>
        </w:trPr>
        <w:tc>
          <w:tcPr>
            <w:tcW w:w="527" w:type="dxa"/>
            <w:noWrap w:val="0"/>
            <w:vAlign w:val="center"/>
          </w:tcPr>
          <w:p w14:paraId="1428C347">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15</w:t>
            </w:r>
          </w:p>
        </w:tc>
        <w:tc>
          <w:tcPr>
            <w:tcW w:w="0" w:type="auto"/>
            <w:vMerge w:val="continue"/>
            <w:noWrap w:val="0"/>
            <w:vAlign w:val="center"/>
          </w:tcPr>
          <w:p w14:paraId="76D2F31F">
            <w:pPr>
              <w:widowControl/>
              <w:snapToGrid w:val="0"/>
              <w:jc w:val="center"/>
              <w:textAlignment w:val="center"/>
              <w:rPr>
                <w:rStyle w:val="5"/>
                <w:rFonts w:hint="default"/>
                <w:b/>
                <w:bCs/>
                <w:snapToGrid w:val="0"/>
                <w:color w:val="auto"/>
                <w:sz w:val="24"/>
                <w:szCs w:val="24"/>
                <w:lang w:bidi="ar"/>
              </w:rPr>
            </w:pPr>
          </w:p>
        </w:tc>
        <w:tc>
          <w:tcPr>
            <w:tcW w:w="9586" w:type="dxa"/>
            <w:noWrap w:val="0"/>
            <w:vAlign w:val="center"/>
          </w:tcPr>
          <w:p w14:paraId="4B499B4E">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2.加快实施数字治水建设。</w:t>
            </w:r>
            <w:r>
              <w:rPr>
                <w:rStyle w:val="5"/>
                <w:rFonts w:hint="default"/>
                <w:snapToGrid w:val="0"/>
                <w:color w:val="auto"/>
                <w:sz w:val="24"/>
                <w:szCs w:val="24"/>
                <w:lang w:bidi="ar"/>
              </w:rPr>
              <w:t>推进“互联网+节水”建设，加强大数据、人工智能、区块链等信息技术应用，加快推进节水信息设施现代化。实施从渠道供水工程到田间节灌设备的数字化改造和计量、调度、监控、运维、巡查等用水全过程的数字化管控，建立“输水工程+测控一体闸门+调蓄水池+水肥一体化精准灌溉”的智能高效供水系统，实现灌溉水工程自动化、水调控精准化、水服务高效化。</w:t>
            </w:r>
          </w:p>
        </w:tc>
        <w:tc>
          <w:tcPr>
            <w:tcW w:w="1620" w:type="dxa"/>
            <w:noWrap w:val="0"/>
            <w:vAlign w:val="center"/>
          </w:tcPr>
          <w:p w14:paraId="702A4438">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水务局、科技局、住建局、农业农村局、工信局</w:t>
            </w:r>
          </w:p>
        </w:tc>
        <w:tc>
          <w:tcPr>
            <w:tcW w:w="1620" w:type="dxa"/>
            <w:noWrap w:val="0"/>
            <w:vAlign w:val="center"/>
          </w:tcPr>
          <w:p w14:paraId="5EF6045F">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园区管委会、宁夏德渊市政产业投资建设（集团）有限公司、</w:t>
            </w:r>
          </w:p>
        </w:tc>
      </w:tr>
      <w:tr w14:paraId="799AEF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41" w:hRule="atLeast"/>
        </w:trPr>
        <w:tc>
          <w:tcPr>
            <w:tcW w:w="527" w:type="dxa"/>
            <w:shd w:val="clear" w:color="auto" w:fill="auto"/>
            <w:noWrap w:val="0"/>
            <w:vAlign w:val="center"/>
          </w:tcPr>
          <w:p w14:paraId="66912054">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16</w:t>
            </w:r>
          </w:p>
        </w:tc>
        <w:tc>
          <w:tcPr>
            <w:tcW w:w="975" w:type="dxa"/>
            <w:shd w:val="clear" w:color="auto" w:fill="auto"/>
            <w:noWrap w:val="0"/>
            <w:vAlign w:val="center"/>
          </w:tcPr>
          <w:p w14:paraId="18CC8BE6">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（六）监管能力提升</w:t>
            </w:r>
          </w:p>
        </w:tc>
        <w:tc>
          <w:tcPr>
            <w:tcW w:w="9586" w:type="dxa"/>
            <w:noWrap w:val="0"/>
            <w:vAlign w:val="center"/>
          </w:tcPr>
          <w:p w14:paraId="664012A2">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1.严格水资源刚性约束。</w:t>
            </w:r>
            <w:r>
              <w:rPr>
                <w:rStyle w:val="5"/>
                <w:rFonts w:hint="default"/>
                <w:snapToGrid w:val="0"/>
                <w:color w:val="auto"/>
                <w:sz w:val="24"/>
                <w:szCs w:val="24"/>
                <w:lang w:bidi="ar"/>
              </w:rPr>
              <w:t>实行最严格的水资源保护利用制度，落实水资源“四定”管控方案、自治区《关于落实水资源“四定”原则深入推进用水权改革的实施意见》和《平罗县“十四五”用水权管控方案》，全面实行总量控制和水资源用途管制。严格地下水管控，加强地下水的保护，开展贺兰山区域地下水取水井专项治理行动，依法关停违规地下水开采井，加快推进平罗县地下水超采区治理销号和公共供水管网内地下水取水井关停。</w:t>
            </w:r>
          </w:p>
        </w:tc>
        <w:tc>
          <w:tcPr>
            <w:tcW w:w="1620" w:type="dxa"/>
            <w:noWrap w:val="0"/>
            <w:vAlign w:val="center"/>
          </w:tcPr>
          <w:p w14:paraId="23AB8D36">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w:t>
            </w:r>
          </w:p>
        </w:tc>
        <w:tc>
          <w:tcPr>
            <w:tcW w:w="1620" w:type="dxa"/>
            <w:noWrap w:val="0"/>
            <w:vAlign w:val="center"/>
          </w:tcPr>
          <w:p w14:paraId="740A3DE2">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节水型社会建设领导小组各成员单位</w:t>
            </w:r>
          </w:p>
        </w:tc>
      </w:tr>
      <w:tr w14:paraId="2D6194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66" w:hRule="atLeast"/>
        </w:trPr>
        <w:tc>
          <w:tcPr>
            <w:tcW w:w="527" w:type="dxa"/>
            <w:shd w:val="clear" w:color="auto" w:fill="auto"/>
            <w:noWrap w:val="0"/>
            <w:vAlign w:val="center"/>
          </w:tcPr>
          <w:p w14:paraId="7860F0C5">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17</w:t>
            </w:r>
          </w:p>
        </w:tc>
        <w:tc>
          <w:tcPr>
            <w:tcW w:w="975" w:type="dxa"/>
            <w:vMerge w:val="restart"/>
            <w:shd w:val="clear" w:color="auto" w:fill="auto"/>
            <w:noWrap w:val="0"/>
            <w:vAlign w:val="center"/>
          </w:tcPr>
          <w:p w14:paraId="141A37EC">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（六）监管能力提升</w:t>
            </w:r>
          </w:p>
        </w:tc>
        <w:tc>
          <w:tcPr>
            <w:tcW w:w="9586" w:type="dxa"/>
            <w:noWrap w:val="0"/>
            <w:vAlign w:val="center"/>
          </w:tcPr>
          <w:p w14:paraId="23C4FDA7">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2.强化用水全过程管理。</w:t>
            </w:r>
            <w:r>
              <w:rPr>
                <w:rStyle w:val="5"/>
                <w:rFonts w:hint="default"/>
                <w:snapToGrid w:val="0"/>
                <w:color w:val="auto"/>
                <w:sz w:val="24"/>
                <w:szCs w:val="24"/>
                <w:lang w:bidi="ar"/>
              </w:rPr>
              <w:t>严格实行计划用水和定额管理，执行自治区用水定额标准，强化用水定额刚性约束作用；建立重点用水单位和特殊行业监控名录并实行重点监控；严格水资源论证和节水评价，严格审批新增取水许可，坚决抑制不合理用水需求，限制高耗水产业发展。新改扩建的取水项目，严格落实节水“三同时”制度。</w:t>
            </w:r>
          </w:p>
        </w:tc>
        <w:tc>
          <w:tcPr>
            <w:tcW w:w="1620" w:type="dxa"/>
            <w:noWrap w:val="0"/>
            <w:vAlign w:val="center"/>
          </w:tcPr>
          <w:p w14:paraId="7F67E5CA">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w:t>
            </w:r>
          </w:p>
        </w:tc>
        <w:tc>
          <w:tcPr>
            <w:tcW w:w="1620" w:type="dxa"/>
            <w:noWrap w:val="0"/>
            <w:vAlign w:val="center"/>
          </w:tcPr>
          <w:p w14:paraId="7496CC3B">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节水型社会建设领导小组各成员单位</w:t>
            </w:r>
          </w:p>
        </w:tc>
      </w:tr>
      <w:tr w14:paraId="5F3A99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27" w:type="dxa"/>
            <w:shd w:val="clear" w:color="auto" w:fill="auto"/>
            <w:noWrap w:val="0"/>
            <w:vAlign w:val="center"/>
          </w:tcPr>
          <w:p w14:paraId="037D4051">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18</w:t>
            </w:r>
          </w:p>
        </w:tc>
        <w:tc>
          <w:tcPr>
            <w:tcW w:w="975" w:type="dxa"/>
            <w:vMerge w:val="continue"/>
            <w:shd w:val="clear" w:color="auto" w:fill="auto"/>
            <w:noWrap w:val="0"/>
            <w:vAlign w:val="center"/>
          </w:tcPr>
          <w:p w14:paraId="3E758BBD">
            <w:pPr>
              <w:widowControl/>
              <w:snapToGrid w:val="0"/>
              <w:jc w:val="center"/>
              <w:textAlignment w:val="center"/>
              <w:rPr>
                <w:rStyle w:val="5"/>
                <w:rFonts w:hint="default"/>
                <w:b/>
                <w:bCs/>
                <w:snapToGrid w:val="0"/>
                <w:color w:val="auto"/>
                <w:sz w:val="24"/>
                <w:szCs w:val="24"/>
                <w:lang w:bidi="ar"/>
              </w:rPr>
            </w:pPr>
          </w:p>
        </w:tc>
        <w:tc>
          <w:tcPr>
            <w:tcW w:w="9586" w:type="dxa"/>
            <w:noWrap w:val="0"/>
            <w:vAlign w:val="center"/>
          </w:tcPr>
          <w:p w14:paraId="7BA7D808">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3.加强用水计量监测。</w:t>
            </w:r>
            <w:r>
              <w:rPr>
                <w:rStyle w:val="5"/>
                <w:rFonts w:hint="default"/>
                <w:snapToGrid w:val="0"/>
                <w:color w:val="auto"/>
                <w:sz w:val="24"/>
                <w:szCs w:val="24"/>
                <w:lang w:bidi="ar"/>
              </w:rPr>
              <w:t>完善用水节水统计制度，建立节水工作台账，建立分区域、分行业用水总量、用水效率、节水成效台账；建立节水统计调查和基层用水统计管理制度，加强对农业、工业、生活、生态环境补水四类用水户涉水信息管理。到2025年大中型灌区干渠直开口取水在线计量率达到95%，工业用水计量率达100%。</w:t>
            </w:r>
          </w:p>
        </w:tc>
        <w:tc>
          <w:tcPr>
            <w:tcW w:w="1620" w:type="dxa"/>
            <w:noWrap w:val="0"/>
            <w:vAlign w:val="center"/>
          </w:tcPr>
          <w:p w14:paraId="5F27ED34">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w:t>
            </w:r>
          </w:p>
        </w:tc>
        <w:tc>
          <w:tcPr>
            <w:tcW w:w="1620" w:type="dxa"/>
            <w:noWrap w:val="0"/>
            <w:vAlign w:val="center"/>
          </w:tcPr>
          <w:p w14:paraId="0B9E95BF">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工信局、农业农村局、住建局</w:t>
            </w:r>
          </w:p>
        </w:tc>
      </w:tr>
      <w:tr w14:paraId="79EEFD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45" w:hRule="atLeast"/>
        </w:trPr>
        <w:tc>
          <w:tcPr>
            <w:tcW w:w="527" w:type="dxa"/>
            <w:shd w:val="clear" w:color="auto" w:fill="auto"/>
            <w:noWrap w:val="0"/>
            <w:vAlign w:val="center"/>
          </w:tcPr>
          <w:p w14:paraId="0439C323">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19</w:t>
            </w:r>
          </w:p>
        </w:tc>
        <w:tc>
          <w:tcPr>
            <w:tcW w:w="975" w:type="dxa"/>
            <w:vMerge w:val="continue"/>
            <w:shd w:val="clear" w:color="auto" w:fill="auto"/>
            <w:noWrap w:val="0"/>
            <w:vAlign w:val="center"/>
          </w:tcPr>
          <w:p w14:paraId="1DA5C290">
            <w:pPr>
              <w:widowControl/>
              <w:snapToGrid w:val="0"/>
              <w:jc w:val="center"/>
              <w:textAlignment w:val="center"/>
              <w:rPr>
                <w:rStyle w:val="5"/>
                <w:rFonts w:hint="default"/>
                <w:b/>
                <w:bCs/>
                <w:snapToGrid w:val="0"/>
                <w:color w:val="auto"/>
                <w:sz w:val="24"/>
                <w:szCs w:val="24"/>
                <w:lang w:bidi="ar"/>
              </w:rPr>
            </w:pPr>
          </w:p>
        </w:tc>
        <w:tc>
          <w:tcPr>
            <w:tcW w:w="9586" w:type="dxa"/>
            <w:noWrap w:val="0"/>
            <w:vAlign w:val="center"/>
          </w:tcPr>
          <w:p w14:paraId="4EC118BC">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4.强化市场监督管理。</w:t>
            </w:r>
            <w:r>
              <w:rPr>
                <w:rStyle w:val="5"/>
                <w:rFonts w:hint="default"/>
                <w:snapToGrid w:val="0"/>
                <w:color w:val="auto"/>
                <w:sz w:val="24"/>
                <w:szCs w:val="24"/>
                <w:lang w:bidi="ar"/>
              </w:rPr>
              <w:t>贯彻落实《水效标识管理办法》，逐步淘汰水效等级低的产品。制定县域水效领跑者引领行动实施方案，全面开展水效领跑者引领行动，发布水效领跑者名单，树立节水先进标杆。强化用水器具水效标识市场监督管理，加大专项检查抽查力度，逐步淘汰水效等级较低产品。促进节水产品认证逐步向绿色产品认证过渡，完善相关认证结果采信机制。到2025年，基本推行节水产品市场准入制度，在工业、农业、公共机构、城市等领域创建一批具有代表性的水效领跑者。</w:t>
            </w:r>
          </w:p>
        </w:tc>
        <w:tc>
          <w:tcPr>
            <w:tcW w:w="1620" w:type="dxa"/>
            <w:noWrap w:val="0"/>
            <w:vAlign w:val="center"/>
          </w:tcPr>
          <w:p w14:paraId="5497CE36">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市场监管局</w:t>
            </w:r>
          </w:p>
        </w:tc>
        <w:tc>
          <w:tcPr>
            <w:tcW w:w="1620" w:type="dxa"/>
            <w:noWrap w:val="0"/>
            <w:vAlign w:val="center"/>
          </w:tcPr>
          <w:p w14:paraId="147F0A02">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工信局、农业农村局、住建局</w:t>
            </w:r>
          </w:p>
        </w:tc>
      </w:tr>
      <w:tr w14:paraId="26F509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34" w:hRule="atLeast"/>
        </w:trPr>
        <w:tc>
          <w:tcPr>
            <w:tcW w:w="527" w:type="dxa"/>
            <w:shd w:val="clear" w:color="auto" w:fill="auto"/>
            <w:noWrap w:val="0"/>
            <w:vAlign w:val="center"/>
          </w:tcPr>
          <w:p w14:paraId="49AF6AD7">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20</w:t>
            </w:r>
          </w:p>
        </w:tc>
        <w:tc>
          <w:tcPr>
            <w:tcW w:w="975" w:type="dxa"/>
            <w:vMerge w:val="restart"/>
            <w:shd w:val="clear" w:color="auto" w:fill="auto"/>
            <w:noWrap w:val="0"/>
            <w:vAlign w:val="center"/>
          </w:tcPr>
          <w:p w14:paraId="78C02BA9">
            <w:pPr>
              <w:widowControl/>
              <w:snapToGrid w:val="0"/>
              <w:jc w:val="center"/>
              <w:textAlignment w:val="center"/>
              <w:rPr>
                <w:rStyle w:val="5"/>
                <w:rFonts w:hint="default"/>
                <w:b/>
                <w:bCs/>
                <w:snapToGrid w:val="0"/>
                <w:color w:val="auto"/>
                <w:sz w:val="24"/>
                <w:szCs w:val="24"/>
                <w:lang w:bidi="ar"/>
              </w:rPr>
            </w:pPr>
            <w:r>
              <w:rPr>
                <w:rStyle w:val="5"/>
                <w:rFonts w:hint="default"/>
                <w:b/>
                <w:bCs/>
                <w:snapToGrid w:val="0"/>
                <w:color w:val="auto"/>
                <w:sz w:val="24"/>
                <w:szCs w:val="24"/>
                <w:lang w:bidi="ar"/>
              </w:rPr>
              <w:t>（七）机制政策完善</w:t>
            </w:r>
          </w:p>
        </w:tc>
        <w:tc>
          <w:tcPr>
            <w:tcW w:w="9586" w:type="dxa"/>
            <w:noWrap w:val="0"/>
            <w:vAlign w:val="center"/>
          </w:tcPr>
          <w:p w14:paraId="10D31885">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1.完善节水评价机制。</w:t>
            </w:r>
            <w:r>
              <w:rPr>
                <w:rStyle w:val="5"/>
                <w:rFonts w:hint="default"/>
                <w:snapToGrid w:val="0"/>
                <w:color w:val="auto"/>
                <w:sz w:val="24"/>
                <w:szCs w:val="24"/>
                <w:lang w:bidi="ar"/>
              </w:rPr>
              <w:t>严格节水评价与取水许可。执行国家和自治区规划和建设项目节水评价技术导则，全面推进规划和建设项目节水评价。建立用水定额评估机制。强化用水定额标准在相关规划编制、节水评价、取水许可审批、计划用水管理、节水载体创建等方面的应用。</w:t>
            </w:r>
          </w:p>
        </w:tc>
        <w:tc>
          <w:tcPr>
            <w:tcW w:w="1620" w:type="dxa"/>
            <w:noWrap w:val="0"/>
            <w:vAlign w:val="center"/>
          </w:tcPr>
          <w:p w14:paraId="6EAE91FD">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w:t>
            </w:r>
          </w:p>
        </w:tc>
        <w:tc>
          <w:tcPr>
            <w:tcW w:w="1620" w:type="dxa"/>
            <w:noWrap w:val="0"/>
            <w:vAlign w:val="center"/>
          </w:tcPr>
          <w:p w14:paraId="169A5CA4">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节水型社会建设领导小组各成员单位</w:t>
            </w:r>
          </w:p>
        </w:tc>
      </w:tr>
      <w:tr w14:paraId="08DA24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527" w:type="dxa"/>
            <w:shd w:val="clear" w:color="auto" w:fill="auto"/>
            <w:noWrap w:val="0"/>
            <w:vAlign w:val="center"/>
          </w:tcPr>
          <w:p w14:paraId="2862921B">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21</w:t>
            </w:r>
          </w:p>
        </w:tc>
        <w:tc>
          <w:tcPr>
            <w:tcW w:w="975" w:type="dxa"/>
            <w:vMerge w:val="continue"/>
            <w:shd w:val="clear" w:color="auto" w:fill="auto"/>
            <w:noWrap w:val="0"/>
            <w:vAlign w:val="center"/>
          </w:tcPr>
          <w:p w14:paraId="78F6ECBF">
            <w:pPr>
              <w:widowControl/>
              <w:snapToGrid w:val="0"/>
              <w:jc w:val="center"/>
              <w:textAlignment w:val="center"/>
              <w:rPr>
                <w:rStyle w:val="5"/>
                <w:rFonts w:hint="default"/>
                <w:snapToGrid w:val="0"/>
                <w:color w:val="auto"/>
                <w:sz w:val="24"/>
                <w:szCs w:val="24"/>
                <w:lang w:bidi="ar"/>
              </w:rPr>
            </w:pPr>
          </w:p>
        </w:tc>
        <w:tc>
          <w:tcPr>
            <w:tcW w:w="9586" w:type="dxa"/>
            <w:noWrap w:val="0"/>
            <w:vAlign w:val="center"/>
          </w:tcPr>
          <w:p w14:paraId="6F24CEAA">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2.健全节水激励支持机制。</w:t>
            </w:r>
            <w:r>
              <w:rPr>
                <w:rStyle w:val="5"/>
                <w:rFonts w:hint="default"/>
                <w:snapToGrid w:val="0"/>
                <w:color w:val="auto"/>
                <w:sz w:val="24"/>
                <w:szCs w:val="24"/>
                <w:lang w:bidi="ar"/>
              </w:rPr>
              <w:t>深化小型农田水利工程管理体制改革，执行国家和自治区灌区标准化实施细则，制定《平罗县节约用水管理办法》和《平罗县非常规水源开发利用管理办法》，建立覆盖各部门、各乡镇、各行业节水的激励政策，促进水源高效集约利用。</w:t>
            </w:r>
          </w:p>
        </w:tc>
        <w:tc>
          <w:tcPr>
            <w:tcW w:w="1620" w:type="dxa"/>
            <w:noWrap w:val="0"/>
            <w:vAlign w:val="center"/>
          </w:tcPr>
          <w:p w14:paraId="50703950">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发改局、财政局、水务局、农业农村局</w:t>
            </w:r>
          </w:p>
        </w:tc>
        <w:tc>
          <w:tcPr>
            <w:tcW w:w="1620" w:type="dxa"/>
            <w:noWrap w:val="0"/>
            <w:vAlign w:val="center"/>
          </w:tcPr>
          <w:p w14:paraId="15F79D63">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节水型社会建设领导小组各成员单位</w:t>
            </w:r>
          </w:p>
        </w:tc>
      </w:tr>
      <w:tr w14:paraId="2CB256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22" w:hRule="atLeast"/>
        </w:trPr>
        <w:tc>
          <w:tcPr>
            <w:tcW w:w="527" w:type="dxa"/>
            <w:shd w:val="clear" w:color="auto" w:fill="auto"/>
            <w:noWrap w:val="0"/>
            <w:vAlign w:val="center"/>
          </w:tcPr>
          <w:p w14:paraId="7D2D5CC0">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22</w:t>
            </w:r>
          </w:p>
        </w:tc>
        <w:tc>
          <w:tcPr>
            <w:tcW w:w="975" w:type="dxa"/>
            <w:vMerge w:val="restart"/>
            <w:shd w:val="clear" w:color="auto" w:fill="auto"/>
            <w:noWrap w:val="0"/>
            <w:vAlign w:val="center"/>
          </w:tcPr>
          <w:p w14:paraId="2A311E3E">
            <w:pPr>
              <w:widowControl/>
              <w:snapToGrid w:val="0"/>
              <w:jc w:val="center"/>
              <w:textAlignment w:val="center"/>
              <w:rPr>
                <w:rStyle w:val="5"/>
                <w:rFonts w:hint="default"/>
                <w:snapToGrid w:val="0"/>
                <w:color w:val="auto"/>
                <w:sz w:val="24"/>
                <w:szCs w:val="24"/>
                <w:lang w:bidi="ar"/>
              </w:rPr>
            </w:pPr>
            <w:r>
              <w:rPr>
                <w:rStyle w:val="5"/>
                <w:rFonts w:hint="default"/>
                <w:b/>
                <w:bCs/>
                <w:snapToGrid w:val="0"/>
                <w:color w:val="auto"/>
                <w:sz w:val="24"/>
                <w:szCs w:val="24"/>
                <w:lang w:bidi="ar"/>
              </w:rPr>
              <w:t>（七）机制政策完善</w:t>
            </w:r>
          </w:p>
        </w:tc>
        <w:tc>
          <w:tcPr>
            <w:tcW w:w="9586" w:type="dxa"/>
            <w:noWrap w:val="0"/>
            <w:vAlign w:val="center"/>
          </w:tcPr>
          <w:p w14:paraId="7BCB76DB">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3.完善节水监督考核制度。</w:t>
            </w:r>
            <w:r>
              <w:rPr>
                <w:rStyle w:val="5"/>
                <w:rFonts w:hint="default"/>
                <w:snapToGrid w:val="0"/>
                <w:color w:val="auto"/>
                <w:sz w:val="24"/>
                <w:szCs w:val="24"/>
                <w:lang w:bidi="ar"/>
              </w:rPr>
              <w:t>逐级完善节水目标责任制，健全节约用水监督考核工作机制；建立节水专项监督检查制度，加强对重点用水户、特殊行业用水户的监督管理与节水效果评估，开展重点地区、重点行业节水专项监督检查；建立用水信用评价制度，开展重点用水户用水信用评级，将用水户违规记录纳入国家及自治区信用信息共享平台；探索建立用水审计制度，对纳入重点监控用水单位名录中的用水户开展用水审计。</w:t>
            </w:r>
          </w:p>
        </w:tc>
        <w:tc>
          <w:tcPr>
            <w:tcW w:w="1620" w:type="dxa"/>
            <w:noWrap w:val="0"/>
            <w:vAlign w:val="center"/>
          </w:tcPr>
          <w:p w14:paraId="1B810650">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w:t>
            </w:r>
          </w:p>
        </w:tc>
        <w:tc>
          <w:tcPr>
            <w:tcW w:w="1620" w:type="dxa"/>
            <w:noWrap w:val="0"/>
            <w:vAlign w:val="center"/>
          </w:tcPr>
          <w:p w14:paraId="2E748725">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节水型社会建设领导小组各成员单位</w:t>
            </w:r>
          </w:p>
        </w:tc>
      </w:tr>
      <w:tr w14:paraId="5812EF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29" w:hRule="atLeast"/>
        </w:trPr>
        <w:tc>
          <w:tcPr>
            <w:tcW w:w="527" w:type="dxa"/>
            <w:shd w:val="clear" w:color="auto" w:fill="auto"/>
            <w:noWrap w:val="0"/>
            <w:vAlign w:val="center"/>
          </w:tcPr>
          <w:p w14:paraId="01C72325">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23</w:t>
            </w:r>
          </w:p>
        </w:tc>
        <w:tc>
          <w:tcPr>
            <w:tcW w:w="975" w:type="dxa"/>
            <w:vMerge w:val="continue"/>
            <w:shd w:val="clear" w:color="auto" w:fill="auto"/>
            <w:noWrap w:val="0"/>
            <w:vAlign w:val="center"/>
          </w:tcPr>
          <w:p w14:paraId="5FB80DDE">
            <w:pPr>
              <w:widowControl/>
              <w:snapToGrid w:val="0"/>
              <w:jc w:val="center"/>
              <w:textAlignment w:val="center"/>
              <w:rPr>
                <w:rStyle w:val="5"/>
                <w:rFonts w:hint="default"/>
                <w:snapToGrid w:val="0"/>
                <w:color w:val="auto"/>
                <w:sz w:val="24"/>
                <w:szCs w:val="24"/>
                <w:lang w:bidi="ar"/>
              </w:rPr>
            </w:pPr>
          </w:p>
        </w:tc>
        <w:tc>
          <w:tcPr>
            <w:tcW w:w="9586" w:type="dxa"/>
            <w:noWrap w:val="0"/>
            <w:vAlign w:val="center"/>
          </w:tcPr>
          <w:p w14:paraId="2380CD55">
            <w:pPr>
              <w:widowControl/>
              <w:snapToGrid w:val="0"/>
              <w:jc w:val="left"/>
              <w:textAlignment w:val="center"/>
              <w:rPr>
                <w:rStyle w:val="5"/>
                <w:rFonts w:hint="default"/>
                <w:snapToGrid w:val="0"/>
                <w:color w:val="auto"/>
                <w:sz w:val="24"/>
                <w:szCs w:val="24"/>
                <w:lang w:bidi="ar"/>
              </w:rPr>
            </w:pPr>
            <w:r>
              <w:rPr>
                <w:rStyle w:val="5"/>
                <w:rFonts w:hint="default"/>
                <w:b/>
                <w:bCs/>
                <w:snapToGrid w:val="0"/>
                <w:color w:val="auto"/>
                <w:sz w:val="24"/>
                <w:szCs w:val="24"/>
                <w:lang w:bidi="ar"/>
              </w:rPr>
              <w:t>4.深化用水权改革。</w:t>
            </w:r>
            <w:r>
              <w:rPr>
                <w:rStyle w:val="5"/>
                <w:rFonts w:hint="default"/>
                <w:snapToGrid w:val="0"/>
                <w:color w:val="auto"/>
                <w:sz w:val="24"/>
                <w:szCs w:val="24"/>
                <w:lang w:bidi="ar"/>
              </w:rPr>
              <w:t>严格落实自治区《关于落实水资源“四定”原则深入推进用水权改革的实施意见》，全面深化用水权改革，建立市场主导、政府调控的节水用水治水兴水体制机制，通过完善市场化用水权交易、深化水资源税改革和创新水权改革等推动平罗县水资源集约节约利用。</w:t>
            </w:r>
          </w:p>
        </w:tc>
        <w:tc>
          <w:tcPr>
            <w:tcW w:w="1620" w:type="dxa"/>
            <w:noWrap w:val="0"/>
            <w:vAlign w:val="center"/>
          </w:tcPr>
          <w:p w14:paraId="0D6D7DF0">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水务局</w:t>
            </w:r>
          </w:p>
        </w:tc>
        <w:tc>
          <w:tcPr>
            <w:tcW w:w="1620" w:type="dxa"/>
            <w:noWrap w:val="0"/>
            <w:vAlign w:val="center"/>
          </w:tcPr>
          <w:p w14:paraId="5F84B849">
            <w:pPr>
              <w:widowControl/>
              <w:snapToGrid w:val="0"/>
              <w:jc w:val="center"/>
              <w:textAlignment w:val="center"/>
              <w:rPr>
                <w:rStyle w:val="5"/>
                <w:rFonts w:hint="default"/>
                <w:snapToGrid w:val="0"/>
                <w:color w:val="auto"/>
                <w:sz w:val="24"/>
                <w:szCs w:val="24"/>
                <w:lang w:bidi="ar"/>
              </w:rPr>
            </w:pPr>
            <w:r>
              <w:rPr>
                <w:rStyle w:val="5"/>
                <w:rFonts w:hint="default"/>
                <w:snapToGrid w:val="0"/>
                <w:color w:val="auto"/>
                <w:sz w:val="24"/>
                <w:szCs w:val="24"/>
                <w:lang w:bidi="ar"/>
              </w:rPr>
              <w:t>工业园区管委会、财政局、各乡镇</w:t>
            </w:r>
          </w:p>
        </w:tc>
      </w:tr>
    </w:tbl>
    <w:p w14:paraId="4D0BFD07">
      <w:pPr>
        <w:rPr>
          <w:rFonts w:hint="eastAsia" w:ascii="宋体" w:hAnsi="宋体" w:cs="宋体"/>
          <w:b/>
          <w:bCs/>
          <w:sz w:val="24"/>
        </w:rPr>
      </w:pPr>
    </w:p>
    <w:p w14:paraId="2A65F89C">
      <w:pPr>
        <w:rPr>
          <w:rFonts w:hint="eastAsia" w:ascii="黑体" w:hAnsi="黑体" w:eastAsia="黑体" w:cs="黑体"/>
          <w:sz w:val="32"/>
          <w:szCs w:val="32"/>
        </w:rPr>
      </w:pPr>
    </w:p>
    <w:p w14:paraId="68C14613">
      <w:pPr>
        <w:rPr>
          <w:rFonts w:hint="eastAsia" w:ascii="黑体" w:hAnsi="黑体" w:eastAsia="黑体" w:cs="黑体"/>
          <w:sz w:val="32"/>
          <w:szCs w:val="32"/>
        </w:rPr>
      </w:pPr>
    </w:p>
    <w:p w14:paraId="5AFEB468">
      <w:pPr>
        <w:rPr>
          <w:rFonts w:hint="eastAsia" w:ascii="黑体" w:hAnsi="黑体" w:eastAsia="黑体" w:cs="黑体"/>
          <w:sz w:val="32"/>
          <w:szCs w:val="32"/>
        </w:rPr>
      </w:pPr>
    </w:p>
    <w:p w14:paraId="34B6C320">
      <w:pPr>
        <w:rPr>
          <w:rFonts w:hint="eastAsia" w:ascii="黑体" w:hAnsi="黑体" w:eastAsia="黑体" w:cs="黑体"/>
          <w:sz w:val="32"/>
          <w:szCs w:val="32"/>
        </w:rPr>
      </w:pPr>
    </w:p>
    <w:p w14:paraId="7180A64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ZTk2NGM0NDRmN2Q0MjZkMjZmMDJiYTcyMTVkZDUifQ=="/>
  </w:docVars>
  <w:rsids>
    <w:rsidRoot w:val="76630876"/>
    <w:rsid w:val="76630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b/>
      <w:bCs/>
      <w:sz w:val="36"/>
    </w:rPr>
  </w:style>
  <w:style w:type="character" w:customStyle="1" w:styleId="5">
    <w:name w:val="font6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2024-08-28T10:02:00Z</dcterms:created>
  <dc:creator>糖果</dc:creator>
  <cp:lastModifiedBy>糖果</cp:lastModifiedBy>
  <dcterms:modified xsi:type="dcterms:W3CDTF">2024-08-28T10:04:04Z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CD6D9EDC58044A07AF2F3F580423BA0B_11</vt:lpwstr>
  </property>
</Properties>
</file>