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jc w:val="center"/>
        <w:rPr>
          <w:rFonts w:ascii="方正小标宋_GBK" w:hAnsi="方正小标宋_GBK" w:eastAsia="方正小标宋_GBK" w:cs="Times New Roman"/>
          <w:sz w:val="36"/>
          <w:szCs w:val="36"/>
        </w:rPr>
      </w:pPr>
      <w:bookmarkStart w:id="0" w:name="_GoBack"/>
      <w:r>
        <w:rPr>
          <w:rFonts w:hint="eastAsia" w:ascii="方正小标宋_GBK" w:hAnsi="方正小标宋_GBK" w:eastAsia="方正小标宋_GBK" w:cs="方正小标宋_GBK"/>
          <w:sz w:val="36"/>
          <w:szCs w:val="36"/>
        </w:rPr>
        <w:t>平罗县法治政府建设提升工程暨法治政府建设“八大行动（</w:t>
      </w:r>
      <w:r>
        <w:rPr>
          <w:rFonts w:ascii="方正小标宋_GBK" w:hAnsi="方正小标宋_GBK" w:eastAsia="方正小标宋_GBK" w:cs="方正小标宋_GBK"/>
          <w:sz w:val="36"/>
          <w:szCs w:val="36"/>
        </w:rPr>
        <w:t>2024</w:t>
      </w:r>
      <w:r>
        <w:rPr>
          <w:rFonts w:hint="eastAsia" w:ascii="方正小标宋_GBK" w:hAnsi="方正小标宋_GBK" w:eastAsia="方正小标宋_GBK" w:cs="方正小标宋_GBK"/>
          <w:sz w:val="36"/>
          <w:szCs w:val="36"/>
        </w:rPr>
        <w:t>年）”工作任务清单</w:t>
      </w:r>
    </w:p>
    <w:bookmarkEnd w:id="0"/>
    <w:tbl>
      <w:tblPr>
        <w:tblStyle w:val="5"/>
        <w:tblpPr w:leftFromText="180" w:rightFromText="180" w:vertAnchor="text" w:horzAnchor="page" w:tblpX="1656" w:tblpY="391"/>
        <w:tblOverlap w:val="never"/>
        <w:tblW w:w="14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533"/>
        <w:gridCol w:w="1627"/>
        <w:gridCol w:w="6660"/>
        <w:gridCol w:w="1385"/>
        <w:gridCol w:w="1495"/>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3528" w:type="dxa"/>
            <w:gridSpan w:val="3"/>
            <w:vAlign w:val="center"/>
          </w:tcPr>
          <w:p>
            <w:pPr>
              <w:spacing w:line="360" w:lineRule="exact"/>
              <w:jc w:val="center"/>
              <w:rPr>
                <w:rFonts w:ascii="黑体" w:hAnsi="黑体" w:eastAsia="黑体" w:cs="Times New Roman"/>
              </w:rPr>
            </w:pPr>
            <w:r>
              <w:rPr>
                <w:rFonts w:hint="eastAsia" w:ascii="黑体" w:hAnsi="黑体" w:eastAsia="黑体" w:cs="黑体"/>
              </w:rPr>
              <w:t>工作任务</w:t>
            </w:r>
          </w:p>
        </w:tc>
        <w:tc>
          <w:tcPr>
            <w:tcW w:w="6660" w:type="dxa"/>
            <w:vAlign w:val="center"/>
          </w:tcPr>
          <w:p>
            <w:pPr>
              <w:spacing w:line="360" w:lineRule="exact"/>
              <w:jc w:val="center"/>
              <w:rPr>
                <w:rFonts w:ascii="黑体" w:hAnsi="黑体" w:eastAsia="黑体" w:cs="Times New Roman"/>
              </w:rPr>
            </w:pPr>
            <w:r>
              <w:rPr>
                <w:rFonts w:hint="eastAsia" w:ascii="黑体" w:hAnsi="黑体" w:eastAsia="黑体" w:cs="黑体"/>
              </w:rPr>
              <w:t>牵头落实措施</w:t>
            </w:r>
          </w:p>
        </w:tc>
        <w:tc>
          <w:tcPr>
            <w:tcW w:w="1385" w:type="dxa"/>
            <w:vAlign w:val="center"/>
          </w:tcPr>
          <w:p>
            <w:pPr>
              <w:spacing w:line="360" w:lineRule="exact"/>
              <w:jc w:val="center"/>
              <w:rPr>
                <w:rFonts w:ascii="黑体" w:hAnsi="黑体" w:eastAsia="黑体" w:cs="Times New Roman"/>
              </w:rPr>
            </w:pPr>
            <w:r>
              <w:rPr>
                <w:rFonts w:hint="eastAsia" w:ascii="黑体" w:hAnsi="黑体" w:eastAsia="黑体" w:cs="黑体"/>
              </w:rPr>
              <w:t>牵头部门</w:t>
            </w:r>
          </w:p>
        </w:tc>
        <w:tc>
          <w:tcPr>
            <w:tcW w:w="1495" w:type="dxa"/>
            <w:vAlign w:val="center"/>
          </w:tcPr>
          <w:p>
            <w:pPr>
              <w:spacing w:line="360" w:lineRule="exact"/>
              <w:jc w:val="center"/>
              <w:rPr>
                <w:rFonts w:ascii="黑体" w:hAnsi="黑体" w:eastAsia="黑体" w:cs="Times New Roman"/>
              </w:rPr>
            </w:pPr>
            <w:r>
              <w:rPr>
                <w:rFonts w:hint="eastAsia" w:ascii="黑体" w:hAnsi="黑体" w:eastAsia="黑体" w:cs="黑体"/>
              </w:rPr>
              <w:t>责任单位</w:t>
            </w:r>
          </w:p>
        </w:tc>
        <w:tc>
          <w:tcPr>
            <w:tcW w:w="1266" w:type="dxa"/>
            <w:vAlign w:val="center"/>
          </w:tcPr>
          <w:p>
            <w:pPr>
              <w:spacing w:line="360" w:lineRule="exact"/>
              <w:jc w:val="center"/>
              <w:rPr>
                <w:rFonts w:ascii="黑体" w:hAnsi="黑体" w:eastAsia="黑体" w:cs="Times New Roman"/>
              </w:rPr>
            </w:pPr>
            <w:r>
              <w:rPr>
                <w:rFonts w:hint="eastAsia" w:ascii="黑体" w:hAnsi="黑体" w:eastAsia="黑体" w:cs="黑体"/>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blHeader/>
        </w:trPr>
        <w:tc>
          <w:tcPr>
            <w:tcW w:w="1368" w:type="dxa"/>
            <w:vMerge w:val="restart"/>
            <w:vAlign w:val="center"/>
          </w:tcPr>
          <w:p>
            <w:pPr>
              <w:spacing w:line="360" w:lineRule="exact"/>
              <w:jc w:val="center"/>
              <w:rPr>
                <w:rFonts w:ascii="仿宋_GB2312" w:hAnsi="仿宋_GB2312" w:eastAsia="仿宋_GB2312" w:cs="Times New Roman"/>
              </w:rPr>
            </w:pPr>
            <w:r>
              <w:rPr>
                <w:rFonts w:hint="eastAsia" w:ascii="黑体" w:hAnsi="黑体" w:eastAsia="黑体" w:cs="黑体"/>
              </w:rPr>
              <w:t>一、全面贯彻习近平法治思想，进一步增强法治政府建设的责任感紧迫感</w:t>
            </w: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1</w:t>
            </w:r>
          </w:p>
        </w:tc>
        <w:tc>
          <w:tcPr>
            <w:tcW w:w="1627" w:type="dxa"/>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深学细悟笃行习近平法治思想。</w:t>
            </w:r>
          </w:p>
        </w:tc>
        <w:tc>
          <w:tcPr>
            <w:tcW w:w="6660" w:type="dxa"/>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坚持把学习贯彻习近平法治思想作为重要政治任务，完整准确全面把握科学体系、核心要义和精神实质，并贯彻到法治政府建设的全过程各环节。</w:t>
            </w:r>
          </w:p>
        </w:tc>
        <w:tc>
          <w:tcPr>
            <w:tcW w:w="1385" w:type="dxa"/>
            <w:vMerge w:val="restart"/>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县政府办公室、司法局</w:t>
            </w:r>
          </w:p>
        </w:tc>
        <w:tc>
          <w:tcPr>
            <w:tcW w:w="1495" w:type="dxa"/>
            <w:vMerge w:val="restart"/>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各乡镇、政府各部门</w:t>
            </w:r>
          </w:p>
        </w:tc>
        <w:tc>
          <w:tcPr>
            <w:tcW w:w="1266" w:type="dxa"/>
            <w:vMerge w:val="restart"/>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blHeader/>
        </w:trPr>
        <w:tc>
          <w:tcPr>
            <w:tcW w:w="1368" w:type="dxa"/>
            <w:vMerge w:val="continue"/>
            <w:vAlign w:val="center"/>
          </w:tcPr>
          <w:p>
            <w:pPr>
              <w:spacing w:line="360" w:lineRule="exact"/>
              <w:jc w:val="center"/>
              <w:rPr>
                <w:rFonts w:ascii="仿宋_GB2312" w:hAnsi="仿宋_GB2312" w:eastAsia="仿宋_GB2312" w:cs="Times New Roman"/>
              </w:rPr>
            </w:pP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2</w:t>
            </w:r>
          </w:p>
        </w:tc>
        <w:tc>
          <w:tcPr>
            <w:tcW w:w="1627" w:type="dxa"/>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深刻把握法治政府建设新形势新任务。</w:t>
            </w:r>
          </w:p>
        </w:tc>
        <w:tc>
          <w:tcPr>
            <w:tcW w:w="6660" w:type="dxa"/>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充分认识新时代法治政府建设的重大意义，抓好新修订的国务院组织法和地方各级人民政府组织法的贯彻落实，确保行政权力在法治框架内运行，努力开创我县法治政府建设新局面。</w:t>
            </w:r>
          </w:p>
        </w:tc>
        <w:tc>
          <w:tcPr>
            <w:tcW w:w="1385" w:type="dxa"/>
            <w:vMerge w:val="continue"/>
            <w:vAlign w:val="center"/>
          </w:tcPr>
          <w:p>
            <w:pPr>
              <w:spacing w:line="360" w:lineRule="exact"/>
              <w:jc w:val="left"/>
              <w:rPr>
                <w:rFonts w:ascii="仿宋_GB2312" w:hAnsi="仿宋_GB2312" w:eastAsia="仿宋_GB2312" w:cs="Times New Roman"/>
              </w:rPr>
            </w:pPr>
          </w:p>
        </w:tc>
        <w:tc>
          <w:tcPr>
            <w:tcW w:w="1495" w:type="dxa"/>
            <w:vMerge w:val="continue"/>
            <w:vAlign w:val="center"/>
          </w:tcPr>
          <w:p>
            <w:pPr>
              <w:spacing w:line="360" w:lineRule="exact"/>
              <w:jc w:val="center"/>
              <w:rPr>
                <w:rFonts w:ascii="仿宋_GB2312" w:hAnsi="仿宋_GB2312" w:eastAsia="仿宋_GB2312" w:cs="Times New Roman"/>
              </w:rPr>
            </w:pPr>
          </w:p>
        </w:tc>
        <w:tc>
          <w:tcPr>
            <w:tcW w:w="1266" w:type="dxa"/>
            <w:vMerge w:val="continue"/>
            <w:vAlign w:val="center"/>
          </w:tcPr>
          <w:p>
            <w:pPr>
              <w:spacing w:line="360" w:lineRule="exact"/>
              <w:jc w:val="center"/>
              <w:rPr>
                <w:rFonts w:ascii="仿宋_GB2312" w:hAns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blHeader/>
        </w:trPr>
        <w:tc>
          <w:tcPr>
            <w:tcW w:w="1368" w:type="dxa"/>
            <w:vMerge w:val="continue"/>
            <w:vAlign w:val="center"/>
          </w:tcPr>
          <w:p>
            <w:pPr>
              <w:spacing w:line="360" w:lineRule="exact"/>
              <w:jc w:val="center"/>
              <w:rPr>
                <w:rFonts w:ascii="仿宋_GB2312" w:hAnsi="仿宋_GB2312" w:eastAsia="仿宋_GB2312" w:cs="Times New Roman"/>
              </w:rPr>
            </w:pP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3</w:t>
            </w:r>
          </w:p>
        </w:tc>
        <w:tc>
          <w:tcPr>
            <w:tcW w:w="1627" w:type="dxa"/>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全面落实法治政府建设总体部署。</w:t>
            </w:r>
          </w:p>
        </w:tc>
        <w:tc>
          <w:tcPr>
            <w:tcW w:w="6660"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准确把握“</w:t>
            </w:r>
            <w:r>
              <w:rPr>
                <w:rFonts w:ascii="仿宋_GB2312" w:hAnsi="仿宋_GB2312" w:eastAsia="仿宋_GB2312" w:cs="仿宋_GB2312"/>
              </w:rPr>
              <w:t>5</w:t>
            </w:r>
            <w:r>
              <w:rPr>
                <w:rFonts w:hint="eastAsia" w:ascii="仿宋_GB2312" w:hAnsi="仿宋_GB2312" w:eastAsia="仿宋_GB2312" w:cs="仿宋_GB2312"/>
              </w:rPr>
              <w:t>个主要原则”，按照“</w:t>
            </w:r>
            <w:r>
              <w:rPr>
                <w:rFonts w:ascii="仿宋_GB2312" w:hAnsi="仿宋_GB2312" w:eastAsia="仿宋_GB2312" w:cs="仿宋_GB2312"/>
              </w:rPr>
              <w:t>3</w:t>
            </w:r>
            <w:r>
              <w:rPr>
                <w:rFonts w:hint="eastAsia" w:ascii="仿宋_GB2312" w:hAnsi="仿宋_GB2312" w:eastAsia="仿宋_GB2312" w:cs="仿宋_GB2312"/>
              </w:rPr>
              <w:t>个阶段”稳步推进，围绕短板类、提升类、巩固类“</w:t>
            </w:r>
            <w:r>
              <w:rPr>
                <w:rFonts w:ascii="仿宋_GB2312" w:hAnsi="仿宋_GB2312" w:eastAsia="仿宋_GB2312" w:cs="仿宋_GB2312"/>
              </w:rPr>
              <w:t>3</w:t>
            </w:r>
            <w:r>
              <w:rPr>
                <w:rFonts w:hint="eastAsia" w:ascii="仿宋_GB2312" w:hAnsi="仿宋_GB2312" w:eastAsia="仿宋_GB2312" w:cs="仿宋_GB2312"/>
              </w:rPr>
              <w:t>类”指标全面评估、找准定位、精准发力，扬优势、补短板、提质效、创经验，有效提升法治政府建设水平。</w:t>
            </w:r>
          </w:p>
        </w:tc>
        <w:tc>
          <w:tcPr>
            <w:tcW w:w="1385" w:type="dxa"/>
            <w:vMerge w:val="continue"/>
            <w:vAlign w:val="center"/>
          </w:tcPr>
          <w:p>
            <w:pPr>
              <w:spacing w:line="360" w:lineRule="exact"/>
              <w:jc w:val="left"/>
              <w:rPr>
                <w:rFonts w:ascii="仿宋_GB2312" w:hAnsi="仿宋_GB2312" w:eastAsia="仿宋_GB2312" w:cs="Times New Roman"/>
              </w:rPr>
            </w:pPr>
          </w:p>
        </w:tc>
        <w:tc>
          <w:tcPr>
            <w:tcW w:w="1495" w:type="dxa"/>
            <w:vMerge w:val="continue"/>
            <w:vAlign w:val="center"/>
          </w:tcPr>
          <w:p>
            <w:pPr>
              <w:spacing w:line="360" w:lineRule="exact"/>
              <w:jc w:val="center"/>
              <w:rPr>
                <w:rFonts w:ascii="仿宋_GB2312" w:hAnsi="仿宋_GB2312" w:eastAsia="仿宋_GB2312" w:cs="Times New Roman"/>
              </w:rPr>
            </w:pPr>
          </w:p>
        </w:tc>
        <w:tc>
          <w:tcPr>
            <w:tcW w:w="1266" w:type="dxa"/>
            <w:vMerge w:val="continue"/>
            <w:vAlign w:val="center"/>
          </w:tcPr>
          <w:p>
            <w:pPr>
              <w:spacing w:line="360" w:lineRule="exact"/>
              <w:jc w:val="center"/>
              <w:rPr>
                <w:rFonts w:ascii="仿宋_GB2312" w:hAns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1368" w:type="dxa"/>
            <w:vMerge w:val="restart"/>
            <w:vAlign w:val="center"/>
          </w:tcPr>
          <w:p>
            <w:pPr>
              <w:spacing w:line="300" w:lineRule="exact"/>
              <w:jc w:val="center"/>
              <w:rPr>
                <w:rFonts w:ascii="仿宋_GB2312" w:hAnsi="仿宋_GB2312" w:eastAsia="仿宋_GB2312" w:cs="Times New Roman"/>
              </w:rPr>
            </w:pPr>
            <w:r>
              <w:rPr>
                <w:rFonts w:hint="eastAsia" w:ascii="黑体" w:hAnsi="黑体" w:eastAsia="黑体" w:cs="黑体"/>
              </w:rPr>
              <w:t>二、坚持高质量高标准，进一步增强法治政府建设的系统性示范性</w:t>
            </w:r>
          </w:p>
        </w:tc>
        <w:tc>
          <w:tcPr>
            <w:tcW w:w="12966" w:type="dxa"/>
            <w:gridSpan w:val="6"/>
            <w:vAlign w:val="center"/>
          </w:tcPr>
          <w:p>
            <w:pPr>
              <w:spacing w:line="360" w:lineRule="exact"/>
              <w:jc w:val="center"/>
              <w:rPr>
                <w:rFonts w:ascii="楷体_GB2312" w:hAnsi="楷体" w:eastAsia="楷体_GB2312" w:cs="Times New Roman"/>
                <w:b/>
                <w:bCs/>
                <w:sz w:val="24"/>
                <w:szCs w:val="24"/>
              </w:rPr>
            </w:pPr>
            <w:r>
              <w:rPr>
                <w:rFonts w:hint="eastAsia" w:ascii="楷体_GB2312" w:hAnsi="楷体" w:eastAsia="楷体_GB2312" w:cs="楷体_GB2312"/>
                <w:b/>
                <w:bCs/>
                <w:sz w:val="24"/>
                <w:szCs w:val="24"/>
              </w:rPr>
              <w:t>（一）持续深化法治政府建设示范创建行动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blHeader/>
        </w:trPr>
        <w:tc>
          <w:tcPr>
            <w:tcW w:w="1368" w:type="dxa"/>
            <w:vMerge w:val="continue"/>
            <w:vAlign w:val="center"/>
          </w:tcPr>
          <w:p>
            <w:pPr>
              <w:spacing w:line="320" w:lineRule="exact"/>
              <w:jc w:val="center"/>
              <w:rPr>
                <w:rFonts w:ascii="仿宋_GB2312" w:hAnsi="仿宋_GB2312" w:eastAsia="仿宋_GB2312" w:cs="Times New Roman"/>
              </w:rPr>
            </w:pP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4</w:t>
            </w:r>
          </w:p>
        </w:tc>
        <w:tc>
          <w:tcPr>
            <w:tcW w:w="1627"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持续推动法治政府建设。</w:t>
            </w:r>
          </w:p>
        </w:tc>
        <w:tc>
          <w:tcPr>
            <w:tcW w:w="6660"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扎实推进依法行政，推动法治政府建设取得积极成效，助力</w:t>
            </w:r>
            <w:r>
              <w:rPr>
                <w:rFonts w:ascii="仿宋_GB2312" w:hAnsi="仿宋_GB2312" w:eastAsia="仿宋_GB2312" w:cs="仿宋_GB2312"/>
              </w:rPr>
              <w:t>2024</w:t>
            </w:r>
            <w:r>
              <w:rPr>
                <w:rFonts w:hint="eastAsia" w:ascii="仿宋_GB2312" w:hAnsi="仿宋_GB2312" w:eastAsia="仿宋_GB2312" w:cs="仿宋_GB2312"/>
              </w:rPr>
              <w:t>年石嘴山市成功创建全国法治政府建设示范地区。</w:t>
            </w:r>
          </w:p>
        </w:tc>
        <w:tc>
          <w:tcPr>
            <w:tcW w:w="1385" w:type="dxa"/>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县政府办公室、司法局</w:t>
            </w:r>
          </w:p>
        </w:tc>
        <w:tc>
          <w:tcPr>
            <w:tcW w:w="1495"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各乡镇、政府各部门</w:t>
            </w:r>
          </w:p>
        </w:tc>
        <w:tc>
          <w:tcPr>
            <w:tcW w:w="1266"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blHeader/>
        </w:trPr>
        <w:tc>
          <w:tcPr>
            <w:tcW w:w="1368" w:type="dxa"/>
            <w:vMerge w:val="continue"/>
            <w:vAlign w:val="center"/>
          </w:tcPr>
          <w:p>
            <w:pPr>
              <w:spacing w:line="360" w:lineRule="exact"/>
              <w:jc w:val="center"/>
              <w:rPr>
                <w:rFonts w:ascii="仿宋_GB2312" w:hAnsi="仿宋_GB2312" w:eastAsia="仿宋_GB2312" w:cs="Times New Roman"/>
              </w:rPr>
            </w:pP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5</w:t>
            </w:r>
          </w:p>
        </w:tc>
        <w:tc>
          <w:tcPr>
            <w:tcW w:w="1627" w:type="dxa"/>
            <w:vAlign w:val="center"/>
          </w:tcPr>
          <w:p>
            <w:pPr>
              <w:spacing w:line="360" w:lineRule="exact"/>
              <w:rPr>
                <w:rFonts w:ascii="仿宋_GB2312" w:hAnsi="仿宋_GB2312" w:eastAsia="仿宋_GB2312" w:cs="Times New Roman"/>
                <w:color w:val="FF0000"/>
              </w:rPr>
            </w:pPr>
            <w:r>
              <w:rPr>
                <w:rFonts w:hint="eastAsia" w:ascii="仿宋_GB2312" w:hAnsi="仿宋_GB2312" w:eastAsia="仿宋_GB2312" w:cs="仿宋_GB2312"/>
              </w:rPr>
              <w:t>法治政府建设活力充分激发。</w:t>
            </w:r>
          </w:p>
        </w:tc>
        <w:tc>
          <w:tcPr>
            <w:tcW w:w="6660" w:type="dxa"/>
            <w:vAlign w:val="center"/>
          </w:tcPr>
          <w:p>
            <w:pPr>
              <w:spacing w:line="360" w:lineRule="exact"/>
              <w:rPr>
                <w:rFonts w:ascii="仿宋_GB2312" w:hAnsi="仿宋_GB2312" w:eastAsia="仿宋_GB2312" w:cs="Times New Roman"/>
                <w:color w:val="FF0000"/>
              </w:rPr>
            </w:pPr>
            <w:r>
              <w:rPr>
                <w:rFonts w:hint="eastAsia" w:ascii="仿宋_GB2312" w:hAnsi="仿宋_GB2312" w:eastAsia="仿宋_GB2312" w:cs="仿宋_GB2312"/>
              </w:rPr>
              <w:t>着力培育一批法治政府建设示范项目，到</w:t>
            </w:r>
            <w:r>
              <w:rPr>
                <w:rFonts w:ascii="仿宋_GB2312" w:hAnsi="仿宋_GB2312" w:eastAsia="仿宋_GB2312" w:cs="仿宋_GB2312"/>
              </w:rPr>
              <w:t>2025</w:t>
            </w:r>
            <w:r>
              <w:rPr>
                <w:rFonts w:hint="eastAsia" w:ascii="仿宋_GB2312" w:hAnsi="仿宋_GB2312" w:eastAsia="仿宋_GB2312" w:cs="仿宋_GB2312"/>
              </w:rPr>
              <w:t>年至少</w:t>
            </w:r>
            <w:r>
              <w:rPr>
                <w:rFonts w:ascii="仿宋_GB2312" w:hAnsi="仿宋_GB2312" w:eastAsia="仿宋_GB2312" w:cs="仿宋_GB2312"/>
              </w:rPr>
              <w:t>1</w:t>
            </w:r>
            <w:r>
              <w:rPr>
                <w:rFonts w:hint="eastAsia" w:ascii="仿宋_GB2312" w:hAnsi="仿宋_GB2312" w:eastAsia="仿宋_GB2312" w:cs="仿宋_GB2312"/>
              </w:rPr>
              <w:t>个项目获得全区法治政府建设示范项目命名，带动全县法治政府建设水平全面提升。</w:t>
            </w:r>
          </w:p>
        </w:tc>
        <w:tc>
          <w:tcPr>
            <w:tcW w:w="1385" w:type="dxa"/>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县政府办、司法局</w:t>
            </w:r>
          </w:p>
        </w:tc>
        <w:tc>
          <w:tcPr>
            <w:tcW w:w="1495"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各乡镇、政府各部门</w:t>
            </w:r>
          </w:p>
        </w:tc>
        <w:tc>
          <w:tcPr>
            <w:tcW w:w="1266"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blHeader/>
        </w:trPr>
        <w:tc>
          <w:tcPr>
            <w:tcW w:w="1368" w:type="dxa"/>
            <w:vMerge w:val="restart"/>
            <w:vAlign w:val="center"/>
          </w:tcPr>
          <w:p>
            <w:pPr>
              <w:spacing w:line="360" w:lineRule="exact"/>
              <w:jc w:val="center"/>
              <w:rPr>
                <w:rFonts w:ascii="仿宋_GB2312" w:hAnsi="仿宋_GB2312" w:eastAsia="仿宋_GB2312" w:cs="Times New Roman"/>
              </w:rPr>
            </w:pPr>
            <w:r>
              <w:rPr>
                <w:rFonts w:hint="eastAsia" w:ascii="黑体" w:hAnsi="黑体" w:eastAsia="黑体" w:cs="黑体"/>
              </w:rPr>
              <w:t>二、坚持高质量高标准，进一步增强法治政府建设的系统性示范性</w:t>
            </w:r>
          </w:p>
        </w:tc>
        <w:tc>
          <w:tcPr>
            <w:tcW w:w="12966" w:type="dxa"/>
            <w:gridSpan w:val="6"/>
            <w:vAlign w:val="center"/>
          </w:tcPr>
          <w:p>
            <w:pPr>
              <w:spacing w:line="360" w:lineRule="exact"/>
              <w:jc w:val="center"/>
              <w:rPr>
                <w:rFonts w:ascii="楷体_GB2312" w:hAnsi="楷体" w:eastAsia="楷体_GB2312" w:cs="Times New Roman"/>
                <w:b/>
                <w:bCs/>
                <w:sz w:val="24"/>
                <w:szCs w:val="24"/>
              </w:rPr>
            </w:pPr>
            <w:r>
              <w:rPr>
                <w:rFonts w:hint="eastAsia" w:ascii="楷体_GB2312" w:hAnsi="楷体" w:eastAsia="楷体_GB2312" w:cs="楷体_GB2312"/>
                <w:b/>
                <w:bCs/>
                <w:sz w:val="24"/>
                <w:szCs w:val="24"/>
              </w:rPr>
              <w:t>（二）提升政府立法质效行动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blHeader/>
        </w:trPr>
        <w:tc>
          <w:tcPr>
            <w:tcW w:w="1368" w:type="dxa"/>
            <w:vMerge w:val="continue"/>
            <w:vAlign w:val="center"/>
          </w:tcPr>
          <w:p>
            <w:pPr>
              <w:spacing w:line="360" w:lineRule="exact"/>
              <w:jc w:val="center"/>
              <w:rPr>
                <w:rFonts w:ascii="仿宋_GB2312" w:hAnsi="仿宋_GB2312" w:eastAsia="仿宋_GB2312" w:cs="Times New Roman"/>
              </w:rPr>
            </w:pP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6</w:t>
            </w:r>
          </w:p>
        </w:tc>
        <w:tc>
          <w:tcPr>
            <w:tcW w:w="1627"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加强规范性文件后评估工作。</w:t>
            </w:r>
          </w:p>
        </w:tc>
        <w:tc>
          <w:tcPr>
            <w:tcW w:w="6660" w:type="dxa"/>
            <w:vAlign w:val="center"/>
          </w:tcPr>
          <w:p>
            <w:pPr>
              <w:spacing w:line="360" w:lineRule="exact"/>
              <w:rPr>
                <w:rFonts w:ascii="仿宋_GB2312" w:hAnsi="仿宋_GB2312" w:eastAsia="仿宋_GB2312" w:cs="Times New Roman"/>
              </w:rPr>
            </w:pPr>
            <w:r>
              <w:rPr>
                <w:rFonts w:ascii="仿宋_GB2312" w:hAnsi="仿宋_GB2312" w:eastAsia="仿宋_GB2312" w:cs="仿宋_GB2312"/>
              </w:rPr>
              <w:t>2024</w:t>
            </w:r>
            <w:r>
              <w:rPr>
                <w:rFonts w:hint="eastAsia" w:ascii="仿宋_GB2312" w:hAnsi="仿宋_GB2312" w:eastAsia="仿宋_GB2312" w:cs="仿宋_GB2312"/>
              </w:rPr>
              <w:t>年年内，至少对</w:t>
            </w:r>
            <w:r>
              <w:rPr>
                <w:rFonts w:ascii="仿宋_GB2312" w:hAnsi="仿宋_GB2312" w:eastAsia="仿宋_GB2312" w:cs="仿宋_GB2312"/>
              </w:rPr>
              <w:t>1</w:t>
            </w:r>
            <w:r>
              <w:rPr>
                <w:rFonts w:hint="eastAsia" w:ascii="仿宋_GB2312" w:hAnsi="仿宋_GB2312" w:eastAsia="仿宋_GB2312" w:cs="仿宋_GB2312"/>
              </w:rPr>
              <w:t>件行政规范性文件开展后评估。加强与人大衔接联动，拓宽群众参与立法渠道。</w:t>
            </w:r>
          </w:p>
        </w:tc>
        <w:tc>
          <w:tcPr>
            <w:tcW w:w="1385" w:type="dxa"/>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县司法局</w:t>
            </w:r>
          </w:p>
        </w:tc>
        <w:tc>
          <w:tcPr>
            <w:tcW w:w="1495"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县政府相关部门</w:t>
            </w:r>
          </w:p>
        </w:tc>
        <w:tc>
          <w:tcPr>
            <w:tcW w:w="1266" w:type="dxa"/>
            <w:vAlign w:val="center"/>
          </w:tcPr>
          <w:p>
            <w:pPr>
              <w:spacing w:line="360" w:lineRule="exact"/>
              <w:jc w:val="center"/>
              <w:rPr>
                <w:rFonts w:ascii="仿宋_GB2312" w:hAnsi="仿宋_GB2312" w:eastAsia="仿宋_GB2312" w:cs="Times New Roman"/>
              </w:rPr>
            </w:pPr>
            <w:r>
              <w:rPr>
                <w:rFonts w:ascii="仿宋_GB2312" w:hAnsi="仿宋_GB2312" w:eastAsia="仿宋_GB2312" w:cs="仿宋_GB2312"/>
              </w:rPr>
              <w:t>2024</w:t>
            </w:r>
            <w:r>
              <w:rPr>
                <w:rFonts w:hint="eastAsia" w:ascii="仿宋_GB2312" w:hAnsi="仿宋_GB2312" w:eastAsia="仿宋_GB2312" w:cs="仿宋_GB2312"/>
              </w:rPr>
              <w:t>年</w:t>
            </w:r>
            <w:r>
              <w:rPr>
                <w:rFonts w:ascii="仿宋_GB2312" w:hAnsi="仿宋_GB2312" w:eastAsia="仿宋_GB2312" w:cs="仿宋_GB2312"/>
              </w:rPr>
              <w:t>12</w:t>
            </w:r>
            <w:r>
              <w:rPr>
                <w:rFonts w:hint="eastAsia" w:ascii="仿宋_GB2312" w:hAnsi="仿宋_GB2312" w:eastAsia="仿宋_GB2312" w:cs="仿宋_GB2312"/>
              </w:rPr>
              <w:t>月前完成并长期坚持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1368" w:type="dxa"/>
            <w:vMerge w:val="continue"/>
            <w:vAlign w:val="center"/>
          </w:tcPr>
          <w:p>
            <w:pPr>
              <w:spacing w:line="360" w:lineRule="exact"/>
              <w:jc w:val="center"/>
              <w:rPr>
                <w:rFonts w:ascii="仿宋_GB2312" w:hAnsi="仿宋_GB2312" w:eastAsia="仿宋_GB2312" w:cs="Times New Roman"/>
              </w:rPr>
            </w:pPr>
          </w:p>
        </w:tc>
        <w:tc>
          <w:tcPr>
            <w:tcW w:w="12966" w:type="dxa"/>
            <w:gridSpan w:val="6"/>
            <w:vAlign w:val="center"/>
          </w:tcPr>
          <w:p>
            <w:pPr>
              <w:spacing w:line="360" w:lineRule="exact"/>
              <w:jc w:val="center"/>
              <w:rPr>
                <w:rFonts w:ascii="楷体_GB2312" w:hAnsi="楷体" w:eastAsia="楷体_GB2312" w:cs="Times New Roman"/>
                <w:b/>
                <w:bCs/>
                <w:sz w:val="24"/>
                <w:szCs w:val="24"/>
              </w:rPr>
            </w:pPr>
            <w:r>
              <w:rPr>
                <w:rFonts w:hint="eastAsia" w:ascii="楷体_GB2312" w:hAnsi="楷体" w:eastAsia="楷体_GB2312" w:cs="楷体_GB2312"/>
                <w:b/>
                <w:bCs/>
                <w:sz w:val="24"/>
                <w:szCs w:val="24"/>
              </w:rPr>
              <w:t>（三）优化法治化营商环境行动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blHeader/>
        </w:trPr>
        <w:tc>
          <w:tcPr>
            <w:tcW w:w="1368" w:type="dxa"/>
            <w:vMerge w:val="continue"/>
            <w:vAlign w:val="center"/>
          </w:tcPr>
          <w:p>
            <w:pPr>
              <w:spacing w:line="360" w:lineRule="exact"/>
              <w:jc w:val="center"/>
              <w:rPr>
                <w:rFonts w:ascii="仿宋_GB2312" w:hAnsi="仿宋_GB2312" w:eastAsia="仿宋_GB2312" w:cs="Times New Roman"/>
              </w:rPr>
            </w:pP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7</w:t>
            </w:r>
          </w:p>
        </w:tc>
        <w:tc>
          <w:tcPr>
            <w:tcW w:w="1627"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推动营商环境整体提升。</w:t>
            </w:r>
          </w:p>
        </w:tc>
        <w:tc>
          <w:tcPr>
            <w:tcW w:w="6660"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落实民营经济促进法，实施民营经济高质量发展三年行动计划，持续打造良好营商环境。强化公平竞争审查，加强涉企法律服务，及时清理废除妨碍统一市场和公平竞争的规定和做法，重点清理涉及不平等对待企业的法规政策，依法平等保护各类经营主体。</w:t>
            </w:r>
          </w:p>
        </w:tc>
        <w:tc>
          <w:tcPr>
            <w:tcW w:w="1385" w:type="dxa"/>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县发改局、审批局、市场监管局、司法局</w:t>
            </w:r>
          </w:p>
        </w:tc>
        <w:tc>
          <w:tcPr>
            <w:tcW w:w="1495"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各乡镇、政府各部门</w:t>
            </w:r>
          </w:p>
        </w:tc>
        <w:tc>
          <w:tcPr>
            <w:tcW w:w="1266"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blHeader/>
        </w:trPr>
        <w:tc>
          <w:tcPr>
            <w:tcW w:w="1368" w:type="dxa"/>
            <w:vMerge w:val="continue"/>
            <w:vAlign w:val="center"/>
          </w:tcPr>
          <w:p>
            <w:pPr>
              <w:spacing w:line="360" w:lineRule="exact"/>
              <w:jc w:val="center"/>
              <w:rPr>
                <w:rFonts w:ascii="仿宋_GB2312" w:hAnsi="仿宋_GB2312" w:eastAsia="仿宋_GB2312" w:cs="Times New Roman"/>
              </w:rPr>
            </w:pP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8</w:t>
            </w:r>
          </w:p>
        </w:tc>
        <w:tc>
          <w:tcPr>
            <w:tcW w:w="1627"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提升政务服务效能。</w:t>
            </w:r>
          </w:p>
        </w:tc>
        <w:tc>
          <w:tcPr>
            <w:tcW w:w="6660"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政务服务事项纳入同级政务服务平台办理率达</w:t>
            </w:r>
            <w:r>
              <w:rPr>
                <w:rFonts w:ascii="仿宋_GB2312" w:hAnsi="仿宋_GB2312" w:eastAsia="仿宋_GB2312" w:cs="仿宋_GB2312"/>
              </w:rPr>
              <w:t>100%</w:t>
            </w:r>
            <w:r>
              <w:rPr>
                <w:rFonts w:hint="eastAsia" w:ascii="仿宋_GB2312" w:hAnsi="仿宋_GB2312" w:eastAsia="仿宋_GB2312" w:cs="仿宋_GB2312"/>
              </w:rPr>
              <w:t>，全面推行“高效办成一件事”，推进线下办事“只进一门”、线上办事“一网通办”、企业和群众诉求“一线应答”。推进多部门、跨领域、跨层级业务流程再造和系统重构，确保行政审批改革措施全面落实。行政许可事项清单公布率、经营主体投诉举报处理回应率、“跨省通办”事项可办率达到</w:t>
            </w:r>
            <w:r>
              <w:rPr>
                <w:rFonts w:ascii="仿宋_GB2312" w:hAnsi="仿宋_GB2312" w:eastAsia="仿宋_GB2312" w:cs="仿宋_GB2312"/>
              </w:rPr>
              <w:t>100%</w:t>
            </w:r>
            <w:r>
              <w:rPr>
                <w:rFonts w:hint="eastAsia" w:ascii="仿宋_GB2312" w:hAnsi="仿宋_GB2312" w:eastAsia="仿宋_GB2312" w:cs="仿宋_GB2312"/>
              </w:rPr>
              <w:t>。不断优化“</w:t>
            </w:r>
            <w:r>
              <w:rPr>
                <w:rFonts w:ascii="仿宋_GB2312" w:hAnsi="仿宋_GB2312" w:eastAsia="仿宋_GB2312" w:cs="仿宋_GB2312"/>
              </w:rPr>
              <w:t>12345</w:t>
            </w:r>
            <w:r>
              <w:rPr>
                <w:rFonts w:hint="eastAsia" w:ascii="仿宋_GB2312" w:hAnsi="仿宋_GB2312" w:eastAsia="仿宋_GB2312" w:cs="仿宋_GB2312"/>
              </w:rPr>
              <w:t>”政务服务便民热线功能，加强“</w:t>
            </w:r>
            <w:r>
              <w:rPr>
                <w:rFonts w:ascii="仿宋_GB2312" w:hAnsi="仿宋_GB2312" w:eastAsia="仿宋_GB2312" w:cs="仿宋_GB2312"/>
              </w:rPr>
              <w:t>12345</w:t>
            </w:r>
            <w:r>
              <w:rPr>
                <w:rFonts w:hint="eastAsia" w:ascii="仿宋_GB2312" w:hAnsi="仿宋_GB2312" w:eastAsia="仿宋_GB2312" w:cs="仿宋_GB2312"/>
              </w:rPr>
              <w:t>”热线与</w:t>
            </w:r>
            <w:r>
              <w:rPr>
                <w:rFonts w:ascii="仿宋_GB2312" w:hAnsi="仿宋_GB2312" w:eastAsia="仿宋_GB2312" w:cs="仿宋_GB2312"/>
              </w:rPr>
              <w:t>110</w:t>
            </w:r>
            <w:r>
              <w:rPr>
                <w:rFonts w:hint="eastAsia" w:ascii="仿宋_GB2312" w:hAnsi="仿宋_GB2312" w:eastAsia="仿宋_GB2312" w:cs="仿宋_GB2312"/>
              </w:rPr>
              <w:t>报警服务台高效对接联动。依托自治区一体化政务服务平台，全力推进县、乡、村政务服务体系建设，推进政务服务全流程提速。深化“好差评”结果应用，实名差评回访整改率达到</w:t>
            </w:r>
            <w:r>
              <w:rPr>
                <w:rFonts w:ascii="仿宋_GB2312" w:hAnsi="仿宋_GB2312" w:eastAsia="仿宋_GB2312" w:cs="仿宋_GB2312"/>
              </w:rPr>
              <w:t>100%</w:t>
            </w:r>
            <w:r>
              <w:rPr>
                <w:rFonts w:hint="eastAsia" w:ascii="仿宋_GB2312" w:hAnsi="仿宋_GB2312" w:eastAsia="仿宋_GB2312" w:cs="仿宋_GB2312"/>
              </w:rPr>
              <w:t>。</w:t>
            </w:r>
          </w:p>
        </w:tc>
        <w:tc>
          <w:tcPr>
            <w:tcW w:w="1385" w:type="dxa"/>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县政府办、审批局、司法局</w:t>
            </w:r>
          </w:p>
        </w:tc>
        <w:tc>
          <w:tcPr>
            <w:tcW w:w="1495"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各乡镇、政府各部门</w:t>
            </w:r>
          </w:p>
        </w:tc>
        <w:tc>
          <w:tcPr>
            <w:tcW w:w="1266"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blHeader/>
        </w:trPr>
        <w:tc>
          <w:tcPr>
            <w:tcW w:w="1368" w:type="dxa"/>
            <w:vMerge w:val="continue"/>
            <w:vAlign w:val="center"/>
          </w:tcPr>
          <w:p>
            <w:pPr>
              <w:spacing w:line="360" w:lineRule="exact"/>
              <w:jc w:val="center"/>
              <w:rPr>
                <w:rFonts w:ascii="仿宋_GB2312" w:hAnsi="仿宋_GB2312" w:eastAsia="仿宋_GB2312" w:cs="Times New Roman"/>
              </w:rPr>
            </w:pP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9</w:t>
            </w:r>
          </w:p>
        </w:tc>
        <w:tc>
          <w:tcPr>
            <w:tcW w:w="1627"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落实清单管理制度。</w:t>
            </w:r>
          </w:p>
        </w:tc>
        <w:tc>
          <w:tcPr>
            <w:tcW w:w="6660"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严格执行市场准入负面清单，行政许可事项清单公布率达到</w:t>
            </w:r>
            <w:r>
              <w:rPr>
                <w:rFonts w:ascii="仿宋_GB2312" w:hAnsi="仿宋_GB2312" w:eastAsia="仿宋_GB2312" w:cs="仿宋_GB2312"/>
              </w:rPr>
              <w:t>100%</w:t>
            </w:r>
            <w:r>
              <w:rPr>
                <w:rFonts w:hint="eastAsia" w:ascii="仿宋_GB2312" w:hAnsi="仿宋_GB2312" w:eastAsia="仿宋_GB2312" w:cs="仿宋_GB2312"/>
              </w:rPr>
              <w:t>，坚决杜绝以备案、登记、行政确认、征求意见等方式变相设置和实施行政许可。完成对权责清单、高频政务服务事项清单、行政审批中介服务事项清单、证明事项清单、告知承诺制清单的动态调整，并向社会公布。</w:t>
            </w:r>
          </w:p>
        </w:tc>
        <w:tc>
          <w:tcPr>
            <w:tcW w:w="1385" w:type="dxa"/>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县委编办、县发改局、审批局、司法局</w:t>
            </w:r>
          </w:p>
        </w:tc>
        <w:tc>
          <w:tcPr>
            <w:tcW w:w="1495"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县政府各相关部门、各乡镇</w:t>
            </w:r>
          </w:p>
        </w:tc>
        <w:tc>
          <w:tcPr>
            <w:tcW w:w="1266" w:type="dxa"/>
            <w:vAlign w:val="center"/>
          </w:tcPr>
          <w:p>
            <w:pPr>
              <w:spacing w:line="360" w:lineRule="exact"/>
              <w:jc w:val="center"/>
              <w:rPr>
                <w:rFonts w:ascii="仿宋_GB2312" w:hAnsi="仿宋_GB2312" w:eastAsia="仿宋_GB2312" w:cs="Times New Roman"/>
              </w:rPr>
            </w:pPr>
            <w:r>
              <w:rPr>
                <w:rFonts w:ascii="仿宋_GB2312" w:hAnsi="仿宋_GB2312" w:eastAsia="仿宋_GB2312" w:cs="仿宋_GB2312"/>
              </w:rPr>
              <w:t>2024</w:t>
            </w:r>
            <w:r>
              <w:rPr>
                <w:rFonts w:hint="eastAsia" w:ascii="仿宋_GB2312" w:hAnsi="仿宋_GB2312" w:eastAsia="仿宋_GB2312" w:cs="仿宋_GB2312"/>
              </w:rPr>
              <w:t>年</w:t>
            </w:r>
            <w:r>
              <w:rPr>
                <w:rFonts w:ascii="仿宋_GB2312" w:hAnsi="仿宋_GB2312" w:eastAsia="仿宋_GB2312" w:cs="仿宋_GB2312"/>
              </w:rPr>
              <w:t>10</w:t>
            </w:r>
            <w:r>
              <w:rPr>
                <w:rFonts w:hint="eastAsia" w:ascii="仿宋_GB2312" w:hAnsi="仿宋_GB2312" w:eastAsia="仿宋_GB2312" w:cs="仿宋_GB2312"/>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blHeader/>
        </w:trPr>
        <w:tc>
          <w:tcPr>
            <w:tcW w:w="1368" w:type="dxa"/>
            <w:vMerge w:val="restart"/>
            <w:vAlign w:val="center"/>
          </w:tcPr>
          <w:p>
            <w:pPr>
              <w:spacing w:line="360" w:lineRule="exact"/>
              <w:rPr>
                <w:rFonts w:ascii="仿宋_GB2312" w:hAnsi="仿宋_GB2312" w:eastAsia="仿宋_GB2312" w:cs="Times New Roman"/>
              </w:rPr>
            </w:pPr>
            <w:r>
              <w:rPr>
                <w:rFonts w:hint="eastAsia" w:ascii="黑体" w:hAnsi="黑体" w:eastAsia="黑体" w:cs="黑体"/>
              </w:rPr>
              <w:t>二、坚持高质量高标准，进一步增强法治政府建设的系统性示范性</w:t>
            </w: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10</w:t>
            </w:r>
          </w:p>
        </w:tc>
        <w:tc>
          <w:tcPr>
            <w:tcW w:w="1627"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实施精准有效监管。</w:t>
            </w:r>
          </w:p>
        </w:tc>
        <w:tc>
          <w:tcPr>
            <w:tcW w:w="6660" w:type="dxa"/>
            <w:vAlign w:val="center"/>
          </w:tcPr>
          <w:p>
            <w:pPr>
              <w:spacing w:line="300" w:lineRule="exact"/>
              <w:rPr>
                <w:rFonts w:ascii="仿宋_GB2312" w:hAnsi="仿宋_GB2312" w:eastAsia="仿宋_GB2312" w:cs="Times New Roman"/>
              </w:rPr>
            </w:pPr>
            <w:r>
              <w:rPr>
                <w:rFonts w:hint="eastAsia" w:ascii="仿宋_GB2312" w:hAnsi="仿宋_GB2312" w:eastAsia="仿宋_GB2312" w:cs="仿宋_GB2312"/>
              </w:rPr>
              <w:t>按照“谁主管、谁牵头、谁发起”和“应联尽联”的原则</w:t>
            </w:r>
            <w:r>
              <w:rPr>
                <w:rFonts w:ascii="仿宋_GB2312" w:hAnsi="仿宋_GB2312" w:eastAsia="仿宋_GB2312" w:cs="仿宋_GB2312"/>
              </w:rPr>
              <w:t>,</w:t>
            </w:r>
            <w:r>
              <w:rPr>
                <w:rFonts w:hint="eastAsia" w:ascii="仿宋_GB2312" w:hAnsi="仿宋_GB2312" w:eastAsia="仿宋_GB2312" w:cs="仿宋_GB2312"/>
              </w:rPr>
              <w:t>强化“双随机、一公开”监管，制定监管计划并严格执行，抽查工作计划制定、执行率达到</w:t>
            </w:r>
            <w:r>
              <w:rPr>
                <w:rFonts w:ascii="仿宋_GB2312" w:hAnsi="仿宋_GB2312" w:eastAsia="仿宋_GB2312" w:cs="仿宋_GB2312"/>
              </w:rPr>
              <w:t>100%</w:t>
            </w:r>
            <w:r>
              <w:rPr>
                <w:rFonts w:hint="eastAsia" w:ascii="仿宋_GB2312" w:hAnsi="仿宋_GB2312" w:eastAsia="仿宋_GB2312" w:cs="仿宋_GB2312"/>
              </w:rPr>
              <w:t>，抽查检查结果</w:t>
            </w:r>
            <w:r>
              <w:rPr>
                <w:rFonts w:ascii="仿宋_GB2312" w:hAnsi="仿宋_GB2312" w:eastAsia="仿宋_GB2312" w:cs="仿宋_GB2312"/>
              </w:rPr>
              <w:t>100%</w:t>
            </w:r>
            <w:r>
              <w:rPr>
                <w:rFonts w:hint="eastAsia" w:ascii="仿宋_GB2312" w:hAnsi="仿宋_GB2312" w:eastAsia="仿宋_GB2312" w:cs="仿宋_GB2312"/>
              </w:rPr>
              <w:t>公示。建立健全信用分级分类监管机制，切实形成对诚信守法者“无事不扰”，对违法失信者“无处不在”的监管态势。对直接涉及公共安全和人民群众生命健康等特殊行业、重点领域，依法依规实行全覆盖重点监管。完善涉企行政执法违法行为投诉举报处理机制，依法保护企业合法权益。</w:t>
            </w:r>
          </w:p>
        </w:tc>
        <w:tc>
          <w:tcPr>
            <w:tcW w:w="1385" w:type="dxa"/>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县发改局、市场监管局、司法局</w:t>
            </w:r>
          </w:p>
        </w:tc>
        <w:tc>
          <w:tcPr>
            <w:tcW w:w="1495"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县政府各相关部门、各乡镇</w:t>
            </w:r>
          </w:p>
        </w:tc>
        <w:tc>
          <w:tcPr>
            <w:tcW w:w="1266"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blHeader/>
        </w:trPr>
        <w:tc>
          <w:tcPr>
            <w:tcW w:w="1368" w:type="dxa"/>
            <w:vMerge w:val="continue"/>
            <w:vAlign w:val="center"/>
          </w:tcPr>
          <w:p>
            <w:pPr>
              <w:spacing w:line="360" w:lineRule="exact"/>
              <w:jc w:val="center"/>
              <w:rPr>
                <w:rFonts w:ascii="仿宋_GB2312" w:hAnsi="仿宋_GB2312" w:eastAsia="仿宋_GB2312" w:cs="Times New Roman"/>
              </w:rPr>
            </w:pP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11</w:t>
            </w:r>
          </w:p>
        </w:tc>
        <w:tc>
          <w:tcPr>
            <w:tcW w:w="1627"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推进政务诚信建设。</w:t>
            </w:r>
          </w:p>
        </w:tc>
        <w:tc>
          <w:tcPr>
            <w:tcW w:w="6660" w:type="dxa"/>
            <w:vAlign w:val="center"/>
          </w:tcPr>
          <w:p>
            <w:pPr>
              <w:spacing w:line="300" w:lineRule="exact"/>
              <w:rPr>
                <w:rFonts w:ascii="仿宋_GB2312" w:hAnsi="仿宋_GB2312" w:eastAsia="仿宋_GB2312" w:cs="Times New Roman"/>
              </w:rPr>
            </w:pPr>
            <w:r>
              <w:rPr>
                <w:rFonts w:hint="eastAsia" w:ascii="仿宋_GB2312" w:hAnsi="仿宋_GB2312" w:eastAsia="仿宋_GB2312" w:cs="仿宋_GB2312"/>
              </w:rPr>
              <w:t>健全政务守信践诺机制，完善防范化解拖欠企业账款长效机制，健全清理拖欠账款“一单四制”工作机制，按照属地管理原则，落实拖欠主体清偿责任，积极推进拖欠账款清理工作。健全政务失信记录机制，将行政机关及其工作人员在履职过程中，因违法违规、失信违约被司法判决、行政处罚、问责处理等信息纳入政务失信记录。各级政府及部门常态化到法院旁听庭审，全面履行人民法院生效裁判，切实维护法治权威，大力支持检察院开展行政诉讼监督和行政公益诉讼。</w:t>
            </w:r>
          </w:p>
        </w:tc>
        <w:tc>
          <w:tcPr>
            <w:tcW w:w="1385" w:type="dxa"/>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县政府办公室、发改局、工信局、财政局</w:t>
            </w:r>
          </w:p>
        </w:tc>
        <w:tc>
          <w:tcPr>
            <w:tcW w:w="1495"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县政府各相关部门、各乡镇</w:t>
            </w:r>
          </w:p>
        </w:tc>
        <w:tc>
          <w:tcPr>
            <w:tcW w:w="1266"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blHeader/>
        </w:trPr>
        <w:tc>
          <w:tcPr>
            <w:tcW w:w="1368" w:type="dxa"/>
            <w:vMerge w:val="continue"/>
            <w:vAlign w:val="center"/>
          </w:tcPr>
          <w:p>
            <w:pPr>
              <w:spacing w:line="360" w:lineRule="exact"/>
              <w:jc w:val="center"/>
              <w:rPr>
                <w:rFonts w:ascii="仿宋_GB2312" w:hAnsi="仿宋_GB2312" w:eastAsia="仿宋_GB2312" w:cs="Times New Roman"/>
              </w:rPr>
            </w:pP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12</w:t>
            </w:r>
          </w:p>
        </w:tc>
        <w:tc>
          <w:tcPr>
            <w:tcW w:w="1627"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依法处置重大突发事件。</w:t>
            </w:r>
          </w:p>
        </w:tc>
        <w:tc>
          <w:tcPr>
            <w:tcW w:w="6660" w:type="dxa"/>
            <w:vAlign w:val="center"/>
          </w:tcPr>
          <w:p>
            <w:pPr>
              <w:spacing w:line="300" w:lineRule="exact"/>
              <w:rPr>
                <w:rFonts w:ascii="仿宋_GB2312" w:hAnsi="仿宋_GB2312" w:eastAsia="仿宋_GB2312" w:cs="Times New Roman"/>
              </w:rPr>
            </w:pPr>
            <w:r>
              <w:rPr>
                <w:rFonts w:hint="eastAsia" w:ascii="仿宋_GB2312" w:hAnsi="仿宋_GB2312" w:eastAsia="仿宋_GB2312" w:cs="仿宋_GB2312"/>
              </w:rPr>
              <w:t>对容易引发自然灾害、事故灾难和公共卫生事件的危险源、危险区域进行调查、登记、风险评估，定期进行检查、监控，并按照国家规定向社会公布。在突发事件处置中充分考虑特殊群体的权益保障和需求，充分研判妇女、未成年人、残疾人、老年人等群体的需要，提供线上线下相结合的应急救援和保障服务。</w:t>
            </w:r>
          </w:p>
        </w:tc>
        <w:tc>
          <w:tcPr>
            <w:tcW w:w="1385" w:type="dxa"/>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县应急管理</w:t>
            </w:r>
          </w:p>
          <w:p>
            <w:pPr>
              <w:spacing w:line="360" w:lineRule="exact"/>
              <w:jc w:val="left"/>
              <w:rPr>
                <w:rFonts w:ascii="仿宋_GB2312" w:hAnsi="仿宋_GB2312" w:eastAsia="仿宋_GB2312" w:cs="Times New Roman"/>
              </w:rPr>
            </w:pPr>
            <w:r>
              <w:rPr>
                <w:rFonts w:hint="eastAsia" w:ascii="仿宋_GB2312" w:hAnsi="仿宋_GB2312" w:eastAsia="仿宋_GB2312" w:cs="仿宋_GB2312"/>
              </w:rPr>
              <w:t>局、自然资源局、卫生健康局、公安局</w:t>
            </w:r>
          </w:p>
        </w:tc>
        <w:tc>
          <w:tcPr>
            <w:tcW w:w="1495"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各乡镇、政府各部门</w:t>
            </w:r>
          </w:p>
        </w:tc>
        <w:tc>
          <w:tcPr>
            <w:tcW w:w="1266"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tblHeader/>
        </w:trPr>
        <w:tc>
          <w:tcPr>
            <w:tcW w:w="1368" w:type="dxa"/>
            <w:vMerge w:val="continue"/>
            <w:vAlign w:val="center"/>
          </w:tcPr>
          <w:p>
            <w:pPr>
              <w:spacing w:line="360" w:lineRule="exact"/>
              <w:jc w:val="center"/>
              <w:rPr>
                <w:rFonts w:ascii="仿宋_GB2312" w:hAnsi="仿宋_GB2312" w:eastAsia="仿宋_GB2312" w:cs="Times New Roman"/>
              </w:rPr>
            </w:pP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13</w:t>
            </w:r>
          </w:p>
        </w:tc>
        <w:tc>
          <w:tcPr>
            <w:tcW w:w="1627"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加强阳光政府建设。</w:t>
            </w:r>
          </w:p>
        </w:tc>
        <w:tc>
          <w:tcPr>
            <w:tcW w:w="6660" w:type="dxa"/>
            <w:vAlign w:val="center"/>
          </w:tcPr>
          <w:p>
            <w:pPr>
              <w:spacing w:line="300" w:lineRule="exact"/>
              <w:rPr>
                <w:rFonts w:ascii="仿宋_GB2312" w:hAnsi="仿宋_GB2312" w:eastAsia="仿宋_GB2312" w:cs="Times New Roman"/>
              </w:rPr>
            </w:pPr>
            <w:r>
              <w:rPr>
                <w:rFonts w:hint="eastAsia" w:ascii="仿宋_GB2312" w:hAnsi="仿宋_GB2312" w:eastAsia="仿宋_GB2312" w:cs="仿宋_GB2312"/>
              </w:rPr>
              <w:t>主动接受各方监督，坚决整改中央、自治区、市委巡视、督察、考核、县委巡察反馈的问题，依法接受人大监督，自觉接受政协民主监督，人大代表建议和政协提案高质量办复率、司法建议和检察建议按期办复率均达到</w:t>
            </w:r>
            <w:r>
              <w:rPr>
                <w:rFonts w:ascii="仿宋_GB2312" w:hAnsi="仿宋_GB2312" w:eastAsia="仿宋_GB2312" w:cs="仿宋_GB2312"/>
              </w:rPr>
              <w:t>100%</w:t>
            </w:r>
            <w:r>
              <w:rPr>
                <w:rFonts w:hint="eastAsia" w:ascii="仿宋_GB2312" w:hAnsi="仿宋_GB2312" w:eastAsia="仿宋_GB2312" w:cs="仿宋_GB2312"/>
              </w:rPr>
              <w:t>。贯彻落实《中华人民共和国政府信息公开条例》，全面推进政务公开，坚持公开为常态、不公开为例外，推进决策、执行、管理、服务和结果“五公开”，政务公开率（应公开）、依申请公开信息答复率达到</w:t>
            </w:r>
            <w:r>
              <w:rPr>
                <w:rFonts w:ascii="仿宋_GB2312" w:hAnsi="仿宋_GB2312" w:eastAsia="仿宋_GB2312" w:cs="仿宋_GB2312"/>
              </w:rPr>
              <w:t>100%</w:t>
            </w:r>
            <w:r>
              <w:rPr>
                <w:rFonts w:hint="eastAsia" w:ascii="仿宋_GB2312" w:hAnsi="仿宋_GB2312" w:eastAsia="仿宋_GB2312" w:cs="仿宋_GB2312"/>
              </w:rPr>
              <w:t>。扎实做好重点领域信息公开，规范依申请公开办理工作，降低因信息公开引起的行政诉讼案件败诉率。</w:t>
            </w:r>
          </w:p>
        </w:tc>
        <w:tc>
          <w:tcPr>
            <w:tcW w:w="1385" w:type="dxa"/>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县政府办公室</w:t>
            </w:r>
          </w:p>
        </w:tc>
        <w:tc>
          <w:tcPr>
            <w:tcW w:w="1495"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各乡镇、政府各部门</w:t>
            </w:r>
          </w:p>
        </w:tc>
        <w:tc>
          <w:tcPr>
            <w:tcW w:w="1266"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trPr>
        <w:tc>
          <w:tcPr>
            <w:tcW w:w="1368" w:type="dxa"/>
            <w:vMerge w:val="restart"/>
            <w:vAlign w:val="center"/>
          </w:tcPr>
          <w:p>
            <w:pPr>
              <w:spacing w:line="360" w:lineRule="exact"/>
              <w:jc w:val="center"/>
              <w:rPr>
                <w:rFonts w:ascii="仿宋_GB2312" w:hAnsi="仿宋_GB2312" w:eastAsia="仿宋_GB2312" w:cs="Times New Roman"/>
              </w:rPr>
            </w:pPr>
            <w:r>
              <w:rPr>
                <w:rFonts w:hint="eastAsia" w:ascii="黑体" w:hAnsi="黑体" w:eastAsia="黑体" w:cs="黑体"/>
              </w:rPr>
              <w:t>二、坚持高质量高标准，进一步增强法治政府建设的系统性示范性</w:t>
            </w:r>
          </w:p>
        </w:tc>
        <w:tc>
          <w:tcPr>
            <w:tcW w:w="12966" w:type="dxa"/>
            <w:gridSpan w:val="6"/>
            <w:vAlign w:val="center"/>
          </w:tcPr>
          <w:p>
            <w:pPr>
              <w:spacing w:line="360" w:lineRule="exact"/>
              <w:jc w:val="center"/>
              <w:rPr>
                <w:rFonts w:ascii="楷体_GB2312" w:hAnsi="楷体" w:eastAsia="楷体_GB2312" w:cs="Times New Roman"/>
                <w:b/>
                <w:bCs/>
                <w:sz w:val="24"/>
                <w:szCs w:val="24"/>
              </w:rPr>
            </w:pPr>
            <w:r>
              <w:rPr>
                <w:rFonts w:hint="eastAsia" w:ascii="楷体_GB2312" w:hAnsi="楷体" w:eastAsia="楷体_GB2312" w:cs="楷体_GB2312"/>
                <w:b/>
                <w:bCs/>
                <w:sz w:val="24"/>
                <w:szCs w:val="24"/>
              </w:rPr>
              <w:t>（四）强化合法性审查行动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blHeader/>
        </w:trPr>
        <w:tc>
          <w:tcPr>
            <w:tcW w:w="1368" w:type="dxa"/>
            <w:vMerge w:val="continue"/>
            <w:vAlign w:val="center"/>
          </w:tcPr>
          <w:p>
            <w:pPr>
              <w:spacing w:line="360" w:lineRule="exact"/>
              <w:jc w:val="center"/>
              <w:rPr>
                <w:rFonts w:ascii="仿宋_GB2312" w:hAnsi="仿宋_GB2312" w:eastAsia="仿宋_GB2312" w:cs="Times New Roman"/>
              </w:rPr>
            </w:pP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14</w:t>
            </w:r>
          </w:p>
        </w:tc>
        <w:tc>
          <w:tcPr>
            <w:tcW w:w="1627"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提升合法性审查质量。</w:t>
            </w:r>
          </w:p>
        </w:tc>
        <w:tc>
          <w:tcPr>
            <w:tcW w:w="6660" w:type="dxa"/>
            <w:vAlign w:val="center"/>
          </w:tcPr>
          <w:p>
            <w:pPr>
              <w:spacing w:line="320" w:lineRule="exact"/>
              <w:rPr>
                <w:rFonts w:ascii="仿宋_GB2312" w:hAnsi="仿宋_GB2312" w:eastAsia="仿宋_GB2312" w:cs="Times New Roman"/>
              </w:rPr>
            </w:pPr>
            <w:r>
              <w:rPr>
                <w:rFonts w:hint="eastAsia" w:ascii="仿宋_GB2312" w:hAnsi="仿宋_GB2312" w:eastAsia="仿宋_GB2312" w:cs="仿宋_GB2312"/>
              </w:rPr>
              <w:t>完善合法性审查工作制度，合法性审查事项清单编制率达</w:t>
            </w:r>
            <w:r>
              <w:rPr>
                <w:rFonts w:ascii="仿宋_GB2312" w:hAnsi="仿宋_GB2312" w:eastAsia="仿宋_GB2312" w:cs="仿宋_GB2312"/>
              </w:rPr>
              <w:t>100%</w:t>
            </w:r>
            <w:r>
              <w:rPr>
                <w:rFonts w:hint="eastAsia" w:ascii="仿宋_GB2312" w:hAnsi="仿宋_GB2312" w:eastAsia="仿宋_GB2312" w:cs="仿宋_GB2312"/>
              </w:rPr>
              <w:t>，加大合法性审查力度，不得以征求意见等方式代替合法性审查，重大行政决策和行政规范性文件合法性审查（核）率达到</w:t>
            </w:r>
            <w:r>
              <w:rPr>
                <w:rFonts w:ascii="仿宋_GB2312" w:hAnsi="仿宋_GB2312" w:eastAsia="仿宋_GB2312" w:cs="仿宋_GB2312"/>
              </w:rPr>
              <w:t>100%</w:t>
            </w:r>
            <w:r>
              <w:rPr>
                <w:rFonts w:hint="eastAsia" w:ascii="仿宋_GB2312" w:hAnsi="仿宋_GB2312" w:eastAsia="仿宋_GB2312" w:cs="仿宋_GB2312"/>
              </w:rPr>
              <w:t>。明确合法性审查范围，规范审查行为，强化审查责任，未经合法性审查或者经审查不合法的重大行政决策、行政规范性文件，不得提交集体审议。</w:t>
            </w:r>
          </w:p>
        </w:tc>
        <w:tc>
          <w:tcPr>
            <w:tcW w:w="1385" w:type="dxa"/>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县政府办公室、司法局</w:t>
            </w:r>
          </w:p>
        </w:tc>
        <w:tc>
          <w:tcPr>
            <w:tcW w:w="1495"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各乡镇、政府各部门</w:t>
            </w:r>
          </w:p>
        </w:tc>
        <w:tc>
          <w:tcPr>
            <w:tcW w:w="1266"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blHeader/>
        </w:trPr>
        <w:tc>
          <w:tcPr>
            <w:tcW w:w="1368" w:type="dxa"/>
            <w:vMerge w:val="continue"/>
            <w:vAlign w:val="center"/>
          </w:tcPr>
          <w:p>
            <w:pPr>
              <w:spacing w:line="360" w:lineRule="exact"/>
              <w:jc w:val="center"/>
              <w:rPr>
                <w:rFonts w:ascii="仿宋_GB2312" w:hAnsi="仿宋_GB2312" w:eastAsia="仿宋_GB2312" w:cs="Times New Roman"/>
              </w:rPr>
            </w:pP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15</w:t>
            </w:r>
          </w:p>
        </w:tc>
        <w:tc>
          <w:tcPr>
            <w:tcW w:w="1627"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加强合法性审查工作。</w:t>
            </w:r>
          </w:p>
        </w:tc>
        <w:tc>
          <w:tcPr>
            <w:tcW w:w="6660" w:type="dxa"/>
            <w:vAlign w:val="center"/>
          </w:tcPr>
          <w:p>
            <w:pPr>
              <w:spacing w:line="320" w:lineRule="exact"/>
              <w:rPr>
                <w:rFonts w:ascii="仿宋_GB2312" w:hAnsi="仿宋_GB2312" w:eastAsia="仿宋_GB2312" w:cs="Times New Roman"/>
              </w:rPr>
            </w:pPr>
            <w:r>
              <w:rPr>
                <w:rFonts w:hint="eastAsia" w:ascii="仿宋_GB2312" w:hAnsi="仿宋_GB2312" w:eastAsia="仿宋_GB2312" w:cs="仿宋_GB2312"/>
              </w:rPr>
              <w:t>对本级政府制发的各类文件，准确作出行政规范性文件认定。建立合法性审查年度报告制度，在法治政府建设年度报告中，专章报告备案审查和合法性审查工作开展情况。</w:t>
            </w:r>
          </w:p>
        </w:tc>
        <w:tc>
          <w:tcPr>
            <w:tcW w:w="1385" w:type="dxa"/>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县司法局</w:t>
            </w:r>
          </w:p>
        </w:tc>
        <w:tc>
          <w:tcPr>
            <w:tcW w:w="1495"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政府各部门</w:t>
            </w:r>
          </w:p>
        </w:tc>
        <w:tc>
          <w:tcPr>
            <w:tcW w:w="1266"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blHeader/>
        </w:trPr>
        <w:tc>
          <w:tcPr>
            <w:tcW w:w="1368" w:type="dxa"/>
            <w:vMerge w:val="continue"/>
            <w:vAlign w:val="center"/>
          </w:tcPr>
          <w:p>
            <w:pPr>
              <w:spacing w:line="360" w:lineRule="exact"/>
              <w:jc w:val="center"/>
              <w:rPr>
                <w:rFonts w:ascii="仿宋_GB2312" w:hAnsi="仿宋_GB2312" w:eastAsia="仿宋_GB2312" w:cs="Times New Roman"/>
              </w:rPr>
            </w:pP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16</w:t>
            </w:r>
          </w:p>
        </w:tc>
        <w:tc>
          <w:tcPr>
            <w:tcW w:w="1627"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提高备案审查工作水平。</w:t>
            </w:r>
          </w:p>
        </w:tc>
        <w:tc>
          <w:tcPr>
            <w:tcW w:w="6660" w:type="dxa"/>
            <w:vAlign w:val="center"/>
          </w:tcPr>
          <w:p>
            <w:pPr>
              <w:spacing w:line="320" w:lineRule="exact"/>
              <w:rPr>
                <w:rFonts w:ascii="仿宋_GB2312" w:hAnsi="仿宋_GB2312" w:eastAsia="仿宋_GB2312" w:cs="Times New Roman"/>
              </w:rPr>
            </w:pPr>
            <w:r>
              <w:rPr>
                <w:rFonts w:hint="eastAsia" w:ascii="仿宋_GB2312" w:hAnsi="仿宋_GB2312" w:eastAsia="仿宋_GB2312" w:cs="仿宋_GB2312"/>
              </w:rPr>
              <w:t>强化行政规范性文件等备案审查，加强备案管理及智能审查系统应用，加大问题纠错和督促整改力度，确保行政规范性文件报备率、及时率、规范率均达到</w:t>
            </w:r>
            <w:r>
              <w:rPr>
                <w:rFonts w:ascii="仿宋_GB2312" w:hAnsi="仿宋_GB2312" w:eastAsia="仿宋_GB2312" w:cs="仿宋_GB2312"/>
              </w:rPr>
              <w:t>100%</w:t>
            </w:r>
            <w:r>
              <w:rPr>
                <w:rFonts w:hint="eastAsia" w:ascii="仿宋_GB2312" w:hAnsi="仿宋_GB2312" w:eastAsia="仿宋_GB2312" w:cs="仿宋_GB2312"/>
              </w:rPr>
              <w:t>。</w:t>
            </w:r>
          </w:p>
        </w:tc>
        <w:tc>
          <w:tcPr>
            <w:tcW w:w="1385" w:type="dxa"/>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县司法局</w:t>
            </w:r>
          </w:p>
        </w:tc>
        <w:tc>
          <w:tcPr>
            <w:tcW w:w="1495" w:type="dxa"/>
            <w:vAlign w:val="center"/>
          </w:tcPr>
          <w:p>
            <w:pPr>
              <w:spacing w:line="260" w:lineRule="exact"/>
              <w:jc w:val="center"/>
              <w:rPr>
                <w:rFonts w:ascii="仿宋_GB2312" w:hAnsi="仿宋_GB2312" w:eastAsia="仿宋_GB2312" w:cs="Times New Roman"/>
                <w:spacing w:val="-8"/>
              </w:rPr>
            </w:pPr>
            <w:r>
              <w:rPr>
                <w:rFonts w:hint="eastAsia" w:ascii="仿宋_GB2312" w:hAnsi="仿宋_GB2312" w:eastAsia="仿宋_GB2312" w:cs="仿宋_GB2312"/>
                <w:spacing w:val="-8"/>
              </w:rPr>
              <w:t>县政府办公室、政府各部门，各乡镇政府</w:t>
            </w:r>
          </w:p>
        </w:tc>
        <w:tc>
          <w:tcPr>
            <w:tcW w:w="1266"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tblHeader/>
        </w:trPr>
        <w:tc>
          <w:tcPr>
            <w:tcW w:w="1368" w:type="dxa"/>
            <w:vMerge w:val="continue"/>
            <w:vAlign w:val="center"/>
          </w:tcPr>
          <w:p>
            <w:pPr>
              <w:spacing w:line="360" w:lineRule="exact"/>
              <w:jc w:val="center"/>
              <w:rPr>
                <w:rFonts w:ascii="仿宋_GB2312" w:hAnsi="仿宋_GB2312" w:eastAsia="仿宋_GB2312" w:cs="Times New Roman"/>
              </w:rPr>
            </w:pP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17</w:t>
            </w:r>
          </w:p>
        </w:tc>
        <w:tc>
          <w:tcPr>
            <w:tcW w:w="1627"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健全依法决策机制，提升重大行政决策质量。</w:t>
            </w:r>
          </w:p>
        </w:tc>
        <w:tc>
          <w:tcPr>
            <w:tcW w:w="6660" w:type="dxa"/>
            <w:vAlign w:val="center"/>
          </w:tcPr>
          <w:p>
            <w:pPr>
              <w:pStyle w:val="4"/>
              <w:widowControl/>
              <w:spacing w:line="320" w:lineRule="exact"/>
              <w:jc w:val="both"/>
              <w:rPr>
                <w:rFonts w:ascii="仿宋_GB2312" w:hAnsi="仿宋_GB2312" w:eastAsia="仿宋_GB2312" w:cs="Times New Roman"/>
                <w:sz w:val="21"/>
                <w:szCs w:val="21"/>
              </w:rPr>
            </w:pPr>
            <w:r>
              <w:rPr>
                <w:rFonts w:hint="eastAsia" w:ascii="仿宋_GB2312" w:hAnsi="仿宋_GB2312" w:eastAsia="仿宋_GB2312" w:cs="仿宋_GB2312"/>
                <w:sz w:val="21"/>
                <w:szCs w:val="21"/>
              </w:rPr>
              <w:t>严格落实重大行政决策公众参与、专家论证、风险评估、合法性审查和集体讨论决定程序，对专业性强、可能对社会稳定和公共安全造成不利影响的，组织专家对必要性、科学性、可行性和可控性开展评估论证。县人民政府及部门年度重大行政决策事项目录制定率达到</w:t>
            </w:r>
            <w:r>
              <w:rPr>
                <w:rFonts w:ascii="仿宋_GB2312" w:hAnsi="仿宋_GB2312" w:eastAsia="仿宋_GB2312" w:cs="仿宋_GB2312"/>
                <w:sz w:val="21"/>
                <w:szCs w:val="21"/>
              </w:rPr>
              <w:t>100%</w:t>
            </w:r>
            <w:r>
              <w:rPr>
                <w:rFonts w:hint="eastAsia" w:ascii="仿宋_GB2312" w:hAnsi="仿宋_GB2312" w:eastAsia="仿宋_GB2312" w:cs="仿宋_GB2312"/>
                <w:sz w:val="21"/>
                <w:szCs w:val="21"/>
              </w:rPr>
              <w:t>并主动向社会公开。严格落实《平罗县重大行政决策程序实施办法（试行）》和《平罗县人民政府重大行政决策后评估管理办法（试行）》，推动重大行政决策管理更加科学规范，对已出台的年度重大行政决策事项，承办单位按照决策机关统一的格式和装订顺序，及时立卷归档。积极推进决策后评估工作。</w:t>
            </w:r>
          </w:p>
        </w:tc>
        <w:tc>
          <w:tcPr>
            <w:tcW w:w="1385" w:type="dxa"/>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县政府办公室、司法局</w:t>
            </w:r>
          </w:p>
        </w:tc>
        <w:tc>
          <w:tcPr>
            <w:tcW w:w="1495"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县政府各部门、各乡镇</w:t>
            </w:r>
          </w:p>
        </w:tc>
        <w:tc>
          <w:tcPr>
            <w:tcW w:w="1266"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blHeader/>
        </w:trPr>
        <w:tc>
          <w:tcPr>
            <w:tcW w:w="1368" w:type="dxa"/>
            <w:vMerge w:val="continue"/>
            <w:vAlign w:val="center"/>
          </w:tcPr>
          <w:p>
            <w:pPr>
              <w:spacing w:line="360" w:lineRule="exact"/>
              <w:jc w:val="center"/>
              <w:rPr>
                <w:rFonts w:ascii="仿宋_GB2312" w:hAnsi="仿宋_GB2312" w:eastAsia="仿宋_GB2312" w:cs="Times New Roman"/>
              </w:rPr>
            </w:pP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18</w:t>
            </w:r>
          </w:p>
        </w:tc>
        <w:tc>
          <w:tcPr>
            <w:tcW w:w="1627"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健全政府法律顾问、公职律师监督管理机制。</w:t>
            </w:r>
          </w:p>
        </w:tc>
        <w:tc>
          <w:tcPr>
            <w:tcW w:w="6660" w:type="dxa"/>
            <w:vAlign w:val="center"/>
          </w:tcPr>
          <w:p>
            <w:pPr>
              <w:spacing w:line="320" w:lineRule="exact"/>
              <w:rPr>
                <w:rFonts w:ascii="仿宋_GB2312" w:hAnsi="仿宋_GB2312" w:eastAsia="仿宋_GB2312" w:cs="Times New Roman"/>
              </w:rPr>
            </w:pPr>
            <w:r>
              <w:rPr>
                <w:rFonts w:hint="eastAsia" w:ascii="仿宋_GB2312" w:hAnsi="仿宋_GB2312" w:eastAsia="仿宋_GB2312" w:cs="仿宋_GB2312"/>
              </w:rPr>
              <w:t>强化公职律师监督管理，规范开展公职律师年度考核工作。将新申请公职律师全部纳入公职律师库，统筹调配使用，更好的发挥公职律师在法治政府建设中的作用。健全完善县政府法律顾问管理机制，出台政府法律顾聘任、考核工作办法，将法律顾问报酬与合法性审查、行政诉讼案件办理质量相挂钩。</w:t>
            </w:r>
          </w:p>
        </w:tc>
        <w:tc>
          <w:tcPr>
            <w:tcW w:w="1385" w:type="dxa"/>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县司法局</w:t>
            </w:r>
          </w:p>
        </w:tc>
        <w:tc>
          <w:tcPr>
            <w:tcW w:w="1495"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县政府各部门、各乡镇</w:t>
            </w:r>
          </w:p>
        </w:tc>
        <w:tc>
          <w:tcPr>
            <w:tcW w:w="1266"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blHeader/>
        </w:trPr>
        <w:tc>
          <w:tcPr>
            <w:tcW w:w="1368" w:type="dxa"/>
            <w:vMerge w:val="restart"/>
            <w:vAlign w:val="center"/>
          </w:tcPr>
          <w:p>
            <w:pPr>
              <w:spacing w:line="360" w:lineRule="exact"/>
              <w:rPr>
                <w:rFonts w:ascii="仿宋_GB2312" w:hAnsi="仿宋_GB2312" w:eastAsia="仿宋_GB2312" w:cs="Times New Roman"/>
              </w:rPr>
            </w:pPr>
            <w:r>
              <w:rPr>
                <w:rFonts w:hint="eastAsia" w:ascii="黑体" w:hAnsi="黑体" w:eastAsia="黑体" w:cs="黑体"/>
              </w:rPr>
              <w:t>二、坚持高质量高标准，进一步增强法治政府建设的系统性示范性</w:t>
            </w:r>
          </w:p>
        </w:tc>
        <w:tc>
          <w:tcPr>
            <w:tcW w:w="12966" w:type="dxa"/>
            <w:gridSpan w:val="6"/>
            <w:vAlign w:val="center"/>
          </w:tcPr>
          <w:p>
            <w:pPr>
              <w:spacing w:line="360" w:lineRule="exact"/>
              <w:jc w:val="center"/>
              <w:rPr>
                <w:rFonts w:ascii="楷体_GB2312" w:hAnsi="楷体" w:eastAsia="楷体_GB2312" w:cs="Times New Roman"/>
                <w:b/>
                <w:bCs/>
                <w:sz w:val="24"/>
                <w:szCs w:val="24"/>
              </w:rPr>
            </w:pPr>
            <w:r>
              <w:rPr>
                <w:rFonts w:hint="eastAsia" w:ascii="楷体_GB2312" w:hAnsi="楷体" w:eastAsia="楷体_GB2312" w:cs="楷体_GB2312"/>
                <w:b/>
                <w:bCs/>
                <w:sz w:val="24"/>
                <w:szCs w:val="24"/>
              </w:rPr>
              <w:t>（五）规范行政执法行动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blHeader/>
        </w:trPr>
        <w:tc>
          <w:tcPr>
            <w:tcW w:w="1368" w:type="dxa"/>
            <w:vMerge w:val="continue"/>
            <w:vAlign w:val="center"/>
          </w:tcPr>
          <w:p>
            <w:pPr>
              <w:spacing w:line="360" w:lineRule="exact"/>
              <w:jc w:val="center"/>
              <w:rPr>
                <w:rFonts w:ascii="仿宋_GB2312" w:hAnsi="仿宋_GB2312" w:eastAsia="仿宋_GB2312" w:cs="Times New Roman"/>
              </w:rPr>
            </w:pP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19</w:t>
            </w:r>
          </w:p>
        </w:tc>
        <w:tc>
          <w:tcPr>
            <w:tcW w:w="1627"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加大突出问题治理力度。</w:t>
            </w:r>
          </w:p>
        </w:tc>
        <w:tc>
          <w:tcPr>
            <w:tcW w:w="6660" w:type="dxa"/>
            <w:vAlign w:val="center"/>
          </w:tcPr>
          <w:p>
            <w:pPr>
              <w:spacing w:line="320" w:lineRule="exact"/>
              <w:rPr>
                <w:rFonts w:ascii="仿宋_GB2312" w:hAnsi="仿宋_GB2312" w:eastAsia="仿宋_GB2312" w:cs="Times New Roman"/>
              </w:rPr>
            </w:pPr>
            <w:r>
              <w:rPr>
                <w:rFonts w:hint="eastAsia" w:ascii="仿宋_GB2312" w:hAnsi="仿宋_GB2312" w:eastAsia="仿宋_GB2312" w:cs="仿宋_GB2312"/>
              </w:rPr>
              <w:t>开展执法不作为、乱作为专项治理行动，各行政执法机关按照专项治理的任务和群众反映强烈的突出执法问题梳理形成问题清单，并按照“一部门一清单”方式适时组织开展专项治理行动。</w:t>
            </w:r>
          </w:p>
        </w:tc>
        <w:tc>
          <w:tcPr>
            <w:tcW w:w="1385" w:type="dxa"/>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县司法局</w:t>
            </w:r>
          </w:p>
        </w:tc>
        <w:tc>
          <w:tcPr>
            <w:tcW w:w="1495"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各行政执法机关</w:t>
            </w:r>
          </w:p>
        </w:tc>
        <w:tc>
          <w:tcPr>
            <w:tcW w:w="1266" w:type="dxa"/>
            <w:vAlign w:val="center"/>
          </w:tcPr>
          <w:p>
            <w:pPr>
              <w:spacing w:line="360" w:lineRule="exact"/>
              <w:jc w:val="center"/>
              <w:rPr>
                <w:rFonts w:ascii="仿宋_GB2312" w:hAnsi="仿宋_GB2312" w:eastAsia="仿宋_GB2312" w:cs="Times New Roman"/>
              </w:rPr>
            </w:pPr>
            <w:r>
              <w:rPr>
                <w:rFonts w:ascii="仿宋_GB2312" w:hAnsi="仿宋_GB2312" w:eastAsia="仿宋_GB2312" w:cs="仿宋_GB2312"/>
              </w:rPr>
              <w:t>2024</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月底前完成并长期坚持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blHeader/>
        </w:trPr>
        <w:tc>
          <w:tcPr>
            <w:tcW w:w="1368" w:type="dxa"/>
            <w:vMerge w:val="continue"/>
            <w:vAlign w:val="center"/>
          </w:tcPr>
          <w:p>
            <w:pPr>
              <w:spacing w:line="360" w:lineRule="exact"/>
              <w:jc w:val="center"/>
              <w:rPr>
                <w:rFonts w:ascii="仿宋_GB2312" w:hAnsi="仿宋_GB2312" w:eastAsia="仿宋_GB2312" w:cs="Times New Roman"/>
              </w:rPr>
            </w:pP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20</w:t>
            </w:r>
          </w:p>
        </w:tc>
        <w:tc>
          <w:tcPr>
            <w:tcW w:w="1627"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持续推进行政执法体制改革。</w:t>
            </w:r>
          </w:p>
        </w:tc>
        <w:tc>
          <w:tcPr>
            <w:tcW w:w="6660" w:type="dxa"/>
            <w:vAlign w:val="center"/>
          </w:tcPr>
          <w:p>
            <w:pPr>
              <w:spacing w:line="320" w:lineRule="exact"/>
              <w:rPr>
                <w:rFonts w:ascii="仿宋_GB2312" w:hAnsi="仿宋_GB2312" w:eastAsia="仿宋_GB2312" w:cs="Times New Roman"/>
              </w:rPr>
            </w:pPr>
            <w:r>
              <w:rPr>
                <w:rFonts w:ascii="仿宋_GB2312" w:hAnsi="仿宋_GB2312" w:eastAsia="仿宋_GB2312" w:cs="仿宋_GB2312"/>
              </w:rPr>
              <w:t>2024</w:t>
            </w:r>
            <w:r>
              <w:rPr>
                <w:rFonts w:hint="eastAsia" w:ascii="仿宋_GB2312" w:hAnsi="仿宋_GB2312" w:eastAsia="仿宋_GB2312" w:cs="仿宋_GB2312"/>
              </w:rPr>
              <w:t>年年底前，各行政执法部门制定出台本部门行政执法事项目录；</w:t>
            </w:r>
            <w:r>
              <w:rPr>
                <w:rFonts w:ascii="仿宋_GB2312" w:hAnsi="仿宋_GB2312" w:eastAsia="仿宋_GB2312" w:cs="仿宋_GB2312"/>
              </w:rPr>
              <w:t>2025</w:t>
            </w:r>
            <w:r>
              <w:rPr>
                <w:rFonts w:hint="eastAsia" w:ascii="仿宋_GB2312" w:hAnsi="仿宋_GB2312" w:eastAsia="仿宋_GB2312" w:cs="仿宋_GB2312"/>
              </w:rPr>
              <w:t>年年底前，开展行政执法事项清理，对虽有法定依据但近五年未发生的、极少发生且没有实施必要、交叉重复等行政执法事项予以清理。</w:t>
            </w:r>
          </w:p>
        </w:tc>
        <w:tc>
          <w:tcPr>
            <w:tcW w:w="1385" w:type="dxa"/>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县司法局</w:t>
            </w:r>
          </w:p>
        </w:tc>
        <w:tc>
          <w:tcPr>
            <w:tcW w:w="1495"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各行政执法机关</w:t>
            </w:r>
          </w:p>
        </w:tc>
        <w:tc>
          <w:tcPr>
            <w:tcW w:w="1266" w:type="dxa"/>
            <w:vAlign w:val="center"/>
          </w:tcPr>
          <w:p>
            <w:pPr>
              <w:spacing w:line="360" w:lineRule="exact"/>
              <w:jc w:val="center"/>
              <w:rPr>
                <w:rFonts w:ascii="仿宋_GB2312" w:hAnsi="仿宋_GB2312" w:eastAsia="仿宋_GB2312" w:cs="Times New Roman"/>
              </w:rPr>
            </w:pPr>
            <w:r>
              <w:rPr>
                <w:rFonts w:ascii="仿宋_GB2312" w:hAnsi="仿宋_GB2312" w:eastAsia="仿宋_GB2312" w:cs="仿宋_GB2312"/>
              </w:rPr>
              <w:t>2024</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月底前完成并长期坚持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blHeader/>
        </w:trPr>
        <w:tc>
          <w:tcPr>
            <w:tcW w:w="1368" w:type="dxa"/>
            <w:vMerge w:val="continue"/>
            <w:vAlign w:val="center"/>
          </w:tcPr>
          <w:p>
            <w:pPr>
              <w:spacing w:line="360" w:lineRule="exact"/>
              <w:jc w:val="center"/>
              <w:rPr>
                <w:rFonts w:ascii="仿宋_GB2312" w:hAnsi="仿宋_GB2312" w:eastAsia="仿宋_GB2312" w:cs="Times New Roman"/>
              </w:rPr>
            </w:pP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21</w:t>
            </w:r>
          </w:p>
        </w:tc>
        <w:tc>
          <w:tcPr>
            <w:tcW w:w="1627"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严格规范行政执法。</w:t>
            </w:r>
          </w:p>
        </w:tc>
        <w:tc>
          <w:tcPr>
            <w:tcW w:w="6660" w:type="dxa"/>
            <w:vAlign w:val="center"/>
          </w:tcPr>
          <w:p>
            <w:pPr>
              <w:spacing w:line="340" w:lineRule="exact"/>
              <w:rPr>
                <w:rFonts w:ascii="仿宋_GB2312" w:hAnsi="仿宋_GB2312" w:eastAsia="仿宋_GB2312" w:cs="Times New Roman"/>
              </w:rPr>
            </w:pPr>
            <w:r>
              <w:rPr>
                <w:rFonts w:hint="eastAsia" w:ascii="仿宋_GB2312" w:hAnsi="仿宋_GB2312" w:eastAsia="仿宋_GB2312" w:cs="仿宋_GB2312"/>
              </w:rPr>
              <w:t>全面落实行政裁量权基准制度，各行政执法机关可以按照上级要求、执法需求、有关规定制定完善行政裁量权基准，在行政处罚决定书中明确裁量权基准的适用情况，并增强说理性。加强行政裁量权基准动态管理，行政裁量权定期评估、及时完善，按规定报送备案审查。对照行政执法“三项制度”要求进行全面自查，并开展评估工作，对发现的问题与不足及时予以整改，并形成整改报告。行政执法部门行政执法事项目录编制率达</w:t>
            </w:r>
            <w:r>
              <w:rPr>
                <w:rFonts w:ascii="仿宋_GB2312" w:hAnsi="仿宋_GB2312" w:eastAsia="仿宋_GB2312" w:cs="仿宋_GB2312"/>
              </w:rPr>
              <w:t>100%</w:t>
            </w:r>
            <w:r>
              <w:rPr>
                <w:rFonts w:hint="eastAsia" w:ascii="仿宋_GB2312" w:hAnsi="仿宋_GB2312" w:eastAsia="仿宋_GB2312" w:cs="仿宋_GB2312"/>
              </w:rPr>
              <w:t>并动态调整，全面实现执法信息公开透明、执法全过程留痕、执法决定合法有效。</w:t>
            </w:r>
            <w:r>
              <w:rPr>
                <w:rFonts w:ascii="仿宋_GB2312" w:hAnsi="仿宋_GB2312" w:eastAsia="仿宋_GB2312" w:cs="仿宋_GB2312"/>
              </w:rPr>
              <w:t>2024</w:t>
            </w:r>
            <w:r>
              <w:rPr>
                <w:rFonts w:hint="eastAsia" w:ascii="仿宋_GB2312" w:hAnsi="仿宋_GB2312" w:eastAsia="仿宋_GB2312" w:cs="仿宋_GB2312"/>
              </w:rPr>
              <w:t>年年底前，行政执法机关的法制审核人员不少于本单位执法人员总数的</w:t>
            </w:r>
            <w:r>
              <w:rPr>
                <w:rFonts w:ascii="仿宋_GB2312" w:hAnsi="仿宋_GB2312" w:eastAsia="仿宋_GB2312" w:cs="仿宋_GB2312"/>
              </w:rPr>
              <w:t>5%</w:t>
            </w:r>
            <w:r>
              <w:rPr>
                <w:rFonts w:hint="eastAsia" w:ascii="仿宋_GB2312" w:hAnsi="仿宋_GB2312" w:eastAsia="仿宋_GB2312" w:cs="仿宋_GB2312"/>
              </w:rPr>
              <w:t>。</w:t>
            </w:r>
          </w:p>
        </w:tc>
        <w:tc>
          <w:tcPr>
            <w:tcW w:w="1385" w:type="dxa"/>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县司法局</w:t>
            </w:r>
          </w:p>
        </w:tc>
        <w:tc>
          <w:tcPr>
            <w:tcW w:w="1495"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各行政执法机关</w:t>
            </w:r>
          </w:p>
        </w:tc>
        <w:tc>
          <w:tcPr>
            <w:tcW w:w="1266" w:type="dxa"/>
            <w:vAlign w:val="center"/>
          </w:tcPr>
          <w:p>
            <w:pPr>
              <w:spacing w:line="360" w:lineRule="exact"/>
              <w:jc w:val="center"/>
              <w:rPr>
                <w:rFonts w:ascii="仿宋_GB2312" w:hAnsi="仿宋_GB2312" w:eastAsia="仿宋_GB2312" w:cs="Times New Roman"/>
              </w:rPr>
            </w:pPr>
            <w:r>
              <w:rPr>
                <w:rFonts w:ascii="仿宋_GB2312" w:hAnsi="仿宋_GB2312" w:eastAsia="仿宋_GB2312" w:cs="仿宋_GB2312"/>
              </w:rPr>
              <w:t>2024</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月底前完成并长期坚持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tblHeader/>
        </w:trPr>
        <w:tc>
          <w:tcPr>
            <w:tcW w:w="1368" w:type="dxa"/>
            <w:vMerge w:val="continue"/>
            <w:vAlign w:val="center"/>
          </w:tcPr>
          <w:p>
            <w:pPr>
              <w:spacing w:line="360" w:lineRule="exact"/>
              <w:jc w:val="center"/>
              <w:rPr>
                <w:rFonts w:ascii="仿宋_GB2312" w:hAnsi="仿宋_GB2312" w:eastAsia="仿宋_GB2312" w:cs="Times New Roman"/>
              </w:rPr>
            </w:pP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22</w:t>
            </w:r>
          </w:p>
        </w:tc>
        <w:tc>
          <w:tcPr>
            <w:tcW w:w="1627"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规范涉企领域执法检查。</w:t>
            </w:r>
          </w:p>
        </w:tc>
        <w:tc>
          <w:tcPr>
            <w:tcW w:w="6660"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推行非现场监管、“双随机、一公开”监管、“监管</w:t>
            </w:r>
            <w:r>
              <w:rPr>
                <w:rFonts w:ascii="仿宋_GB2312" w:hAnsi="仿宋_GB2312" w:eastAsia="仿宋_GB2312" w:cs="仿宋_GB2312"/>
              </w:rPr>
              <w:t>+</w:t>
            </w:r>
            <w:r>
              <w:rPr>
                <w:rFonts w:hint="eastAsia" w:ascii="仿宋_GB2312" w:hAnsi="仿宋_GB2312" w:eastAsia="仿宋_GB2312" w:cs="仿宋_GB2312"/>
              </w:rPr>
              <w:t>服务”等机制，完善审慎监管、包容免罚容错纠错工作机制，在生态环保、市场监管、安全生产等领域，探索开展“综合查一次”联合执法、协同执法，坚决纠正多头检查、随意检查、过度执法。深入开展涉企领域执法检查专项监督。</w:t>
            </w:r>
          </w:p>
        </w:tc>
        <w:tc>
          <w:tcPr>
            <w:tcW w:w="1385" w:type="dxa"/>
            <w:vAlign w:val="center"/>
          </w:tcPr>
          <w:p>
            <w:pPr>
              <w:spacing w:line="300" w:lineRule="exact"/>
              <w:jc w:val="left"/>
              <w:rPr>
                <w:rFonts w:ascii="仿宋_GB2312" w:hAnsi="仿宋_GB2312" w:eastAsia="仿宋_GB2312" w:cs="Times New Roman"/>
              </w:rPr>
            </w:pPr>
            <w:r>
              <w:rPr>
                <w:rFonts w:hint="eastAsia" w:ascii="仿宋_GB2312" w:hAnsi="仿宋_GB2312" w:eastAsia="仿宋_GB2312" w:cs="仿宋_GB2312"/>
              </w:rPr>
              <w:t>县司法局、市场监管局、应急管理局、市生态环境局平罗分局、住建局，各行政执法机关</w:t>
            </w:r>
          </w:p>
        </w:tc>
        <w:tc>
          <w:tcPr>
            <w:tcW w:w="1495" w:type="dxa"/>
            <w:vAlign w:val="center"/>
          </w:tcPr>
          <w:p>
            <w:pPr>
              <w:spacing w:line="360" w:lineRule="exact"/>
              <w:jc w:val="center"/>
              <w:rPr>
                <w:rFonts w:ascii="仿宋_GB2312" w:hAnsi="仿宋_GB2312" w:eastAsia="仿宋_GB2312" w:cs="Times New Roman"/>
              </w:rPr>
            </w:pPr>
          </w:p>
        </w:tc>
        <w:tc>
          <w:tcPr>
            <w:tcW w:w="1266"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blHeader/>
        </w:trPr>
        <w:tc>
          <w:tcPr>
            <w:tcW w:w="1368" w:type="dxa"/>
            <w:vMerge w:val="restart"/>
            <w:vAlign w:val="center"/>
          </w:tcPr>
          <w:p>
            <w:pPr>
              <w:spacing w:line="360" w:lineRule="exact"/>
              <w:jc w:val="center"/>
              <w:rPr>
                <w:rFonts w:ascii="仿宋_GB2312" w:hAnsi="仿宋_GB2312" w:eastAsia="仿宋_GB2312" w:cs="Times New Roman"/>
              </w:rPr>
            </w:pPr>
            <w:r>
              <w:rPr>
                <w:rFonts w:hint="eastAsia" w:ascii="黑体" w:hAnsi="黑体" w:eastAsia="黑体" w:cs="黑体"/>
              </w:rPr>
              <w:t>二、坚持高质量高标准，进一步增强法治政府建设的系统性示范性</w:t>
            </w: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23</w:t>
            </w:r>
          </w:p>
        </w:tc>
        <w:tc>
          <w:tcPr>
            <w:tcW w:w="1627"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规范罚款实施。</w:t>
            </w:r>
          </w:p>
        </w:tc>
        <w:tc>
          <w:tcPr>
            <w:tcW w:w="6660" w:type="dxa"/>
            <w:vAlign w:val="center"/>
          </w:tcPr>
          <w:p>
            <w:pPr>
              <w:spacing w:line="340" w:lineRule="exact"/>
              <w:rPr>
                <w:rFonts w:ascii="仿宋_GB2312" w:hAnsi="仿宋_GB2312" w:eastAsia="仿宋_GB2312" w:cs="Times New Roman"/>
              </w:rPr>
            </w:pPr>
            <w:r>
              <w:rPr>
                <w:rFonts w:hint="eastAsia" w:ascii="仿宋_GB2312" w:hAnsi="仿宋_GB2312" w:eastAsia="仿宋_GB2312" w:cs="仿宋_GB2312"/>
              </w:rPr>
              <w:t>严格执行《国务院关于进一步规范和监督罚款设定与实施的指导意见》（国发〔</w:t>
            </w:r>
            <w:r>
              <w:rPr>
                <w:rFonts w:ascii="仿宋_GB2312" w:hAnsi="仿宋_GB2312" w:eastAsia="仿宋_GB2312" w:cs="仿宋_GB2312"/>
              </w:rPr>
              <w:t>2024</w:t>
            </w:r>
            <w:r>
              <w:rPr>
                <w:rFonts w:hint="eastAsia" w:ascii="仿宋_GB2312" w:hAnsi="仿宋_GB2312" w:eastAsia="仿宋_GB2312" w:cs="仿宋_GB2312"/>
              </w:rPr>
              <w:t>〕</w:t>
            </w:r>
            <w:r>
              <w:rPr>
                <w:rFonts w:ascii="仿宋_GB2312" w:hAnsi="仿宋_GB2312" w:eastAsia="仿宋_GB2312" w:cs="仿宋_GB2312"/>
              </w:rPr>
              <w:t>5</w:t>
            </w:r>
            <w:r>
              <w:rPr>
                <w:rFonts w:hint="eastAsia" w:ascii="仿宋_GB2312" w:hAnsi="仿宋_GB2312" w:eastAsia="仿宋_GB2312" w:cs="仿宋_GB2312"/>
              </w:rPr>
              <w:t>号），坚持过罚相当原则，不得随意给予顶格罚款或高额罚款、不得降低对违法行为的认定门槛、不得随意扩大违法行为的范围，严禁逐利罚款、严禁对已超过法定追责期限的违法行为给予罚款。</w:t>
            </w:r>
          </w:p>
        </w:tc>
        <w:tc>
          <w:tcPr>
            <w:tcW w:w="1385" w:type="dxa"/>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各行政执法机关</w:t>
            </w:r>
          </w:p>
        </w:tc>
        <w:tc>
          <w:tcPr>
            <w:tcW w:w="1495" w:type="dxa"/>
            <w:vAlign w:val="center"/>
          </w:tcPr>
          <w:p>
            <w:pPr>
              <w:spacing w:line="360" w:lineRule="exact"/>
              <w:jc w:val="center"/>
              <w:rPr>
                <w:rFonts w:ascii="仿宋_GB2312" w:hAnsi="仿宋_GB2312" w:eastAsia="仿宋_GB2312" w:cs="Times New Roman"/>
              </w:rPr>
            </w:pPr>
          </w:p>
        </w:tc>
        <w:tc>
          <w:tcPr>
            <w:tcW w:w="1266" w:type="dxa"/>
            <w:vAlign w:val="center"/>
          </w:tcPr>
          <w:p>
            <w:pPr>
              <w:spacing w:line="360" w:lineRule="exact"/>
              <w:jc w:val="center"/>
              <w:rPr>
                <w:rFonts w:ascii="仿宋_GB2312" w:hAnsi="仿宋_GB2312" w:eastAsia="仿宋_GB2312" w:cs="Times New Roman"/>
              </w:rPr>
            </w:pPr>
            <w:r>
              <w:rPr>
                <w:rFonts w:ascii="仿宋_GB2312" w:hAnsi="仿宋_GB2312" w:eastAsia="仿宋_GB2312" w:cs="仿宋_GB2312"/>
              </w:rPr>
              <w:t>2024</w:t>
            </w:r>
            <w:r>
              <w:rPr>
                <w:rFonts w:hint="eastAsia" w:ascii="仿宋_GB2312" w:hAnsi="仿宋_GB2312" w:eastAsia="仿宋_GB2312" w:cs="仿宋_GB2312"/>
              </w:rPr>
              <w:t>年</w:t>
            </w:r>
            <w:r>
              <w:rPr>
                <w:rFonts w:ascii="仿宋_GB2312" w:hAnsi="仿宋_GB2312" w:eastAsia="仿宋_GB2312" w:cs="仿宋_GB2312"/>
              </w:rPr>
              <w:t>12</w:t>
            </w:r>
            <w:r>
              <w:rPr>
                <w:rFonts w:hint="eastAsia" w:ascii="仿宋_GB2312" w:hAnsi="仿宋_GB2312" w:eastAsia="仿宋_GB2312" w:cs="仿宋_GB2312"/>
              </w:rPr>
              <w:t>月前完成并长期坚持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blHeader/>
        </w:trPr>
        <w:tc>
          <w:tcPr>
            <w:tcW w:w="1368" w:type="dxa"/>
            <w:vMerge w:val="continue"/>
            <w:vAlign w:val="center"/>
          </w:tcPr>
          <w:p>
            <w:pPr>
              <w:spacing w:line="360" w:lineRule="exact"/>
              <w:jc w:val="center"/>
              <w:rPr>
                <w:rFonts w:ascii="仿宋_GB2312" w:hAnsi="仿宋_GB2312" w:eastAsia="仿宋_GB2312" w:cs="Times New Roman"/>
              </w:rPr>
            </w:pP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24</w:t>
            </w:r>
          </w:p>
        </w:tc>
        <w:tc>
          <w:tcPr>
            <w:tcW w:w="1627"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强化行政执法监督。</w:t>
            </w:r>
          </w:p>
        </w:tc>
        <w:tc>
          <w:tcPr>
            <w:tcW w:w="6660" w:type="dxa"/>
            <w:vAlign w:val="center"/>
          </w:tcPr>
          <w:p>
            <w:pPr>
              <w:spacing w:line="340" w:lineRule="exact"/>
              <w:rPr>
                <w:rFonts w:ascii="仿宋_GB2312" w:hAnsi="仿宋_GB2312" w:eastAsia="仿宋_GB2312" w:cs="Times New Roman"/>
              </w:rPr>
            </w:pPr>
            <w:r>
              <w:rPr>
                <w:rFonts w:hint="eastAsia" w:ascii="仿宋_GB2312" w:hAnsi="仿宋_GB2312" w:eastAsia="仿宋_GB2312" w:cs="仿宋_GB2312"/>
              </w:rPr>
              <w:t>落实中办、国办《关于加强行政执法协调监督工作体系建设的意见》，健全行政执法监督与法治督察、政府督查、行政复议、行政诉讼、检察监督等协作机制，</w:t>
            </w:r>
            <w:r>
              <w:rPr>
                <w:rFonts w:ascii="仿宋_GB2312" w:hAnsi="仿宋_GB2312" w:eastAsia="仿宋_GB2312" w:cs="仿宋_GB2312"/>
              </w:rPr>
              <w:t>2024</w:t>
            </w:r>
            <w:r>
              <w:rPr>
                <w:rFonts w:hint="eastAsia" w:ascii="仿宋_GB2312" w:hAnsi="仿宋_GB2312" w:eastAsia="仿宋_GB2312" w:cs="仿宋_GB2312"/>
              </w:rPr>
              <w:t>年年底前基本建成县、乡全覆盖的比较完善的行政执法监督体系。加快构建制度完善、机制健全、监督有力、运转高效的行政执法监督体系，完善配套工作制度，建立监督检查工作机制，每年至少开展一次案卷评查，评选出优秀案例指导行政执法。组织开展涉企行政检查专项执法监督。</w:t>
            </w:r>
          </w:p>
        </w:tc>
        <w:tc>
          <w:tcPr>
            <w:tcW w:w="1385" w:type="dxa"/>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县司法局</w:t>
            </w:r>
          </w:p>
        </w:tc>
        <w:tc>
          <w:tcPr>
            <w:tcW w:w="1495"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各行政执法机关</w:t>
            </w:r>
          </w:p>
        </w:tc>
        <w:tc>
          <w:tcPr>
            <w:tcW w:w="1266" w:type="dxa"/>
            <w:vAlign w:val="center"/>
          </w:tcPr>
          <w:p>
            <w:pPr>
              <w:spacing w:line="360" w:lineRule="exact"/>
              <w:jc w:val="center"/>
              <w:rPr>
                <w:rFonts w:ascii="仿宋_GB2312" w:hAnsi="仿宋_GB2312" w:eastAsia="仿宋_GB2312" w:cs="Times New Roman"/>
              </w:rPr>
            </w:pPr>
            <w:r>
              <w:rPr>
                <w:rFonts w:ascii="仿宋_GB2312" w:hAnsi="仿宋_GB2312" w:eastAsia="仿宋_GB2312" w:cs="仿宋_GB2312"/>
              </w:rPr>
              <w:t>2024</w:t>
            </w:r>
            <w:r>
              <w:rPr>
                <w:rFonts w:hint="eastAsia" w:ascii="仿宋_GB2312" w:hAnsi="仿宋_GB2312" w:eastAsia="仿宋_GB2312" w:cs="仿宋_GB2312"/>
              </w:rPr>
              <w:t>年</w:t>
            </w:r>
            <w:r>
              <w:rPr>
                <w:rFonts w:ascii="仿宋_GB2312" w:hAnsi="仿宋_GB2312" w:eastAsia="仿宋_GB2312" w:cs="仿宋_GB2312"/>
              </w:rPr>
              <w:t>12</w:t>
            </w:r>
            <w:r>
              <w:rPr>
                <w:rFonts w:hint="eastAsia" w:ascii="仿宋_GB2312" w:hAnsi="仿宋_GB2312" w:eastAsia="仿宋_GB2312" w:cs="仿宋_GB2312"/>
              </w:rPr>
              <w:t>月前完成并长期坚持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blHeader/>
        </w:trPr>
        <w:tc>
          <w:tcPr>
            <w:tcW w:w="1368" w:type="dxa"/>
            <w:vMerge w:val="continue"/>
            <w:vAlign w:val="center"/>
          </w:tcPr>
          <w:p>
            <w:pPr>
              <w:spacing w:line="360" w:lineRule="exact"/>
              <w:jc w:val="center"/>
              <w:rPr>
                <w:rFonts w:ascii="仿宋_GB2312" w:hAnsi="仿宋_GB2312" w:eastAsia="仿宋_GB2312" w:cs="Times New Roman"/>
              </w:rPr>
            </w:pP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25</w:t>
            </w:r>
          </w:p>
        </w:tc>
        <w:tc>
          <w:tcPr>
            <w:tcW w:w="1627"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加强科技保障。</w:t>
            </w:r>
          </w:p>
        </w:tc>
        <w:tc>
          <w:tcPr>
            <w:tcW w:w="6660" w:type="dxa"/>
            <w:vAlign w:val="center"/>
          </w:tcPr>
          <w:p>
            <w:pPr>
              <w:spacing w:line="340" w:lineRule="exact"/>
              <w:rPr>
                <w:rFonts w:ascii="仿宋_GB2312" w:hAnsi="仿宋_GB2312" w:eastAsia="仿宋_GB2312" w:cs="Times New Roman"/>
              </w:rPr>
            </w:pPr>
            <w:r>
              <w:rPr>
                <w:rFonts w:hint="eastAsia" w:ascii="仿宋_GB2312" w:hAnsi="仿宋_GB2312" w:eastAsia="仿宋_GB2312" w:cs="仿宋_GB2312"/>
              </w:rPr>
              <w:t>加强对自治区行政执法监督平台、行政执法移动应用程序（</w:t>
            </w:r>
            <w:r>
              <w:rPr>
                <w:rFonts w:ascii="仿宋_GB2312" w:hAnsi="仿宋_GB2312" w:eastAsia="仿宋_GB2312" w:cs="仿宋_GB2312"/>
              </w:rPr>
              <w:t>APP</w:t>
            </w:r>
            <w:r>
              <w:rPr>
                <w:rFonts w:hint="eastAsia" w:ascii="仿宋_GB2312" w:hAnsi="仿宋_GB2312" w:eastAsia="仿宋_GB2312" w:cs="仿宋_GB2312"/>
              </w:rPr>
              <w:t>）掌上执法推广与应用。积极配合自治区对平台进行标准化改造。</w:t>
            </w:r>
          </w:p>
        </w:tc>
        <w:tc>
          <w:tcPr>
            <w:tcW w:w="1385" w:type="dxa"/>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县司法局</w:t>
            </w:r>
          </w:p>
        </w:tc>
        <w:tc>
          <w:tcPr>
            <w:tcW w:w="1495"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各行政执法机关、各乡镇</w:t>
            </w:r>
          </w:p>
        </w:tc>
        <w:tc>
          <w:tcPr>
            <w:tcW w:w="1266" w:type="dxa"/>
            <w:vAlign w:val="center"/>
          </w:tcPr>
          <w:p>
            <w:pPr>
              <w:spacing w:line="360" w:lineRule="exact"/>
              <w:jc w:val="center"/>
              <w:rPr>
                <w:rFonts w:ascii="仿宋_GB2312" w:hAnsi="仿宋_GB2312" w:eastAsia="仿宋_GB2312" w:cs="Times New Roman"/>
              </w:rPr>
            </w:pPr>
            <w:r>
              <w:rPr>
                <w:rFonts w:ascii="仿宋_GB2312" w:hAnsi="仿宋_GB2312" w:eastAsia="仿宋_GB2312" w:cs="仿宋_GB2312"/>
              </w:rPr>
              <w:t>2024</w:t>
            </w:r>
            <w:r>
              <w:rPr>
                <w:rFonts w:hint="eastAsia" w:ascii="仿宋_GB2312" w:hAnsi="仿宋_GB2312" w:eastAsia="仿宋_GB2312" w:cs="仿宋_GB2312"/>
              </w:rPr>
              <w:t>年</w:t>
            </w:r>
            <w:r>
              <w:rPr>
                <w:rFonts w:ascii="仿宋_GB2312" w:hAnsi="仿宋_GB2312" w:eastAsia="仿宋_GB2312" w:cs="仿宋_GB2312"/>
              </w:rPr>
              <w:t>12</w:t>
            </w:r>
            <w:r>
              <w:rPr>
                <w:rFonts w:hint="eastAsia" w:ascii="仿宋_GB2312" w:hAnsi="仿宋_GB2312" w:eastAsia="仿宋_GB2312" w:cs="仿宋_GB2312"/>
              </w:rPr>
              <w:t>月前完成并长期坚持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blHeader/>
        </w:trPr>
        <w:tc>
          <w:tcPr>
            <w:tcW w:w="1368" w:type="dxa"/>
            <w:vMerge w:val="continue"/>
            <w:vAlign w:val="center"/>
          </w:tcPr>
          <w:p>
            <w:pPr>
              <w:spacing w:line="360" w:lineRule="exact"/>
              <w:jc w:val="center"/>
              <w:rPr>
                <w:rFonts w:ascii="仿宋_GB2312" w:hAnsi="仿宋_GB2312" w:eastAsia="仿宋_GB2312" w:cs="Times New Roman"/>
              </w:rPr>
            </w:pPr>
          </w:p>
        </w:tc>
        <w:tc>
          <w:tcPr>
            <w:tcW w:w="12966" w:type="dxa"/>
            <w:gridSpan w:val="6"/>
            <w:vAlign w:val="center"/>
          </w:tcPr>
          <w:p>
            <w:pPr>
              <w:spacing w:line="360" w:lineRule="exact"/>
              <w:jc w:val="center"/>
              <w:rPr>
                <w:rFonts w:ascii="楷体_GB2312" w:hAnsi="楷体" w:eastAsia="楷体_GB2312" w:cs="Times New Roman"/>
                <w:b/>
                <w:bCs/>
                <w:sz w:val="24"/>
                <w:szCs w:val="24"/>
              </w:rPr>
            </w:pPr>
            <w:r>
              <w:rPr>
                <w:rFonts w:hint="eastAsia" w:ascii="楷体_GB2312" w:hAnsi="楷体" w:eastAsia="楷体_GB2312" w:cs="楷体_GB2312"/>
                <w:b/>
                <w:bCs/>
                <w:sz w:val="24"/>
                <w:szCs w:val="24"/>
              </w:rPr>
              <w:t>（六）深化矛盾纠纷化解质效提升行动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blHeader/>
        </w:trPr>
        <w:tc>
          <w:tcPr>
            <w:tcW w:w="1368" w:type="dxa"/>
            <w:vMerge w:val="continue"/>
            <w:vAlign w:val="center"/>
          </w:tcPr>
          <w:p>
            <w:pPr>
              <w:spacing w:line="360" w:lineRule="exact"/>
              <w:jc w:val="center"/>
              <w:rPr>
                <w:rFonts w:ascii="仿宋_GB2312" w:hAnsi="仿宋_GB2312" w:eastAsia="仿宋_GB2312" w:cs="Times New Roman"/>
              </w:rPr>
            </w:pP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26</w:t>
            </w:r>
          </w:p>
        </w:tc>
        <w:tc>
          <w:tcPr>
            <w:tcW w:w="1627"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做深调解工作。</w:t>
            </w:r>
          </w:p>
        </w:tc>
        <w:tc>
          <w:tcPr>
            <w:tcW w:w="6660"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坚持和发展新时代“枫桥经验”，完善“三调联动”机制和调解组织网络，做到应调尽调、能调尽调。加强消费者权益保护、交通损害赔偿、治安管理、环境污染、社会保障、房屋土地征收等领域的行政调解。有序推进行政裁决工作，发挥行政裁决化解民事纠纷的“分流阀”作用。</w:t>
            </w:r>
          </w:p>
        </w:tc>
        <w:tc>
          <w:tcPr>
            <w:tcW w:w="1385" w:type="dxa"/>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县司法局</w:t>
            </w:r>
          </w:p>
        </w:tc>
        <w:tc>
          <w:tcPr>
            <w:tcW w:w="1495" w:type="dxa"/>
            <w:vAlign w:val="center"/>
          </w:tcPr>
          <w:p>
            <w:pPr>
              <w:spacing w:line="320" w:lineRule="exact"/>
              <w:jc w:val="center"/>
              <w:rPr>
                <w:rFonts w:ascii="仿宋_GB2312" w:hAnsi="仿宋_GB2312" w:eastAsia="仿宋_GB2312" w:cs="Times New Roman"/>
              </w:rPr>
            </w:pPr>
            <w:r>
              <w:rPr>
                <w:rFonts w:hint="eastAsia" w:ascii="仿宋_GB2312" w:hAnsi="仿宋_GB2312" w:eastAsia="仿宋_GB2312" w:cs="仿宋_GB2312"/>
              </w:rPr>
              <w:t>县市场监管局、交通局、公安局、人社局、民政局、自然资源局、卫健局、市生态环境局平罗分局、民政局等部门</w:t>
            </w:r>
          </w:p>
        </w:tc>
        <w:tc>
          <w:tcPr>
            <w:tcW w:w="1266" w:type="dxa"/>
            <w:vAlign w:val="center"/>
          </w:tcPr>
          <w:p>
            <w:pPr>
              <w:spacing w:line="360" w:lineRule="exact"/>
              <w:jc w:val="center"/>
              <w:rPr>
                <w:rFonts w:ascii="仿宋_GB2312" w:hAnsi="仿宋_GB2312" w:eastAsia="仿宋_GB2312" w:cs="Times New Roman"/>
              </w:rPr>
            </w:pPr>
            <w:r>
              <w:rPr>
                <w:rFonts w:ascii="仿宋_GB2312" w:hAnsi="仿宋_GB2312" w:eastAsia="仿宋_GB2312" w:cs="仿宋_GB2312"/>
              </w:rPr>
              <w:t>2024</w:t>
            </w:r>
            <w:r>
              <w:rPr>
                <w:rFonts w:hint="eastAsia" w:ascii="仿宋_GB2312" w:hAnsi="仿宋_GB2312" w:eastAsia="仿宋_GB2312" w:cs="仿宋_GB2312"/>
              </w:rPr>
              <w:t>年</w:t>
            </w:r>
            <w:r>
              <w:rPr>
                <w:rFonts w:ascii="仿宋_GB2312" w:hAnsi="仿宋_GB2312" w:eastAsia="仿宋_GB2312" w:cs="仿宋_GB2312"/>
              </w:rPr>
              <w:t>12</w:t>
            </w:r>
            <w:r>
              <w:rPr>
                <w:rFonts w:hint="eastAsia" w:ascii="仿宋_GB2312" w:hAnsi="仿宋_GB2312" w:eastAsia="仿宋_GB2312" w:cs="仿宋_GB2312"/>
              </w:rPr>
              <w:t>月前完成并长期坚持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blHeader/>
        </w:trPr>
        <w:tc>
          <w:tcPr>
            <w:tcW w:w="1368" w:type="dxa"/>
            <w:vMerge w:val="restart"/>
            <w:vAlign w:val="center"/>
          </w:tcPr>
          <w:p>
            <w:pPr>
              <w:spacing w:line="360" w:lineRule="exact"/>
              <w:jc w:val="center"/>
              <w:rPr>
                <w:rFonts w:ascii="仿宋_GB2312" w:hAnsi="仿宋_GB2312" w:eastAsia="仿宋_GB2312" w:cs="Times New Roman"/>
              </w:rPr>
            </w:pPr>
            <w:r>
              <w:rPr>
                <w:rFonts w:hint="eastAsia" w:ascii="黑体" w:hAnsi="黑体" w:eastAsia="黑体" w:cs="黑体"/>
              </w:rPr>
              <w:t>二、坚持高质量高标准，进一步增强法治政府建设的系统性示范性</w:t>
            </w: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27</w:t>
            </w:r>
          </w:p>
        </w:tc>
        <w:tc>
          <w:tcPr>
            <w:tcW w:w="1627"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依法开展信访工作。</w:t>
            </w:r>
          </w:p>
        </w:tc>
        <w:tc>
          <w:tcPr>
            <w:tcW w:w="6660"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完善“一重点两重复双交办”信访工作机制，落实好“四下基层”制度，加强信访问题源头治理，依法按政策解决信访问题，推动矛盾纠纷定分止争、息访息诉、案结事了。</w:t>
            </w:r>
          </w:p>
        </w:tc>
        <w:tc>
          <w:tcPr>
            <w:tcW w:w="1385" w:type="dxa"/>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县信访局</w:t>
            </w:r>
          </w:p>
        </w:tc>
        <w:tc>
          <w:tcPr>
            <w:tcW w:w="1495"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各乡镇，政府各部门</w:t>
            </w:r>
          </w:p>
        </w:tc>
        <w:tc>
          <w:tcPr>
            <w:tcW w:w="1266" w:type="dxa"/>
            <w:vAlign w:val="center"/>
          </w:tcPr>
          <w:p>
            <w:pPr>
              <w:spacing w:line="360" w:lineRule="exact"/>
              <w:jc w:val="center"/>
              <w:rPr>
                <w:rFonts w:ascii="仿宋_GB2312" w:hAnsi="仿宋_GB2312" w:eastAsia="仿宋_GB2312" w:cs="Times New Roman"/>
              </w:rPr>
            </w:pPr>
            <w:r>
              <w:rPr>
                <w:rFonts w:ascii="仿宋_GB2312" w:hAnsi="仿宋_GB2312" w:eastAsia="仿宋_GB2312" w:cs="仿宋_GB2312"/>
              </w:rPr>
              <w:t>2024</w:t>
            </w:r>
            <w:r>
              <w:rPr>
                <w:rFonts w:hint="eastAsia" w:ascii="仿宋_GB2312" w:hAnsi="仿宋_GB2312" w:eastAsia="仿宋_GB2312" w:cs="仿宋_GB2312"/>
              </w:rPr>
              <w:t>年</w:t>
            </w:r>
            <w:r>
              <w:rPr>
                <w:rFonts w:ascii="仿宋_GB2312" w:hAnsi="仿宋_GB2312" w:eastAsia="仿宋_GB2312" w:cs="仿宋_GB2312"/>
              </w:rPr>
              <w:t>12</w:t>
            </w:r>
            <w:r>
              <w:rPr>
                <w:rFonts w:hint="eastAsia" w:ascii="仿宋_GB2312" w:hAnsi="仿宋_GB2312" w:eastAsia="仿宋_GB2312" w:cs="仿宋_GB2312"/>
              </w:rPr>
              <w:t>月前完成并长期坚持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blHeader/>
        </w:trPr>
        <w:tc>
          <w:tcPr>
            <w:tcW w:w="1368" w:type="dxa"/>
            <w:vMerge w:val="continue"/>
            <w:vAlign w:val="center"/>
          </w:tcPr>
          <w:p>
            <w:pPr>
              <w:spacing w:line="360" w:lineRule="exact"/>
              <w:jc w:val="center"/>
              <w:rPr>
                <w:rFonts w:ascii="仿宋_GB2312" w:hAnsi="仿宋_GB2312" w:eastAsia="仿宋_GB2312" w:cs="Times New Roman"/>
              </w:rPr>
            </w:pP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28</w:t>
            </w:r>
          </w:p>
        </w:tc>
        <w:tc>
          <w:tcPr>
            <w:tcW w:w="1627"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加强行政复议配套制度机制供给。</w:t>
            </w:r>
          </w:p>
        </w:tc>
        <w:tc>
          <w:tcPr>
            <w:tcW w:w="6660"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完成涉平罗县行政复议的行政规范性文件的清理工作。建立行政复议、行政诉讼典型案例定期发布机制，加强专业能力建设，开展行政复议技能竞赛和优秀文书评选活动。</w:t>
            </w:r>
          </w:p>
        </w:tc>
        <w:tc>
          <w:tcPr>
            <w:tcW w:w="1385" w:type="dxa"/>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县司法局、政府办公室</w:t>
            </w:r>
          </w:p>
        </w:tc>
        <w:tc>
          <w:tcPr>
            <w:tcW w:w="1495"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各行政执法机关、各乡镇</w:t>
            </w:r>
          </w:p>
        </w:tc>
        <w:tc>
          <w:tcPr>
            <w:tcW w:w="1266" w:type="dxa"/>
            <w:vAlign w:val="center"/>
          </w:tcPr>
          <w:p>
            <w:pPr>
              <w:spacing w:line="360" w:lineRule="exact"/>
              <w:jc w:val="center"/>
              <w:rPr>
                <w:rFonts w:ascii="仿宋_GB2312" w:hAnsi="仿宋_GB2312" w:eastAsia="仿宋_GB2312" w:cs="Times New Roman"/>
              </w:rPr>
            </w:pPr>
            <w:r>
              <w:rPr>
                <w:rFonts w:ascii="仿宋_GB2312" w:hAnsi="仿宋_GB2312" w:eastAsia="仿宋_GB2312" w:cs="仿宋_GB2312"/>
              </w:rPr>
              <w:t>2024</w:t>
            </w:r>
            <w:r>
              <w:rPr>
                <w:rFonts w:hint="eastAsia" w:ascii="仿宋_GB2312" w:hAnsi="仿宋_GB2312" w:eastAsia="仿宋_GB2312" w:cs="仿宋_GB2312"/>
              </w:rPr>
              <w:t>年</w:t>
            </w:r>
            <w:r>
              <w:rPr>
                <w:rFonts w:ascii="仿宋_GB2312" w:hAnsi="仿宋_GB2312" w:eastAsia="仿宋_GB2312" w:cs="仿宋_GB2312"/>
              </w:rPr>
              <w:t>12</w:t>
            </w:r>
            <w:r>
              <w:rPr>
                <w:rFonts w:hint="eastAsia" w:ascii="仿宋_GB2312" w:hAnsi="仿宋_GB2312" w:eastAsia="仿宋_GB2312" w:cs="仿宋_GB2312"/>
              </w:rPr>
              <w:t>月前完成并长期坚持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blHeader/>
        </w:trPr>
        <w:tc>
          <w:tcPr>
            <w:tcW w:w="1368" w:type="dxa"/>
            <w:vMerge w:val="continue"/>
            <w:vAlign w:val="center"/>
          </w:tcPr>
          <w:p>
            <w:pPr>
              <w:spacing w:line="360" w:lineRule="exact"/>
              <w:jc w:val="center"/>
              <w:rPr>
                <w:rFonts w:ascii="仿宋_GB2312" w:hAnsi="仿宋_GB2312" w:eastAsia="仿宋_GB2312" w:cs="Times New Roman"/>
              </w:rPr>
            </w:pP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29</w:t>
            </w:r>
          </w:p>
        </w:tc>
        <w:tc>
          <w:tcPr>
            <w:tcW w:w="1627"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提高行政复议应诉工作质效。</w:t>
            </w:r>
          </w:p>
        </w:tc>
        <w:tc>
          <w:tcPr>
            <w:tcW w:w="6660" w:type="dxa"/>
            <w:vAlign w:val="center"/>
          </w:tcPr>
          <w:p>
            <w:pPr>
              <w:spacing w:line="340" w:lineRule="exact"/>
              <w:rPr>
                <w:rFonts w:ascii="仿宋_GB2312" w:hAnsi="仿宋_GB2312" w:eastAsia="仿宋_GB2312" w:cs="Times New Roman"/>
              </w:rPr>
            </w:pPr>
            <w:r>
              <w:rPr>
                <w:rFonts w:hint="eastAsia" w:ascii="仿宋_GB2312" w:hAnsi="仿宋_GB2312" w:eastAsia="仿宋_GB2312" w:cs="仿宋_GB2312"/>
              </w:rPr>
              <w:t>全面贯彻新修订的行政复议法，做好配套制度完善、专项清理、附带审查等工作，建立政府主导、相关部门和专家学者等参与的行政复议委员会，推动将更多符合条件的行政争议导入行政复议渠道。充分发挥行政复议公正高效、便民为民的制度优势，行政复议决定书、意见书、调解书履行率、行政机关负责人出庭应诉率、出庭应诉答辩举证“发声率”达到</w:t>
            </w:r>
            <w:r>
              <w:rPr>
                <w:rFonts w:ascii="仿宋_GB2312" w:hAnsi="仿宋_GB2312" w:eastAsia="仿宋_GB2312" w:cs="仿宋_GB2312"/>
              </w:rPr>
              <w:t>100%</w:t>
            </w:r>
            <w:r>
              <w:rPr>
                <w:rFonts w:hint="eastAsia" w:ascii="仿宋_GB2312" w:hAnsi="仿宋_GB2312" w:eastAsia="仿宋_GB2312" w:cs="仿宋_GB2312"/>
              </w:rPr>
              <w:t>。扩大行政复议社会认知度，行政复议工作办案能力明显提升、调解和解结案率大于</w:t>
            </w:r>
            <w:r>
              <w:rPr>
                <w:rFonts w:ascii="仿宋_GB2312" w:hAnsi="仿宋_GB2312" w:eastAsia="仿宋_GB2312" w:cs="仿宋_GB2312"/>
              </w:rPr>
              <w:t>20%</w:t>
            </w:r>
            <w:r>
              <w:rPr>
                <w:rFonts w:hint="eastAsia" w:ascii="仿宋_GB2312" w:hAnsi="仿宋_GB2312" w:eastAsia="仿宋_GB2312" w:cs="仿宋_GB2312"/>
              </w:rPr>
              <w:t>，行政复议纠错率显著下降。</w:t>
            </w:r>
          </w:p>
        </w:tc>
        <w:tc>
          <w:tcPr>
            <w:tcW w:w="1385" w:type="dxa"/>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县司法局、政府办公室</w:t>
            </w:r>
          </w:p>
        </w:tc>
        <w:tc>
          <w:tcPr>
            <w:tcW w:w="1495"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各行政执法机关、各乡镇</w:t>
            </w:r>
          </w:p>
        </w:tc>
        <w:tc>
          <w:tcPr>
            <w:tcW w:w="1266" w:type="dxa"/>
            <w:vAlign w:val="center"/>
          </w:tcPr>
          <w:p>
            <w:pPr>
              <w:spacing w:line="360" w:lineRule="exact"/>
              <w:jc w:val="center"/>
              <w:rPr>
                <w:rFonts w:ascii="仿宋_GB2312" w:hAnsi="仿宋_GB2312" w:eastAsia="仿宋_GB2312" w:cs="Times New Roman"/>
              </w:rPr>
            </w:pPr>
            <w:r>
              <w:rPr>
                <w:rFonts w:ascii="仿宋_GB2312" w:hAnsi="仿宋_GB2312" w:eastAsia="仿宋_GB2312" w:cs="仿宋_GB2312"/>
              </w:rPr>
              <w:t>2024</w:t>
            </w:r>
            <w:r>
              <w:rPr>
                <w:rFonts w:hint="eastAsia" w:ascii="仿宋_GB2312" w:hAnsi="仿宋_GB2312" w:eastAsia="仿宋_GB2312" w:cs="仿宋_GB2312"/>
              </w:rPr>
              <w:t>年</w:t>
            </w:r>
            <w:r>
              <w:rPr>
                <w:rFonts w:ascii="仿宋_GB2312" w:hAnsi="仿宋_GB2312" w:eastAsia="仿宋_GB2312" w:cs="仿宋_GB2312"/>
              </w:rPr>
              <w:t>12</w:t>
            </w:r>
            <w:r>
              <w:rPr>
                <w:rFonts w:hint="eastAsia" w:ascii="仿宋_GB2312" w:hAnsi="仿宋_GB2312" w:eastAsia="仿宋_GB2312" w:cs="仿宋_GB2312"/>
              </w:rPr>
              <w:t>月前完成并长期坚持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blHeader/>
        </w:trPr>
        <w:tc>
          <w:tcPr>
            <w:tcW w:w="1368" w:type="dxa"/>
            <w:vMerge w:val="continue"/>
            <w:vAlign w:val="center"/>
          </w:tcPr>
          <w:p>
            <w:pPr>
              <w:spacing w:line="360" w:lineRule="exact"/>
              <w:jc w:val="center"/>
              <w:rPr>
                <w:rFonts w:ascii="仿宋_GB2312" w:hAnsi="仿宋_GB2312" w:eastAsia="仿宋_GB2312" w:cs="Times New Roman"/>
              </w:rPr>
            </w:pP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30</w:t>
            </w:r>
          </w:p>
        </w:tc>
        <w:tc>
          <w:tcPr>
            <w:tcW w:w="1627"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强化行政复议应诉监督工作。</w:t>
            </w:r>
          </w:p>
        </w:tc>
        <w:tc>
          <w:tcPr>
            <w:tcW w:w="6660"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加强对行政复议案件、行政诉讼败诉案件分析研判，强化应诉责任，对行政机关负责人出庭应诉、行政诉讼败诉、行政复议纠错、领导干部旁听庭审情况至少通报</w:t>
            </w:r>
            <w:r>
              <w:rPr>
                <w:rFonts w:ascii="仿宋_GB2312" w:hAnsi="仿宋_GB2312" w:eastAsia="仿宋_GB2312" w:cs="仿宋_GB2312"/>
              </w:rPr>
              <w:t>1</w:t>
            </w:r>
            <w:r>
              <w:rPr>
                <w:rFonts w:hint="eastAsia" w:ascii="仿宋_GB2312" w:hAnsi="仿宋_GB2312" w:eastAsia="仿宋_GB2312" w:cs="仿宋_GB2312"/>
              </w:rPr>
              <w:t>次，建立行政复议决定抄告制度，强化行政复议、应诉监督工作。</w:t>
            </w:r>
          </w:p>
        </w:tc>
        <w:tc>
          <w:tcPr>
            <w:tcW w:w="1385" w:type="dxa"/>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县司法局、政府办公室</w:t>
            </w:r>
          </w:p>
        </w:tc>
        <w:tc>
          <w:tcPr>
            <w:tcW w:w="1495"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各行政执法机关、各乡镇</w:t>
            </w:r>
          </w:p>
        </w:tc>
        <w:tc>
          <w:tcPr>
            <w:tcW w:w="1266" w:type="dxa"/>
            <w:vAlign w:val="center"/>
          </w:tcPr>
          <w:p>
            <w:pPr>
              <w:spacing w:line="360" w:lineRule="exact"/>
              <w:jc w:val="center"/>
              <w:rPr>
                <w:rFonts w:ascii="仿宋_GB2312" w:hAnsi="仿宋_GB2312" w:eastAsia="仿宋_GB2312" w:cs="Times New Roman"/>
              </w:rPr>
            </w:pPr>
            <w:r>
              <w:rPr>
                <w:rFonts w:ascii="仿宋_GB2312" w:hAnsi="仿宋_GB2312" w:eastAsia="仿宋_GB2312" w:cs="仿宋_GB2312"/>
              </w:rPr>
              <w:t>2024</w:t>
            </w:r>
            <w:r>
              <w:rPr>
                <w:rFonts w:hint="eastAsia" w:ascii="仿宋_GB2312" w:hAnsi="仿宋_GB2312" w:eastAsia="仿宋_GB2312" w:cs="仿宋_GB2312"/>
              </w:rPr>
              <w:t>年</w:t>
            </w:r>
            <w:r>
              <w:rPr>
                <w:rFonts w:ascii="仿宋_GB2312" w:hAnsi="仿宋_GB2312" w:eastAsia="仿宋_GB2312" w:cs="仿宋_GB2312"/>
              </w:rPr>
              <w:t>12</w:t>
            </w:r>
            <w:r>
              <w:rPr>
                <w:rFonts w:hint="eastAsia" w:ascii="仿宋_GB2312" w:hAnsi="仿宋_GB2312" w:eastAsia="仿宋_GB2312" w:cs="仿宋_GB2312"/>
              </w:rPr>
              <w:t>月前完成并长期坚持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blHeader/>
        </w:trPr>
        <w:tc>
          <w:tcPr>
            <w:tcW w:w="1368" w:type="dxa"/>
            <w:vMerge w:val="continue"/>
            <w:vAlign w:val="center"/>
          </w:tcPr>
          <w:p>
            <w:pPr>
              <w:spacing w:line="360" w:lineRule="exact"/>
              <w:jc w:val="center"/>
              <w:rPr>
                <w:rFonts w:ascii="仿宋_GB2312" w:hAnsi="仿宋_GB2312" w:eastAsia="仿宋_GB2312" w:cs="Times New Roman"/>
              </w:rPr>
            </w:pP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31</w:t>
            </w:r>
          </w:p>
        </w:tc>
        <w:tc>
          <w:tcPr>
            <w:tcW w:w="1627"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提升行政争议化解率。</w:t>
            </w:r>
          </w:p>
        </w:tc>
        <w:tc>
          <w:tcPr>
            <w:tcW w:w="6660"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充分发挥行政争议协调化解中心作用，定期或不定期召开府院联席会议，强化府院沟通互动，实现行政与司法的良性互动，进一步提升行政争议化解成功率，确保行政争议化解成功率保持在</w:t>
            </w:r>
            <w:r>
              <w:rPr>
                <w:rFonts w:ascii="仿宋_GB2312" w:hAnsi="仿宋_GB2312" w:eastAsia="仿宋_GB2312" w:cs="仿宋_GB2312"/>
              </w:rPr>
              <w:t>35%</w:t>
            </w:r>
            <w:r>
              <w:rPr>
                <w:rFonts w:hint="eastAsia" w:ascii="仿宋_GB2312" w:hAnsi="仿宋_GB2312" w:eastAsia="仿宋_GB2312" w:cs="仿宋_GB2312"/>
              </w:rPr>
              <w:t>以上。同时对败诉案件频发、因不履行或不正确履行法定职责导致案件败诉的，依照《中华人民共和国公职人员政务处分法》《宁夏回族自治区行政责任追究办法》等法律法规严肃问责，在年底考核中予以扣分。</w:t>
            </w:r>
          </w:p>
        </w:tc>
        <w:tc>
          <w:tcPr>
            <w:tcW w:w="1385" w:type="dxa"/>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县司法局</w:t>
            </w:r>
          </w:p>
        </w:tc>
        <w:tc>
          <w:tcPr>
            <w:tcW w:w="1495"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各行政执法机关、各乡镇</w:t>
            </w:r>
          </w:p>
        </w:tc>
        <w:tc>
          <w:tcPr>
            <w:tcW w:w="1266" w:type="dxa"/>
            <w:vAlign w:val="center"/>
          </w:tcPr>
          <w:p>
            <w:pPr>
              <w:spacing w:line="360" w:lineRule="exact"/>
              <w:jc w:val="center"/>
              <w:rPr>
                <w:rFonts w:ascii="仿宋_GB2312" w:hAnsi="仿宋_GB2312" w:eastAsia="仿宋_GB2312" w:cs="Times New Roman"/>
              </w:rPr>
            </w:pPr>
            <w:r>
              <w:rPr>
                <w:rFonts w:ascii="仿宋_GB2312" w:hAnsi="仿宋_GB2312" w:eastAsia="仿宋_GB2312" w:cs="仿宋_GB2312"/>
              </w:rPr>
              <w:t>2024</w:t>
            </w:r>
            <w:r>
              <w:rPr>
                <w:rFonts w:hint="eastAsia" w:ascii="仿宋_GB2312" w:hAnsi="仿宋_GB2312" w:eastAsia="仿宋_GB2312" w:cs="仿宋_GB2312"/>
              </w:rPr>
              <w:t>年</w:t>
            </w:r>
            <w:r>
              <w:rPr>
                <w:rFonts w:ascii="仿宋_GB2312" w:hAnsi="仿宋_GB2312" w:eastAsia="仿宋_GB2312" w:cs="仿宋_GB2312"/>
              </w:rPr>
              <w:t>12</w:t>
            </w:r>
            <w:r>
              <w:rPr>
                <w:rFonts w:hint="eastAsia" w:ascii="仿宋_GB2312" w:hAnsi="仿宋_GB2312" w:eastAsia="仿宋_GB2312" w:cs="仿宋_GB2312"/>
              </w:rPr>
              <w:t>月前完成并长期坚持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blHeader/>
        </w:trPr>
        <w:tc>
          <w:tcPr>
            <w:tcW w:w="1368" w:type="dxa"/>
            <w:vMerge w:val="restart"/>
            <w:vAlign w:val="center"/>
          </w:tcPr>
          <w:p>
            <w:pPr>
              <w:spacing w:line="360" w:lineRule="exact"/>
              <w:jc w:val="center"/>
              <w:rPr>
                <w:rFonts w:ascii="仿宋_GB2312" w:hAnsi="仿宋_GB2312" w:eastAsia="仿宋_GB2312" w:cs="Times New Roman"/>
              </w:rPr>
            </w:pPr>
            <w:r>
              <w:rPr>
                <w:rFonts w:hint="eastAsia" w:ascii="黑体" w:hAnsi="黑体" w:eastAsia="黑体" w:cs="黑体"/>
              </w:rPr>
              <w:t>二、坚持高质量高标准，进一步增强法治政府建设的系统性示范性</w:t>
            </w: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32</w:t>
            </w:r>
          </w:p>
        </w:tc>
        <w:tc>
          <w:tcPr>
            <w:tcW w:w="1627"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加强行政调解工作。</w:t>
            </w:r>
          </w:p>
        </w:tc>
        <w:tc>
          <w:tcPr>
            <w:tcW w:w="6660"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加强行政调解组织建设，细化调解范围和程序，压实部门行政调解工作责任，使调解成为保护群众合法权利、促进政府依法行政的重要形式。对行政机关不履行法定行政调解职责的，依法严肃问责。</w:t>
            </w:r>
          </w:p>
        </w:tc>
        <w:tc>
          <w:tcPr>
            <w:tcW w:w="1385" w:type="dxa"/>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县司法局</w:t>
            </w:r>
          </w:p>
        </w:tc>
        <w:tc>
          <w:tcPr>
            <w:tcW w:w="1495"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县公安局、市场监管局、民政局、自然资源局、交通运输局、卫健局、市生态环境局平罗分局</w:t>
            </w:r>
          </w:p>
        </w:tc>
        <w:tc>
          <w:tcPr>
            <w:tcW w:w="1266" w:type="dxa"/>
            <w:vAlign w:val="center"/>
          </w:tcPr>
          <w:p>
            <w:pPr>
              <w:spacing w:line="360" w:lineRule="exact"/>
              <w:jc w:val="center"/>
              <w:rPr>
                <w:rFonts w:ascii="仿宋_GB2312" w:hAnsi="仿宋_GB2312" w:eastAsia="仿宋_GB2312" w:cs="Times New Roman"/>
              </w:rPr>
            </w:pPr>
            <w:r>
              <w:rPr>
                <w:rFonts w:ascii="仿宋_GB2312" w:hAnsi="仿宋_GB2312" w:eastAsia="仿宋_GB2312" w:cs="仿宋_GB2312"/>
              </w:rPr>
              <w:t>2024</w:t>
            </w:r>
            <w:r>
              <w:rPr>
                <w:rFonts w:hint="eastAsia" w:ascii="仿宋_GB2312" w:hAnsi="仿宋_GB2312" w:eastAsia="仿宋_GB2312" w:cs="仿宋_GB2312"/>
              </w:rPr>
              <w:t>年</w:t>
            </w:r>
            <w:r>
              <w:rPr>
                <w:rFonts w:ascii="仿宋_GB2312" w:hAnsi="仿宋_GB2312" w:eastAsia="仿宋_GB2312" w:cs="仿宋_GB2312"/>
              </w:rPr>
              <w:t>12</w:t>
            </w:r>
            <w:r>
              <w:rPr>
                <w:rFonts w:hint="eastAsia" w:ascii="仿宋_GB2312" w:hAnsi="仿宋_GB2312" w:eastAsia="仿宋_GB2312" w:cs="仿宋_GB2312"/>
              </w:rPr>
              <w:t>月前完成并长期坚持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blHeader/>
        </w:trPr>
        <w:tc>
          <w:tcPr>
            <w:tcW w:w="1368" w:type="dxa"/>
            <w:vMerge w:val="continue"/>
            <w:vAlign w:val="center"/>
          </w:tcPr>
          <w:p>
            <w:pPr>
              <w:spacing w:line="360" w:lineRule="exact"/>
              <w:jc w:val="center"/>
              <w:rPr>
                <w:rFonts w:ascii="仿宋_GB2312" w:hAnsi="仿宋_GB2312" w:eastAsia="仿宋_GB2312" w:cs="Times New Roman"/>
              </w:rPr>
            </w:pP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33</w:t>
            </w:r>
          </w:p>
        </w:tc>
        <w:tc>
          <w:tcPr>
            <w:tcW w:w="1627"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推进行政裁决工作。</w:t>
            </w:r>
          </w:p>
        </w:tc>
        <w:tc>
          <w:tcPr>
            <w:tcW w:w="6660"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建立健全通过行政裁决化解矛盾纠纷的制度机制，不断强化组织领导，配强行政裁决工作人员，切实履行好行政裁决的法定职责，发挥部门的职能优势，全面做好行政裁决工作，重点做好自然资源权属争议、知识产权侵权纠纷和补偿争议、政府采购活动争议等方面行政裁决工作。</w:t>
            </w:r>
          </w:p>
        </w:tc>
        <w:tc>
          <w:tcPr>
            <w:tcW w:w="1385" w:type="dxa"/>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县司法局、自然资源局、市场监管局、财政局</w:t>
            </w:r>
          </w:p>
        </w:tc>
        <w:tc>
          <w:tcPr>
            <w:tcW w:w="1495"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县直各相关部门、各乡镇</w:t>
            </w:r>
          </w:p>
        </w:tc>
        <w:tc>
          <w:tcPr>
            <w:tcW w:w="1266"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blHeader/>
        </w:trPr>
        <w:tc>
          <w:tcPr>
            <w:tcW w:w="1368" w:type="dxa"/>
            <w:vMerge w:val="continue"/>
            <w:vAlign w:val="center"/>
          </w:tcPr>
          <w:p>
            <w:pPr>
              <w:spacing w:line="360" w:lineRule="exact"/>
              <w:jc w:val="center"/>
              <w:rPr>
                <w:rFonts w:ascii="仿宋_GB2312" w:hAnsi="仿宋_GB2312" w:eastAsia="仿宋_GB2312" w:cs="Times New Roman"/>
              </w:rPr>
            </w:pPr>
          </w:p>
        </w:tc>
        <w:tc>
          <w:tcPr>
            <w:tcW w:w="12966" w:type="dxa"/>
            <w:gridSpan w:val="6"/>
            <w:vAlign w:val="center"/>
          </w:tcPr>
          <w:p>
            <w:pPr>
              <w:spacing w:line="360" w:lineRule="exact"/>
              <w:jc w:val="center"/>
              <w:rPr>
                <w:rFonts w:ascii="楷体_GB2312" w:hAnsi="楷体" w:eastAsia="楷体_GB2312" w:cs="Times New Roman"/>
                <w:b/>
                <w:bCs/>
                <w:sz w:val="24"/>
                <w:szCs w:val="24"/>
              </w:rPr>
            </w:pPr>
            <w:r>
              <w:rPr>
                <w:rFonts w:hint="eastAsia" w:ascii="楷体_GB2312" w:hAnsi="楷体" w:eastAsia="楷体_GB2312" w:cs="楷体_GB2312"/>
                <w:b/>
                <w:bCs/>
                <w:sz w:val="24"/>
                <w:szCs w:val="24"/>
              </w:rPr>
              <w:t>（七）加强乡镇法治政府建设行动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blHeader/>
        </w:trPr>
        <w:tc>
          <w:tcPr>
            <w:tcW w:w="1368" w:type="dxa"/>
            <w:vMerge w:val="continue"/>
            <w:vAlign w:val="center"/>
          </w:tcPr>
          <w:p>
            <w:pPr>
              <w:spacing w:line="360" w:lineRule="exact"/>
              <w:jc w:val="center"/>
              <w:rPr>
                <w:rFonts w:ascii="仿宋_GB2312" w:hAnsi="仿宋_GB2312" w:eastAsia="仿宋_GB2312" w:cs="Times New Roman"/>
              </w:rPr>
            </w:pP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34</w:t>
            </w:r>
          </w:p>
        </w:tc>
        <w:tc>
          <w:tcPr>
            <w:tcW w:w="1627"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加强乡镇合法性审查工作。</w:t>
            </w:r>
          </w:p>
        </w:tc>
        <w:tc>
          <w:tcPr>
            <w:tcW w:w="6660"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建立乡镇司法所统筹、党政办（综合办）牵头、法律顾问协助的合法性审查工作模式，重大疑难复杂审查事项提交县人民政府合法性审查机构协助审查，重大行政决策、规范性文件、行政协议全部纳入合法性审查范围。</w:t>
            </w:r>
          </w:p>
        </w:tc>
        <w:tc>
          <w:tcPr>
            <w:tcW w:w="1385" w:type="dxa"/>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各乡镇人民政府</w:t>
            </w:r>
          </w:p>
        </w:tc>
        <w:tc>
          <w:tcPr>
            <w:tcW w:w="1495" w:type="dxa"/>
            <w:vAlign w:val="center"/>
          </w:tcPr>
          <w:p>
            <w:pPr>
              <w:spacing w:line="360" w:lineRule="exact"/>
              <w:jc w:val="center"/>
              <w:rPr>
                <w:rFonts w:ascii="仿宋_GB2312" w:hAnsi="仿宋_GB2312" w:eastAsia="仿宋_GB2312" w:cs="Times New Roman"/>
              </w:rPr>
            </w:pPr>
          </w:p>
        </w:tc>
        <w:tc>
          <w:tcPr>
            <w:tcW w:w="1266" w:type="dxa"/>
            <w:vAlign w:val="center"/>
          </w:tcPr>
          <w:p>
            <w:pPr>
              <w:spacing w:line="360" w:lineRule="exact"/>
              <w:jc w:val="center"/>
              <w:rPr>
                <w:rFonts w:ascii="仿宋_GB2312" w:hAnsi="仿宋_GB2312" w:eastAsia="仿宋_GB2312" w:cs="Times New Roman"/>
              </w:rPr>
            </w:pPr>
            <w:r>
              <w:rPr>
                <w:rFonts w:ascii="仿宋_GB2312" w:hAnsi="仿宋_GB2312" w:eastAsia="仿宋_GB2312" w:cs="仿宋_GB2312"/>
              </w:rPr>
              <w:t>2024</w:t>
            </w:r>
            <w:r>
              <w:rPr>
                <w:rFonts w:hint="eastAsia" w:ascii="仿宋_GB2312" w:hAnsi="仿宋_GB2312" w:eastAsia="仿宋_GB2312" w:cs="仿宋_GB2312"/>
              </w:rPr>
              <w:t>年</w:t>
            </w:r>
            <w:r>
              <w:rPr>
                <w:rFonts w:ascii="仿宋_GB2312" w:hAnsi="仿宋_GB2312" w:eastAsia="仿宋_GB2312" w:cs="仿宋_GB2312"/>
              </w:rPr>
              <w:t>12</w:t>
            </w:r>
            <w:r>
              <w:rPr>
                <w:rFonts w:hint="eastAsia" w:ascii="仿宋_GB2312" w:hAnsi="仿宋_GB2312" w:eastAsia="仿宋_GB2312" w:cs="仿宋_GB2312"/>
              </w:rPr>
              <w:t>月前完成并长期坚持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blHeader/>
        </w:trPr>
        <w:tc>
          <w:tcPr>
            <w:tcW w:w="1368" w:type="dxa"/>
            <w:vMerge w:val="continue"/>
            <w:vAlign w:val="center"/>
          </w:tcPr>
          <w:p>
            <w:pPr>
              <w:spacing w:line="360" w:lineRule="exact"/>
              <w:jc w:val="center"/>
              <w:rPr>
                <w:rFonts w:ascii="仿宋_GB2312" w:hAnsi="仿宋_GB2312" w:eastAsia="仿宋_GB2312" w:cs="Times New Roman"/>
              </w:rPr>
            </w:pP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35</w:t>
            </w:r>
          </w:p>
        </w:tc>
        <w:tc>
          <w:tcPr>
            <w:tcW w:w="1627"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提高乡镇行政执法工作质效。</w:t>
            </w:r>
          </w:p>
        </w:tc>
        <w:tc>
          <w:tcPr>
            <w:tcW w:w="6660"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持续推进乡镇综合行政执法改革，</w:t>
            </w:r>
            <w:r>
              <w:rPr>
                <w:rFonts w:ascii="仿宋_GB2312" w:hAnsi="仿宋_GB2312" w:eastAsia="仿宋_GB2312" w:cs="仿宋_GB2312"/>
              </w:rPr>
              <w:t>2024</w:t>
            </w:r>
            <w:r>
              <w:rPr>
                <w:rFonts w:hint="eastAsia" w:ascii="仿宋_GB2312" w:hAnsi="仿宋_GB2312" w:eastAsia="仿宋_GB2312" w:cs="仿宋_GB2312"/>
              </w:rPr>
              <w:t>年年底前，对已经下放乡镇的行政执法事项进行评估并及时予以调整确保放得下、接得住、管得好、有监督。适时组织开展乡镇行政执法规范化试点，形成可复制可推广的经验。</w:t>
            </w:r>
          </w:p>
        </w:tc>
        <w:tc>
          <w:tcPr>
            <w:tcW w:w="1385" w:type="dxa"/>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各乡镇人民政府</w:t>
            </w:r>
          </w:p>
        </w:tc>
        <w:tc>
          <w:tcPr>
            <w:tcW w:w="1495" w:type="dxa"/>
            <w:vAlign w:val="center"/>
          </w:tcPr>
          <w:p>
            <w:pPr>
              <w:spacing w:line="360" w:lineRule="exact"/>
              <w:jc w:val="center"/>
              <w:rPr>
                <w:rFonts w:ascii="仿宋_GB2312" w:hAnsi="仿宋_GB2312" w:eastAsia="仿宋_GB2312" w:cs="Times New Roman"/>
              </w:rPr>
            </w:pPr>
          </w:p>
        </w:tc>
        <w:tc>
          <w:tcPr>
            <w:tcW w:w="1266" w:type="dxa"/>
            <w:vAlign w:val="center"/>
          </w:tcPr>
          <w:p>
            <w:pPr>
              <w:spacing w:line="360" w:lineRule="exact"/>
              <w:jc w:val="center"/>
              <w:rPr>
                <w:rFonts w:ascii="仿宋_GB2312" w:hAnsi="仿宋_GB2312" w:eastAsia="仿宋_GB2312" w:cs="Times New Roman"/>
              </w:rPr>
            </w:pPr>
            <w:r>
              <w:rPr>
                <w:rFonts w:ascii="仿宋_GB2312" w:hAnsi="仿宋_GB2312" w:eastAsia="仿宋_GB2312" w:cs="仿宋_GB2312"/>
              </w:rPr>
              <w:t>2024</w:t>
            </w:r>
            <w:r>
              <w:rPr>
                <w:rFonts w:hint="eastAsia" w:ascii="仿宋_GB2312" w:hAnsi="仿宋_GB2312" w:eastAsia="仿宋_GB2312" w:cs="仿宋_GB2312"/>
              </w:rPr>
              <w:t>年</w:t>
            </w:r>
            <w:r>
              <w:rPr>
                <w:rFonts w:ascii="仿宋_GB2312" w:hAnsi="仿宋_GB2312" w:eastAsia="仿宋_GB2312" w:cs="仿宋_GB2312"/>
              </w:rPr>
              <w:t>12</w:t>
            </w:r>
            <w:r>
              <w:rPr>
                <w:rFonts w:hint="eastAsia" w:ascii="仿宋_GB2312" w:hAnsi="仿宋_GB2312" w:eastAsia="仿宋_GB2312" w:cs="仿宋_GB2312"/>
              </w:rPr>
              <w:t>月前完成并长期坚持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blHeader/>
        </w:trPr>
        <w:tc>
          <w:tcPr>
            <w:tcW w:w="1368" w:type="dxa"/>
            <w:vMerge w:val="restart"/>
            <w:vAlign w:val="center"/>
          </w:tcPr>
          <w:p>
            <w:pPr>
              <w:spacing w:line="360" w:lineRule="exact"/>
              <w:jc w:val="center"/>
              <w:rPr>
                <w:rFonts w:ascii="仿宋_GB2312" w:hAnsi="仿宋_GB2312" w:eastAsia="仿宋_GB2312" w:cs="Times New Roman"/>
              </w:rPr>
            </w:pPr>
            <w:r>
              <w:rPr>
                <w:rFonts w:hint="eastAsia" w:ascii="黑体" w:hAnsi="黑体" w:eastAsia="黑体" w:cs="黑体"/>
              </w:rPr>
              <w:t>二、坚持高质量高标准，进一步增强法治政府建设的系统性示范性</w:t>
            </w:r>
          </w:p>
        </w:tc>
        <w:tc>
          <w:tcPr>
            <w:tcW w:w="12966" w:type="dxa"/>
            <w:gridSpan w:val="6"/>
            <w:vAlign w:val="center"/>
          </w:tcPr>
          <w:p>
            <w:pPr>
              <w:spacing w:line="360" w:lineRule="exact"/>
              <w:jc w:val="center"/>
              <w:rPr>
                <w:rFonts w:ascii="楷体_GB2312" w:hAnsi="楷体" w:eastAsia="楷体_GB2312" w:cs="Times New Roman"/>
                <w:b/>
                <w:bCs/>
                <w:sz w:val="24"/>
                <w:szCs w:val="24"/>
              </w:rPr>
            </w:pPr>
            <w:r>
              <w:rPr>
                <w:rFonts w:hint="eastAsia" w:ascii="楷体_GB2312" w:hAnsi="楷体" w:eastAsia="楷体_GB2312" w:cs="楷体_GB2312"/>
                <w:b/>
                <w:bCs/>
                <w:sz w:val="24"/>
                <w:szCs w:val="24"/>
              </w:rPr>
              <w:t>（八）深化法治能力现代化提升行动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blHeader/>
        </w:trPr>
        <w:tc>
          <w:tcPr>
            <w:tcW w:w="1368" w:type="dxa"/>
            <w:vMerge w:val="continue"/>
            <w:vAlign w:val="center"/>
          </w:tcPr>
          <w:p>
            <w:pPr>
              <w:spacing w:line="360" w:lineRule="exact"/>
              <w:jc w:val="center"/>
              <w:rPr>
                <w:rFonts w:ascii="仿宋_GB2312" w:hAnsi="仿宋_GB2312" w:eastAsia="仿宋_GB2312" w:cs="Times New Roman"/>
              </w:rPr>
            </w:pP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36</w:t>
            </w:r>
          </w:p>
        </w:tc>
        <w:tc>
          <w:tcPr>
            <w:tcW w:w="1627"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增强“关键少数”法治意识。</w:t>
            </w:r>
          </w:p>
        </w:tc>
        <w:tc>
          <w:tcPr>
            <w:tcW w:w="6660" w:type="dxa"/>
            <w:vAlign w:val="center"/>
          </w:tcPr>
          <w:p>
            <w:pPr>
              <w:spacing w:line="340" w:lineRule="exact"/>
              <w:rPr>
                <w:rFonts w:ascii="仿宋_GB2312" w:hAnsi="仿宋_GB2312" w:eastAsia="仿宋_GB2312" w:cs="Times New Roman"/>
              </w:rPr>
            </w:pPr>
            <w:r>
              <w:rPr>
                <w:rFonts w:hint="eastAsia" w:ascii="仿宋_GB2312" w:hAnsi="仿宋_GB2312" w:eastAsia="仿宋_GB2312" w:cs="仿宋_GB2312"/>
              </w:rPr>
              <w:t>落实领导干部应知应会党内法规和国家法律清单制度</w:t>
            </w:r>
            <w:r>
              <w:rPr>
                <w:rFonts w:ascii="仿宋_GB2312" w:hAnsi="仿宋_GB2312" w:eastAsia="仿宋_GB2312" w:cs="仿宋_GB2312"/>
              </w:rPr>
              <w:t>,</w:t>
            </w:r>
            <w:r>
              <w:rPr>
                <w:rFonts w:hint="eastAsia" w:ascii="仿宋_GB2312" w:hAnsi="仿宋_GB2312" w:eastAsia="仿宋_GB2312" w:cs="仿宋_GB2312"/>
              </w:rPr>
              <w:t>健全领导干部学法用法机制，坚持政府常务会会前学法、政府党组会议学法、政府部门负责人讲法制度，政府常务会、政府各部门会前学法每年不少于</w:t>
            </w:r>
            <w:r>
              <w:rPr>
                <w:rFonts w:ascii="仿宋_GB2312" w:hAnsi="仿宋_GB2312" w:eastAsia="仿宋_GB2312" w:cs="仿宋_GB2312"/>
              </w:rPr>
              <w:t>4</w:t>
            </w:r>
            <w:r>
              <w:rPr>
                <w:rFonts w:hint="eastAsia" w:ascii="仿宋_GB2312" w:hAnsi="仿宋_GB2312" w:eastAsia="仿宋_GB2312" w:cs="仿宋_GB2312"/>
              </w:rPr>
              <w:t>次，专题法治讲座不少于</w:t>
            </w:r>
            <w:r>
              <w:rPr>
                <w:rFonts w:ascii="仿宋_GB2312" w:hAnsi="仿宋_GB2312" w:eastAsia="仿宋_GB2312" w:cs="仿宋_GB2312"/>
              </w:rPr>
              <w:t>2</w:t>
            </w:r>
            <w:r>
              <w:rPr>
                <w:rFonts w:hint="eastAsia" w:ascii="仿宋_GB2312" w:hAnsi="仿宋_GB2312" w:eastAsia="仿宋_GB2312" w:cs="仿宋_GB2312"/>
              </w:rPr>
              <w:t>期，逐步推动部门负责人在政府常务会会前讲法。开展宪法宣誓、宪法宣传等活动，引导行政机关工作人员增强法治观念、树立法治思维。县人民政府及部门每年至少组织一次领导干部旁听庭审活动。不断加强领导干部述法工作。认真落实党政主要负责人履行推进法治建设第一责任人职责，健全述法制度，理顺述法流程，丰富述法形式，确保“应述尽述”。</w:t>
            </w:r>
          </w:p>
        </w:tc>
        <w:tc>
          <w:tcPr>
            <w:tcW w:w="1385" w:type="dxa"/>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县政府办公室、司法局</w:t>
            </w:r>
          </w:p>
        </w:tc>
        <w:tc>
          <w:tcPr>
            <w:tcW w:w="1495"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各乡镇、政府各部门</w:t>
            </w:r>
          </w:p>
        </w:tc>
        <w:tc>
          <w:tcPr>
            <w:tcW w:w="1266" w:type="dxa"/>
            <w:vAlign w:val="center"/>
          </w:tcPr>
          <w:p>
            <w:pPr>
              <w:spacing w:line="360" w:lineRule="exact"/>
              <w:jc w:val="center"/>
              <w:rPr>
                <w:rFonts w:ascii="仿宋_GB2312" w:hAnsi="仿宋_GB2312" w:eastAsia="仿宋_GB2312" w:cs="Times New Roman"/>
              </w:rPr>
            </w:pPr>
            <w:r>
              <w:rPr>
                <w:rFonts w:ascii="仿宋_GB2312" w:hAnsi="仿宋_GB2312" w:eastAsia="仿宋_GB2312" w:cs="仿宋_GB2312"/>
              </w:rPr>
              <w:t>2024</w:t>
            </w:r>
            <w:r>
              <w:rPr>
                <w:rFonts w:hint="eastAsia" w:ascii="仿宋_GB2312" w:hAnsi="仿宋_GB2312" w:eastAsia="仿宋_GB2312" w:cs="仿宋_GB2312"/>
              </w:rPr>
              <w:t>年</w:t>
            </w:r>
            <w:r>
              <w:rPr>
                <w:rFonts w:ascii="仿宋_GB2312" w:hAnsi="仿宋_GB2312" w:eastAsia="仿宋_GB2312" w:cs="仿宋_GB2312"/>
              </w:rPr>
              <w:t>12</w:t>
            </w:r>
            <w:r>
              <w:rPr>
                <w:rFonts w:hint="eastAsia" w:ascii="仿宋_GB2312" w:hAnsi="仿宋_GB2312" w:eastAsia="仿宋_GB2312" w:cs="仿宋_GB2312"/>
              </w:rPr>
              <w:t>月前完成并长期坚持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blHeader/>
        </w:trPr>
        <w:tc>
          <w:tcPr>
            <w:tcW w:w="1368" w:type="dxa"/>
            <w:vMerge w:val="continue"/>
            <w:vAlign w:val="center"/>
          </w:tcPr>
          <w:p>
            <w:pPr>
              <w:spacing w:line="360" w:lineRule="exact"/>
              <w:jc w:val="center"/>
              <w:rPr>
                <w:rFonts w:ascii="仿宋_GB2312" w:hAnsi="仿宋_GB2312" w:eastAsia="仿宋_GB2312" w:cs="Times New Roman"/>
              </w:rPr>
            </w:pP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37</w:t>
            </w:r>
          </w:p>
        </w:tc>
        <w:tc>
          <w:tcPr>
            <w:tcW w:w="1627"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提高法治工作队伍专业素质。</w:t>
            </w:r>
          </w:p>
        </w:tc>
        <w:tc>
          <w:tcPr>
            <w:tcW w:w="6660" w:type="dxa"/>
            <w:vAlign w:val="center"/>
          </w:tcPr>
          <w:p>
            <w:pPr>
              <w:spacing w:line="340" w:lineRule="exact"/>
              <w:rPr>
                <w:rFonts w:ascii="仿宋_GB2312" w:hAnsi="仿宋_GB2312" w:eastAsia="仿宋_GB2312" w:cs="Times New Roman"/>
              </w:rPr>
            </w:pPr>
            <w:r>
              <w:rPr>
                <w:rFonts w:hint="eastAsia" w:ascii="仿宋_GB2312" w:hAnsi="仿宋_GB2312" w:eastAsia="仿宋_GB2312" w:cs="仿宋_GB2312"/>
              </w:rPr>
              <w:t>提高法治工作队伍专业素质，抓好立法、执法、司法行政和法律服务“四支队伍”建设，推进行政执法和行政复议队伍专业化职业化建设，促进队伍结构、能力素养与承担的职责任务相匹配。抓好法律顾问、公职律师和法律服务队伍思想政治、业务能力、职业道德建设，提升履职能力和服务水平。把法治教育纳入人员初任培训、任职培训、晋升培训必修内容，每年至少开展</w:t>
            </w:r>
            <w:r>
              <w:rPr>
                <w:rFonts w:ascii="仿宋_GB2312" w:hAnsi="仿宋_GB2312" w:eastAsia="仿宋_GB2312" w:cs="仿宋_GB2312"/>
              </w:rPr>
              <w:t>2</w:t>
            </w:r>
            <w:r>
              <w:rPr>
                <w:rFonts w:hint="eastAsia" w:ascii="仿宋_GB2312" w:hAnsi="仿宋_GB2312" w:eastAsia="仿宋_GB2312" w:cs="仿宋_GB2312"/>
              </w:rPr>
              <w:t>次法治讲座、论坛、研讨等学习辅导活动，建立法律法规应知应会清单，组织学法用法考试，成绩在一定范围内通报。开展分类分级分层培训，在完成政治理论教育和党性教育学时的基础上，确保行政机关行政执法人员每人每年接受不少于</w:t>
            </w:r>
            <w:r>
              <w:rPr>
                <w:rFonts w:ascii="仿宋_GB2312" w:hAnsi="仿宋_GB2312" w:eastAsia="仿宋_GB2312" w:cs="仿宋_GB2312"/>
              </w:rPr>
              <w:t>60</w:t>
            </w:r>
            <w:r>
              <w:rPr>
                <w:rFonts w:hint="eastAsia" w:ascii="仿宋_GB2312" w:hAnsi="仿宋_GB2312" w:eastAsia="仿宋_GB2312" w:cs="仿宋_GB2312"/>
              </w:rPr>
              <w:t>学时的公共法律知识、业务知识和行政执法技能培训，并注重加强执法行为规范和职业道德教育。</w:t>
            </w:r>
          </w:p>
        </w:tc>
        <w:tc>
          <w:tcPr>
            <w:tcW w:w="1385" w:type="dxa"/>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县司法局</w:t>
            </w:r>
          </w:p>
        </w:tc>
        <w:tc>
          <w:tcPr>
            <w:tcW w:w="1495"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各乡镇、政府各部门</w:t>
            </w:r>
          </w:p>
        </w:tc>
        <w:tc>
          <w:tcPr>
            <w:tcW w:w="1266" w:type="dxa"/>
            <w:vAlign w:val="center"/>
          </w:tcPr>
          <w:p>
            <w:pPr>
              <w:spacing w:line="360" w:lineRule="exact"/>
              <w:jc w:val="center"/>
              <w:rPr>
                <w:rFonts w:ascii="仿宋_GB2312" w:hAnsi="仿宋_GB2312" w:eastAsia="仿宋_GB2312" w:cs="Times New Roman"/>
              </w:rPr>
            </w:pPr>
            <w:r>
              <w:rPr>
                <w:rFonts w:ascii="仿宋_GB2312" w:hAnsi="仿宋_GB2312" w:eastAsia="仿宋_GB2312" w:cs="仿宋_GB2312"/>
              </w:rPr>
              <w:t>2024</w:t>
            </w:r>
            <w:r>
              <w:rPr>
                <w:rFonts w:hint="eastAsia" w:ascii="仿宋_GB2312" w:hAnsi="仿宋_GB2312" w:eastAsia="仿宋_GB2312" w:cs="仿宋_GB2312"/>
              </w:rPr>
              <w:t>年</w:t>
            </w:r>
            <w:r>
              <w:rPr>
                <w:rFonts w:ascii="仿宋_GB2312" w:hAnsi="仿宋_GB2312" w:eastAsia="仿宋_GB2312" w:cs="仿宋_GB2312"/>
              </w:rPr>
              <w:t>12</w:t>
            </w:r>
            <w:r>
              <w:rPr>
                <w:rFonts w:hint="eastAsia" w:ascii="仿宋_GB2312" w:hAnsi="仿宋_GB2312" w:eastAsia="仿宋_GB2312" w:cs="仿宋_GB2312"/>
              </w:rPr>
              <w:t>月前完成并长期坚持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blHeader/>
        </w:trPr>
        <w:tc>
          <w:tcPr>
            <w:tcW w:w="1368" w:type="dxa"/>
            <w:vMerge w:val="continue"/>
            <w:vAlign w:val="center"/>
          </w:tcPr>
          <w:p>
            <w:pPr>
              <w:spacing w:line="360" w:lineRule="exact"/>
              <w:jc w:val="center"/>
              <w:rPr>
                <w:rFonts w:ascii="仿宋_GB2312" w:hAnsi="仿宋_GB2312" w:eastAsia="仿宋_GB2312" w:cs="Times New Roman"/>
              </w:rPr>
            </w:pP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38</w:t>
            </w:r>
          </w:p>
        </w:tc>
        <w:tc>
          <w:tcPr>
            <w:tcW w:w="1627"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提高数字法治政府建设水平。</w:t>
            </w:r>
          </w:p>
        </w:tc>
        <w:tc>
          <w:tcPr>
            <w:tcW w:w="6660"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推动数字政府与法治政府深度融合，推进政务数据有序共享，完善宁夏行政执法监督平台，持续提升法治政府建设数字化水平。</w:t>
            </w:r>
          </w:p>
        </w:tc>
        <w:tc>
          <w:tcPr>
            <w:tcW w:w="1385" w:type="dxa"/>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县政府办公室、司法局</w:t>
            </w:r>
          </w:p>
        </w:tc>
        <w:tc>
          <w:tcPr>
            <w:tcW w:w="1495"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县政府各部门、各乡镇</w:t>
            </w:r>
          </w:p>
        </w:tc>
        <w:tc>
          <w:tcPr>
            <w:tcW w:w="1266" w:type="dxa"/>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blHeader/>
        </w:trPr>
        <w:tc>
          <w:tcPr>
            <w:tcW w:w="1368" w:type="dxa"/>
            <w:vMerge w:val="restart"/>
            <w:vAlign w:val="center"/>
          </w:tcPr>
          <w:p>
            <w:pPr>
              <w:spacing w:line="360" w:lineRule="exact"/>
              <w:jc w:val="center"/>
              <w:rPr>
                <w:rFonts w:ascii="仿宋_GB2312" w:hAnsi="仿宋_GB2312" w:eastAsia="仿宋_GB2312" w:cs="Times New Roman"/>
              </w:rPr>
            </w:pPr>
            <w:r>
              <w:rPr>
                <w:rFonts w:hint="eastAsia" w:ascii="黑体" w:hAnsi="黑体" w:eastAsia="黑体" w:cs="黑体"/>
              </w:rPr>
              <w:t>三、加强组织领导，进一步增强法治政府建设的协同性实效性</w:t>
            </w: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39</w:t>
            </w:r>
          </w:p>
        </w:tc>
        <w:tc>
          <w:tcPr>
            <w:tcW w:w="1627" w:type="dxa"/>
            <w:vAlign w:val="center"/>
          </w:tcPr>
          <w:p>
            <w:pPr>
              <w:spacing w:line="360" w:lineRule="exact"/>
              <w:jc w:val="left"/>
              <w:rPr>
                <w:rFonts w:ascii="仿宋_GB2312" w:hAnsi="仿宋_GB2312" w:eastAsia="仿宋_GB2312" w:cs="Times New Roman"/>
                <w:spacing w:val="-11"/>
              </w:rPr>
            </w:pPr>
            <w:r>
              <w:rPr>
                <w:rFonts w:hint="eastAsia" w:ascii="仿宋_GB2312" w:hAnsi="仿宋_GB2312" w:eastAsia="仿宋_GB2312" w:cs="仿宋_GB2312"/>
                <w:spacing w:val="-11"/>
              </w:rPr>
              <w:t>强化工作推进。</w:t>
            </w:r>
          </w:p>
        </w:tc>
        <w:tc>
          <w:tcPr>
            <w:tcW w:w="6660"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坚持在县委统一领导下推进法治政府建设，加强整体谋划，定期指导督导，严格落实年度报告制度。县政府班子、县政府部门带头学法尊法守法用法，各级政府“一把手”切实履行第一责任，班子成员抓好分管领域的依法行政工作。加大督查考核力度，推动完善考核评价机制，以群众满意度、企业满意度衡量法治政府建设成效。</w:t>
            </w:r>
          </w:p>
        </w:tc>
        <w:tc>
          <w:tcPr>
            <w:tcW w:w="1385" w:type="dxa"/>
            <w:vMerge w:val="restart"/>
            <w:vAlign w:val="center"/>
          </w:tcPr>
          <w:p>
            <w:pPr>
              <w:spacing w:line="360" w:lineRule="exact"/>
              <w:jc w:val="left"/>
              <w:rPr>
                <w:rFonts w:ascii="仿宋_GB2312" w:hAnsi="仿宋_GB2312" w:eastAsia="仿宋_GB2312" w:cs="Times New Roman"/>
              </w:rPr>
            </w:pPr>
            <w:r>
              <w:rPr>
                <w:rFonts w:hint="eastAsia" w:ascii="仿宋_GB2312" w:hAnsi="仿宋_GB2312" w:eastAsia="仿宋_GB2312" w:cs="仿宋_GB2312"/>
              </w:rPr>
              <w:t>县政府办公室、司法局</w:t>
            </w:r>
          </w:p>
        </w:tc>
        <w:tc>
          <w:tcPr>
            <w:tcW w:w="1495" w:type="dxa"/>
            <w:vMerge w:val="restart"/>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各乡镇、政府各部门</w:t>
            </w:r>
          </w:p>
        </w:tc>
        <w:tc>
          <w:tcPr>
            <w:tcW w:w="1266" w:type="dxa"/>
            <w:vMerge w:val="restart"/>
            <w:vAlign w:val="center"/>
          </w:tcPr>
          <w:p>
            <w:pPr>
              <w:spacing w:line="360" w:lineRule="exact"/>
              <w:jc w:val="center"/>
              <w:rPr>
                <w:rFonts w:ascii="仿宋_GB2312" w:hAnsi="仿宋_GB2312" w:eastAsia="仿宋_GB2312" w:cs="Times New Roman"/>
              </w:rPr>
            </w:pPr>
            <w:r>
              <w:rPr>
                <w:rFonts w:hint="eastAsia" w:ascii="仿宋_GB2312" w:hAnsi="仿宋_GB2312" w:eastAsia="仿宋_GB2312" w:cs="仿宋_GB2312"/>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tblHeader/>
        </w:trPr>
        <w:tc>
          <w:tcPr>
            <w:tcW w:w="1368" w:type="dxa"/>
            <w:vMerge w:val="continue"/>
            <w:vAlign w:val="center"/>
          </w:tcPr>
          <w:p>
            <w:pPr>
              <w:spacing w:line="360" w:lineRule="exact"/>
              <w:jc w:val="center"/>
              <w:rPr>
                <w:rFonts w:ascii="仿宋_GB2312" w:hAnsi="仿宋_GB2312" w:eastAsia="仿宋_GB2312" w:cs="Times New Roman"/>
              </w:rPr>
            </w:pP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40</w:t>
            </w:r>
          </w:p>
        </w:tc>
        <w:tc>
          <w:tcPr>
            <w:tcW w:w="1627" w:type="dxa"/>
            <w:vAlign w:val="center"/>
          </w:tcPr>
          <w:p>
            <w:pPr>
              <w:spacing w:line="360" w:lineRule="exact"/>
              <w:jc w:val="left"/>
              <w:rPr>
                <w:rFonts w:ascii="仿宋_GB2312" w:hAnsi="仿宋_GB2312" w:eastAsia="仿宋_GB2312" w:cs="Times New Roman"/>
                <w:spacing w:val="-11"/>
              </w:rPr>
            </w:pPr>
            <w:r>
              <w:rPr>
                <w:rFonts w:hint="eastAsia" w:ascii="仿宋_GB2312" w:hAnsi="仿宋_GB2312" w:eastAsia="仿宋_GB2312" w:cs="仿宋_GB2312"/>
                <w:spacing w:val="-11"/>
              </w:rPr>
              <w:t>强化协调联动。</w:t>
            </w:r>
          </w:p>
        </w:tc>
        <w:tc>
          <w:tcPr>
            <w:tcW w:w="6660"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主动加强与党委、人大、政协工作部门联系沟通，不断健全完善府院联动、府检联动机制，强化信息共享、行刑衔接、诉源治理，共同推动依法行政。加强工作联动</w:t>
            </w:r>
            <w:r>
              <w:rPr>
                <w:rFonts w:ascii="仿宋_GB2312" w:hAnsi="仿宋_GB2312" w:eastAsia="仿宋_GB2312" w:cs="仿宋_GB2312"/>
              </w:rPr>
              <w:t>,</w:t>
            </w:r>
            <w:r>
              <w:rPr>
                <w:rFonts w:hint="eastAsia" w:ascii="仿宋_GB2312" w:hAnsi="仿宋_GB2312" w:eastAsia="仿宋_GB2312" w:cs="仿宋_GB2312"/>
              </w:rPr>
              <w:t>健全定期会商、联席会议等制度，形成工作合力。加强各乡镇、各部门法治机构建设，优化基层司法所职能定位，保障人员力量、经费等与职责任务相适应。</w:t>
            </w:r>
          </w:p>
        </w:tc>
        <w:tc>
          <w:tcPr>
            <w:tcW w:w="1385" w:type="dxa"/>
            <w:vMerge w:val="continue"/>
            <w:vAlign w:val="center"/>
          </w:tcPr>
          <w:p>
            <w:pPr>
              <w:spacing w:line="360" w:lineRule="exact"/>
              <w:jc w:val="left"/>
              <w:rPr>
                <w:rFonts w:ascii="仿宋_GB2312" w:hAnsi="仿宋_GB2312" w:eastAsia="仿宋_GB2312" w:cs="Times New Roman"/>
              </w:rPr>
            </w:pPr>
          </w:p>
        </w:tc>
        <w:tc>
          <w:tcPr>
            <w:tcW w:w="1495" w:type="dxa"/>
            <w:vMerge w:val="continue"/>
            <w:vAlign w:val="center"/>
          </w:tcPr>
          <w:p>
            <w:pPr>
              <w:spacing w:line="360" w:lineRule="exact"/>
              <w:jc w:val="center"/>
              <w:rPr>
                <w:rFonts w:ascii="仿宋_GB2312" w:hAnsi="仿宋_GB2312" w:eastAsia="仿宋_GB2312" w:cs="Times New Roman"/>
              </w:rPr>
            </w:pPr>
          </w:p>
        </w:tc>
        <w:tc>
          <w:tcPr>
            <w:tcW w:w="1266" w:type="dxa"/>
            <w:vMerge w:val="continue"/>
            <w:vAlign w:val="center"/>
          </w:tcPr>
          <w:p>
            <w:pPr>
              <w:spacing w:line="360" w:lineRule="exact"/>
              <w:jc w:val="center"/>
              <w:rPr>
                <w:rFonts w:ascii="仿宋_GB2312" w:hAns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blHeader/>
        </w:trPr>
        <w:tc>
          <w:tcPr>
            <w:tcW w:w="1368" w:type="dxa"/>
            <w:vMerge w:val="continue"/>
            <w:vAlign w:val="center"/>
          </w:tcPr>
          <w:p>
            <w:pPr>
              <w:spacing w:line="360" w:lineRule="exact"/>
              <w:jc w:val="center"/>
              <w:rPr>
                <w:rFonts w:ascii="仿宋_GB2312" w:hAnsi="仿宋_GB2312" w:eastAsia="仿宋_GB2312" w:cs="Times New Roman"/>
              </w:rPr>
            </w:pPr>
          </w:p>
        </w:tc>
        <w:tc>
          <w:tcPr>
            <w:tcW w:w="533" w:type="dxa"/>
            <w:vAlign w:val="center"/>
          </w:tcPr>
          <w:p>
            <w:pPr>
              <w:spacing w:line="360" w:lineRule="exact"/>
              <w:jc w:val="center"/>
              <w:rPr>
                <w:rFonts w:ascii="仿宋_GB2312" w:hAnsi="仿宋_GB2312" w:eastAsia="仿宋_GB2312" w:cs="仿宋_GB2312"/>
              </w:rPr>
            </w:pPr>
            <w:r>
              <w:rPr>
                <w:rFonts w:ascii="仿宋_GB2312" w:hAnsi="仿宋_GB2312" w:eastAsia="仿宋_GB2312" w:cs="仿宋_GB2312"/>
              </w:rPr>
              <w:t>41</w:t>
            </w:r>
          </w:p>
        </w:tc>
        <w:tc>
          <w:tcPr>
            <w:tcW w:w="1627" w:type="dxa"/>
            <w:vAlign w:val="center"/>
          </w:tcPr>
          <w:p>
            <w:pPr>
              <w:spacing w:line="360" w:lineRule="exact"/>
              <w:jc w:val="left"/>
              <w:rPr>
                <w:rFonts w:ascii="仿宋_GB2312" w:hAnsi="仿宋_GB2312" w:eastAsia="仿宋_GB2312" w:cs="Times New Roman"/>
                <w:spacing w:val="-11"/>
              </w:rPr>
            </w:pPr>
            <w:r>
              <w:rPr>
                <w:rFonts w:hint="eastAsia" w:ascii="仿宋_GB2312" w:hAnsi="仿宋_GB2312" w:eastAsia="仿宋_GB2312" w:cs="仿宋_GB2312"/>
                <w:spacing w:val="-11"/>
              </w:rPr>
              <w:t>强化宣传引导。</w:t>
            </w:r>
          </w:p>
        </w:tc>
        <w:tc>
          <w:tcPr>
            <w:tcW w:w="6660" w:type="dxa"/>
            <w:vAlign w:val="center"/>
          </w:tcPr>
          <w:p>
            <w:pPr>
              <w:spacing w:line="360" w:lineRule="exact"/>
              <w:rPr>
                <w:rFonts w:ascii="仿宋_GB2312" w:hAnsi="仿宋_GB2312" w:eastAsia="仿宋_GB2312" w:cs="Times New Roman"/>
              </w:rPr>
            </w:pPr>
            <w:r>
              <w:rPr>
                <w:rFonts w:hint="eastAsia" w:ascii="仿宋_GB2312" w:hAnsi="仿宋_GB2312" w:eastAsia="仿宋_GB2312" w:cs="仿宋_GB2312"/>
              </w:rPr>
              <w:t>深入实施公民法治素养提升行动，常态化开展法治宣传“七进”等活动，扎实推进“八五”普法和公共法律服务。行政机关工作人员带头强化法治思维，引导群众增强法治意识。深入宣传法治政府建设的做法成效，加强涉法社会热点和典型案例事件宣传解读引导，营造推进法治政府建设的良好氛围。</w:t>
            </w:r>
          </w:p>
        </w:tc>
        <w:tc>
          <w:tcPr>
            <w:tcW w:w="1385" w:type="dxa"/>
            <w:vMerge w:val="continue"/>
            <w:vAlign w:val="center"/>
          </w:tcPr>
          <w:p>
            <w:pPr>
              <w:spacing w:line="360" w:lineRule="exact"/>
              <w:jc w:val="left"/>
              <w:rPr>
                <w:rFonts w:ascii="仿宋_GB2312" w:hAnsi="仿宋_GB2312" w:eastAsia="仿宋_GB2312" w:cs="Times New Roman"/>
              </w:rPr>
            </w:pPr>
          </w:p>
        </w:tc>
        <w:tc>
          <w:tcPr>
            <w:tcW w:w="1495" w:type="dxa"/>
            <w:vMerge w:val="continue"/>
            <w:vAlign w:val="center"/>
          </w:tcPr>
          <w:p>
            <w:pPr>
              <w:spacing w:line="360" w:lineRule="exact"/>
              <w:jc w:val="center"/>
              <w:rPr>
                <w:rFonts w:ascii="仿宋_GB2312" w:hAnsi="仿宋_GB2312" w:eastAsia="仿宋_GB2312" w:cs="Times New Roman"/>
              </w:rPr>
            </w:pPr>
          </w:p>
        </w:tc>
        <w:tc>
          <w:tcPr>
            <w:tcW w:w="1266" w:type="dxa"/>
            <w:vMerge w:val="continue"/>
            <w:vAlign w:val="center"/>
          </w:tcPr>
          <w:p>
            <w:pPr>
              <w:spacing w:line="360" w:lineRule="exact"/>
              <w:jc w:val="center"/>
              <w:rPr>
                <w:rFonts w:ascii="仿宋_GB2312" w:hAnsi="仿宋_GB2312" w:eastAsia="仿宋_GB2312" w:cs="Times New Roman"/>
              </w:rPr>
            </w:pPr>
          </w:p>
        </w:tc>
      </w:tr>
    </w:tbl>
    <w:p>
      <w:pPr>
        <w:pStyle w:val="2"/>
        <w:spacing w:after="0" w:line="120" w:lineRule="exact"/>
        <w:ind w:left="0" w:leftChars="0" w:firstLine="0" w:firstLineChars="0"/>
        <w:rPr>
          <w:rFonts w:cs="Times New Roman"/>
        </w:rPr>
      </w:pPr>
    </w:p>
    <w:p>
      <w:pPr>
        <w:rPr>
          <w:rFonts w:cs="Times New Roman"/>
        </w:rPr>
      </w:pPr>
    </w:p>
    <w:p>
      <w:pPr>
        <w:pStyle w:val="2"/>
        <w:ind w:left="31680" w:firstLine="31680"/>
        <w:rPr>
          <w:rFonts w:cs="Times New Roman"/>
        </w:rPr>
        <w:sectPr>
          <w:pgSz w:w="16838" w:h="11906" w:orient="landscape"/>
          <w:pgMar w:top="1588" w:right="1474" w:bottom="1474" w:left="1474" w:header="680" w:footer="1418"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DEyMGI0ZmI4M2JjMDkxZGRjMGRiMGRkNTU1YzkifQ=="/>
  </w:docVars>
  <w:rsids>
    <w:rsidRoot w:val="174F2527"/>
    <w:rsid w:val="174F2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spacing w:after="120"/>
      <w:ind w:left="420" w:leftChars="200" w:firstLine="420" w:firstLineChars="200"/>
    </w:pPr>
  </w:style>
  <w:style w:type="paragraph" w:styleId="3">
    <w:name w:val="Body Text Indent"/>
    <w:basedOn w:val="1"/>
    <w:next w:val="1"/>
    <w:qFormat/>
    <w:uiPriority w:val="99"/>
    <w:pPr>
      <w:ind w:firstLine="630"/>
    </w:pPr>
    <w:rPr>
      <w:sz w:val="32"/>
      <w:szCs w:val="32"/>
    </w:rPr>
  </w:style>
  <w:style w:type="paragraph" w:styleId="4">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 w:hAnsi="??" w:cs="??"/>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4</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2024-07-15T01:48:00Z</dcterms:created>
  <dc:creator>糖果</dc:creator>
  <cp:lastModifiedBy>糖果</cp:lastModifiedBy>
  <dcterms:modified xsi:type="dcterms:W3CDTF">2024-07-15T01:53:47Z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C6F74D27BDD6449CA0887F5F1327CC7D_11</vt:lpwstr>
  </property>
</Properties>
</file>