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r>
        <w:rPr>
          <w:rFonts w:hint="eastAsia" w:ascii="黑体" w:hAnsi="黑体" w:eastAsia="黑体" w:cs="黑体"/>
          <w:sz w:val="32"/>
          <w:szCs w:val="32"/>
        </w:rPr>
        <w:t>附件1</w:t>
      </w:r>
    </w:p>
    <w:p>
      <w:pPr>
        <w:spacing w:line="800" w:lineRule="exact"/>
        <w:jc w:val="center"/>
        <w:rPr>
          <w:rFonts w:hint="eastAsia" w:ascii="方正小标宋_GBK" w:eastAsia="方正小标宋_GBK"/>
          <w:sz w:val="36"/>
          <w:szCs w:val="36"/>
        </w:rPr>
      </w:pPr>
      <w:bookmarkStart w:id="0" w:name="_GoBack"/>
      <w:r>
        <w:rPr>
          <w:rFonts w:hint="eastAsia" w:ascii="方正小标宋_GBK" w:hAnsi="方正小标宋简体" w:eastAsia="方正小标宋_GBK" w:cs="方正小标宋简体"/>
          <w:sz w:val="44"/>
          <w:szCs w:val="44"/>
        </w:rPr>
        <w:t>平罗县</w:t>
      </w:r>
      <w:r>
        <w:rPr>
          <w:rFonts w:hint="eastAsia" w:ascii="方正小标宋_GBK" w:hAnsi="方正小标宋_GBK" w:eastAsia="方正小标宋_GBK" w:cs="方正小标宋_GBK"/>
          <w:sz w:val="44"/>
          <w:szCs w:val="44"/>
        </w:rPr>
        <w:t>营商环境提升行动工作</w:t>
      </w:r>
      <w:r>
        <w:rPr>
          <w:rFonts w:hint="eastAsia" w:ascii="方正小标宋_GBK" w:hAnsi="方正小标宋简体" w:eastAsia="方正小标宋_GBK" w:cs="方正小标宋简体"/>
          <w:sz w:val="44"/>
          <w:szCs w:val="44"/>
        </w:rPr>
        <w:t>任务清单</w:t>
      </w:r>
    </w:p>
    <w:bookmarkEnd w:id="0"/>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33"/>
        <w:gridCol w:w="7962"/>
        <w:gridCol w:w="1402"/>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75" w:type="pct"/>
            <w:noWrap w:val="0"/>
            <w:vAlign w:val="center"/>
          </w:tcPr>
          <w:p>
            <w:pPr>
              <w:spacing w:line="4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750" w:type="pct"/>
            <w:noWrap w:val="0"/>
            <w:vAlign w:val="center"/>
          </w:tcPr>
          <w:p>
            <w:pPr>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重点任务</w:t>
            </w:r>
          </w:p>
        </w:tc>
        <w:tc>
          <w:tcPr>
            <w:tcW w:w="2800" w:type="pct"/>
            <w:noWrap w:val="0"/>
            <w:vAlign w:val="center"/>
          </w:tcPr>
          <w:p>
            <w:pPr>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具体落实措施</w:t>
            </w:r>
          </w:p>
        </w:tc>
        <w:tc>
          <w:tcPr>
            <w:tcW w:w="493" w:type="pct"/>
            <w:noWrap w:val="0"/>
            <w:vAlign w:val="center"/>
          </w:tcPr>
          <w:p>
            <w:pPr>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责任单位</w:t>
            </w:r>
          </w:p>
        </w:tc>
        <w:tc>
          <w:tcPr>
            <w:tcW w:w="682" w:type="pct"/>
            <w:noWrap w:val="0"/>
            <w:vAlign w:val="center"/>
          </w:tcPr>
          <w:p>
            <w:pPr>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000" w:type="pct"/>
            <w:gridSpan w:val="5"/>
            <w:noWrap w:val="0"/>
            <w:vAlign w:val="center"/>
          </w:tcPr>
          <w:p>
            <w:pPr>
              <w:spacing w:line="500" w:lineRule="exact"/>
              <w:rPr>
                <w:rFonts w:hint="eastAsia" w:ascii="黑体" w:hAnsi="黑体" w:eastAsia="黑体" w:cs="黑体"/>
                <w:sz w:val="28"/>
                <w:szCs w:val="28"/>
              </w:rPr>
            </w:pPr>
            <w:r>
              <w:rPr>
                <w:rFonts w:hint="eastAsia" w:ascii="黑体" w:hAnsi="黑体" w:eastAsia="黑体" w:cs="黑体"/>
                <w:sz w:val="28"/>
                <w:szCs w:val="28"/>
              </w:rPr>
              <w:t>一、企业开办注销领域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75" w:type="pc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50" w:type="pct"/>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2"/>
                <w:szCs w:val="22"/>
              </w:rPr>
              <w:t>全面推行“1+N”联办服务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1.拓展“1张营业执照+N张许可证”设立、变更、注销联办服务，稳步推进证照联办服务由食品、药品等领域向卫生、烟草等更宽领域扩展。</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2"/>
                <w:szCs w:val="22"/>
              </w:rPr>
              <w:t>烟草局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便利准营事项办理</w:t>
            </w:r>
          </w:p>
        </w:tc>
        <w:tc>
          <w:tcPr>
            <w:tcW w:w="2800" w:type="pct"/>
            <w:noWrap w:val="0"/>
            <w:vAlign w:val="center"/>
          </w:tcPr>
          <w:p>
            <w:pPr>
              <w:pStyle w:val="3"/>
              <w:spacing w:line="320" w:lineRule="exact"/>
              <w:ind w:firstLine="0"/>
              <w:jc w:val="left"/>
              <w:rPr>
                <w:rFonts w:ascii="仿宋_GB2312" w:hAnsi="仿宋_GB2312" w:cs="仿宋_GB2312"/>
                <w:sz w:val="22"/>
                <w:szCs w:val="22"/>
              </w:rPr>
            </w:pPr>
            <w:r>
              <w:rPr>
                <w:rFonts w:hint="eastAsia" w:ascii="仿宋_GB2312" w:hAnsi="仿宋_GB2312" w:cs="仿宋_GB2312"/>
                <w:sz w:val="22"/>
                <w:szCs w:val="22"/>
              </w:rPr>
              <w:t>1.</w:t>
            </w:r>
            <w:r>
              <w:rPr>
                <w:rFonts w:ascii="仿宋_GB2312" w:hAnsi="仿宋_GB2312" w:cs="仿宋_GB2312"/>
                <w:sz w:val="22"/>
                <w:szCs w:val="22"/>
              </w:rPr>
              <w:t>对通过自动设备或仅从事食品经营管理活动的食品经营者，准予在取得一个经营场所的许可或备案后在多个地址从事经营活动。</w:t>
            </w:r>
          </w:p>
          <w:p>
            <w:pPr>
              <w:pStyle w:val="3"/>
              <w:spacing w:line="320" w:lineRule="exact"/>
              <w:ind w:firstLine="0"/>
              <w:jc w:val="left"/>
              <w:rPr>
                <w:rFonts w:ascii="仿宋_GB2312" w:hAnsi="仿宋_GB2312" w:cs="仿宋_GB2312"/>
                <w:sz w:val="22"/>
                <w:szCs w:val="22"/>
              </w:rPr>
            </w:pPr>
            <w:r>
              <w:rPr>
                <w:rFonts w:hint="eastAsia" w:ascii="仿宋_GB2312" w:hAnsi="仿宋_GB2312" w:cs="仿宋_GB2312"/>
                <w:sz w:val="22"/>
                <w:szCs w:val="22"/>
              </w:rPr>
              <w:t>2.</w:t>
            </w:r>
            <w:r>
              <w:rPr>
                <w:rFonts w:ascii="仿宋_GB2312" w:hAnsi="仿宋_GB2312" w:cs="仿宋_GB2312"/>
                <w:sz w:val="22"/>
                <w:szCs w:val="22"/>
              </w:rPr>
              <w:t>优化食品经营现场核查，以变更方式实现单体药店转为零售连锁经营，提高许可证办理效率。</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进一步规范企业登记注册行为</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1.贯彻落实新修订的《中华人民共和国公司法》，规范企业名称核准、注册资本登记等业务办理。</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2.加强经营主体数据监测和经营地址、注册资本认缴等监管，依法严厉打击虚假登记注册行为。</w:t>
            </w:r>
          </w:p>
        </w:tc>
        <w:tc>
          <w:tcPr>
            <w:tcW w:w="493"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审批局</w:t>
            </w:r>
          </w:p>
        </w:tc>
        <w:tc>
          <w:tcPr>
            <w:tcW w:w="682"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开展市场准入准营便利度提升行动</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1.推进全县宾馆、零售药店等15个行业许可事项与营业执照一次申请、并联审批、限时办结，持续降低准营成本。</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高效办成企业一揽子“一件事”</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1.为企业提供全生命周期服务，全面推进企业开办、企业信息变更、企业注销登记、开办运输企业、开办餐饮店、企业破产信息核查、企业员工录用等“高效办成一件事”改革。</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税务局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人社局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交通局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5"/>
            <w:noWrap w:val="0"/>
            <w:vAlign w:val="center"/>
          </w:tcPr>
          <w:p>
            <w:pPr>
              <w:spacing w:line="500" w:lineRule="exact"/>
              <w:rPr>
                <w:rFonts w:hint="eastAsia" w:ascii="黑体" w:hAnsi="黑体" w:eastAsia="黑体" w:cs="黑体"/>
                <w:sz w:val="28"/>
                <w:szCs w:val="28"/>
              </w:rPr>
            </w:pPr>
            <w:r>
              <w:rPr>
                <w:rFonts w:hint="eastAsia" w:ascii="黑体" w:hAnsi="黑体" w:eastAsia="黑体" w:cs="黑体"/>
                <w:sz w:val="28"/>
                <w:szCs w:val="28"/>
              </w:rPr>
              <w:t>二、工程建设项目报建领域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进一步提升市政报装便利度</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持续优化水电气暖网联合报装接入服务流程，推行市政报装外线工程涉及的工程规划、市政设施建设类审批、工程建设涉及城市绿地、树木审批等事项全程在线并联办理，推动实现市政报装接入“高效办成一件事”。</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推行全流程全环节事项清单化管理</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1.将工程建设项目全流程涉及的行政许可、行政确认、行政备案、评估评审、市政报装接入等事项全部纳入清单，过程时限纳入系统计时，进一步修改完善办事指南，实现同一事项无差别受理、同标准办理。</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深入推进集成联合办理</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1.完善并联审批协同机制，推动更多关联性强、办事需求量大的审批事项集成化办理。</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2.对符合条件的项目推行用地规划许可证、工程规划许可证、消防设计审查以及施工许可证“多证联发”。</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3.持续深化项目竣工验收与不动产首次登记相融合的“验登合一”模式，实现“验收即发证”。</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住建局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推进工程建设项目无纸化报建审批和数据归集共享</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1.加快推进项目申报审批全流程电子印章、电子证照、电子材料、电子档案应用，按照数据标准规范归集工程建设项目审批监管全生命周期数据资源，实现审批过程、审批结果实时共享、全程共用。</w:t>
            </w:r>
          </w:p>
        </w:tc>
        <w:tc>
          <w:tcPr>
            <w:tcW w:w="493"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审批局</w:t>
            </w:r>
          </w:p>
        </w:tc>
        <w:tc>
          <w:tcPr>
            <w:tcW w:w="682"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拓展深化工程建设项目远程视频勘验审批</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1.拓展适用视频审批事项范围，优化视频勘验流程、勘验要点、操作指南，持续提升审批效率、企业办事便利度。</w:t>
            </w:r>
          </w:p>
        </w:tc>
        <w:tc>
          <w:tcPr>
            <w:tcW w:w="493"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加快推进工程建设项目智能审批</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1.积极推行“AI预审+人工复核”智能审批模式，推进建设用地规划许可、建设工程规划许可、建筑工程施工许可等事项智能审批，进一步压减审批时间。</w:t>
            </w:r>
          </w:p>
        </w:tc>
        <w:tc>
          <w:tcPr>
            <w:tcW w:w="493"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gridSpan w:val="5"/>
            <w:noWrap w:val="0"/>
            <w:vAlign w:val="center"/>
          </w:tcPr>
          <w:p>
            <w:pPr>
              <w:spacing w:line="320" w:lineRule="exact"/>
              <w:rPr>
                <w:rFonts w:hint="eastAsia" w:ascii="黑体" w:hAnsi="黑体" w:eastAsia="黑体" w:cs="黑体"/>
                <w:sz w:val="30"/>
                <w:szCs w:val="30"/>
              </w:rPr>
            </w:pPr>
            <w:r>
              <w:rPr>
                <w:rFonts w:hint="eastAsia" w:ascii="黑体" w:hAnsi="黑体" w:eastAsia="黑体" w:cs="黑体"/>
                <w:sz w:val="30"/>
                <w:szCs w:val="30"/>
              </w:rPr>
              <w:t>三、政务服务领域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落地落实“高效办成一件事”</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建立健全“高效办成一件事”重点事项清单管理机制和常态化推进机制，积极推进灵活就业、信用修复、企业上市合法合规信息核查等“13+1+7+N”事项“一件事一次办”，最大限度压减企业办事流程、办理时间、跑动次数。</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2.聚焦企业跨区域经营和群众异地办事需求，持续推动更多政务服务事项省内通办、跨省通办。</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5" w:type="pct"/>
            <w:noWrap w:val="0"/>
            <w:vAlign w:val="center"/>
          </w:tcPr>
          <w:p>
            <w:pPr>
              <w:spacing w:line="320" w:lineRule="exact"/>
              <w:jc w:val="center"/>
              <w:rPr>
                <w:rFonts w:ascii="仿宋_GB2312" w:hAnsi="仿宋_GB2312" w:eastAsia="仿宋_GB2312" w:cs="仿宋_GB2312"/>
                <w:sz w:val="24"/>
                <w:lang w:val="en"/>
              </w:rPr>
            </w:pPr>
            <w:r>
              <w:rPr>
                <w:rFonts w:ascii="仿宋_GB2312" w:hAnsi="仿宋_GB2312" w:eastAsia="仿宋_GB2312" w:cs="仿宋_GB2312"/>
                <w:sz w:val="24"/>
                <w:lang w:val="en"/>
              </w:rPr>
              <w:t>13</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落实政务服务线上线下融合和向基层延伸试点</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1.推进线上线下融合试点工作全面落地，打造乡村两级便民服务场所标准化示范样板。</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2.推广应用全区“一窗受理”业务系统，推进高频事项向基层延伸，方便企业、群众就近办、一次办。</w:t>
            </w:r>
          </w:p>
        </w:tc>
        <w:tc>
          <w:tcPr>
            <w:tcW w:w="493"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审批局</w:t>
            </w:r>
          </w:p>
        </w:tc>
        <w:tc>
          <w:tcPr>
            <w:tcW w:w="682"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持续深化政务服务标准化规范化便利化建设</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1.加强政务服务窗口标准化管理，全覆盖设置综合窗口，按照统一要求提供规范化服务。</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2.优化政务大厅功能区布局，打造特色服务专区，丰富政务大厅服务功能。</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规范提升线下服务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1.政务服务中心全面实行“一站集成”，全面推行“周末不打烊”，增加节假日预约服务等项目，帮助民营企业解决急迫难题。</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规范电子证照管理</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1.全面实现电子证照与实体证照同步签发，及时开展失效电子证照清理。</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2.推动电子证照跨区域、跨部门互认调用，不断扩大应用领域，提升电子证照应用率。</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noWrap w:val="0"/>
            <w:vAlign w:val="center"/>
          </w:tcPr>
          <w:p>
            <w:pPr>
              <w:spacing w:line="320" w:lineRule="exact"/>
              <w:rPr>
                <w:rFonts w:hint="eastAsia" w:ascii="黑体" w:hAnsi="黑体" w:eastAsia="黑体" w:cs="黑体"/>
                <w:sz w:val="30"/>
                <w:szCs w:val="30"/>
              </w:rPr>
            </w:pPr>
            <w:r>
              <w:rPr>
                <w:rFonts w:hint="eastAsia" w:ascii="黑体" w:hAnsi="黑体" w:eastAsia="黑体" w:cs="黑体"/>
                <w:sz w:val="30"/>
                <w:szCs w:val="30"/>
              </w:rPr>
              <w:t>四、获得电力领域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深入推进重点企业“开门接电”</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1.加快电网配套项目规划建设，提前延伸配电网至企业建筑区划红线，实现企业“入驻即用电”。</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2.深化重点项目用电报装全程代办服务，打造“高级客户经理团队”，建立“意向接电+约时送电”契约式服务机制，助力重点项目早开工、早送电、早投产。</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国网平罗供电公司</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优化供电服务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1.提前介入了解重点企业用电诉求，指派专人与企业对接，实行“一对一”“点对点”供电服务，开辟办电“绿色通道”，精准对接用电需求、精准制定供电方案、精准解决客户难题。</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国网平罗供电公司</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拓展“政务+电力”服务场景</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1.拓展供电业务组合联办场景，实现“过户+改类”“过户+增容”“过户+退费”“销户+退费”“更名+增值税变更”等供电业务“一次办”。</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国网平罗供电公司</w:t>
            </w:r>
          </w:p>
        </w:tc>
        <w:tc>
          <w:tcPr>
            <w:tcW w:w="682"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2024年10月底前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75" w:type="pct"/>
            <w:noWrap w:val="0"/>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20</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提升供电服务质量</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1.开展供电质量问题攻坚治理专项行动，实现供电质量问题动态清零。</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2.迭代升级配网故障精准感知、自愈能力建设，实现“煤改电”、分布式光伏等敏感负荷全量监测和负荷一键转供全覆盖，C类供电区域故障“秒”级自愈，核心区户均停电时间降至2.3小时以内。</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国网平罗供电公司</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21</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出台简化充电桩报装政策</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1.对具备安装条件的小区，由供电部门提前协商物业服务企业（或业委会）双方签订《电动汽车充电桩安装服务合作协议》后，对小区内个人产权车位报装充电设施，推行充电桩免物业登记证明办电。</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住建局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国网平罗供电公司</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五、获得用水用气用热等领域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提升供水供气服务可靠性</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1.实行供水供气服务可靠性承诺制，推行供水、供气服务可靠性管制计划，探索建立健全供水供气合同约定范围内供给不足补偿机制。</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德渊集团</w:t>
            </w:r>
          </w:p>
          <w:p>
            <w:pPr>
              <w:spacing w:line="320" w:lineRule="exact"/>
              <w:jc w:val="center"/>
            </w:pPr>
            <w:r>
              <w:rPr>
                <w:rFonts w:hint="eastAsia" w:ascii="仿宋_GB2312" w:hAnsi="仿宋_GB2312" w:eastAsia="仿宋_GB2312" w:cs="仿宋_GB2312"/>
                <w:sz w:val="22"/>
                <w:szCs w:val="22"/>
              </w:rPr>
              <w:t>星泽燃气</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优化水电气网联合报装服务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1.落实“一窗受理、一表申请、联合踏勘、并联审批”要求，深入推进水电气网报装和工程建设项目审批等关联事项跨领域集成办理。</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2.公布水电气网报装服务时限，连接服务满意率98%以上。</w:t>
            </w:r>
          </w:p>
        </w:tc>
        <w:tc>
          <w:tcPr>
            <w:tcW w:w="493"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审批局</w:t>
            </w:r>
          </w:p>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国网平罗供电公司</w:t>
            </w:r>
          </w:p>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住建局</w:t>
            </w:r>
          </w:p>
        </w:tc>
        <w:tc>
          <w:tcPr>
            <w:tcW w:w="682" w:type="pct"/>
            <w:noWrap w:val="0"/>
            <w:vAlign w:val="center"/>
          </w:tcPr>
          <w:p>
            <w:pPr>
              <w:pStyle w:val="3"/>
              <w:spacing w:line="320" w:lineRule="exact"/>
              <w:ind w:firstLine="0"/>
              <w:jc w:val="center"/>
              <w:rPr>
                <w:rFonts w:hint="eastAsia" w:ascii="仿宋_GB2312" w:hAnsi="仿宋_GB2312" w:cs="仿宋_GB2312"/>
                <w:sz w:val="22"/>
                <w:szCs w:val="22"/>
              </w:rPr>
            </w:pPr>
            <w:r>
              <w:rPr>
                <w:rFonts w:hint="eastAsia" w:ascii="仿宋_GB2312" w:hAnsi="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六、不动产登记领域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推行水电气暖与不动产联合过户</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1.全面推进二手房转移登记及水电气暖联合过户“一件事”，实现不动产转移登记与水电气暖过户“一窗受理、联动办理”的“一站式”服务。</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德渊集团</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星泽燃气</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国网平罗供电公司</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75" w:type="pct"/>
            <w:noWrap w:val="0"/>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25</w:t>
            </w:r>
          </w:p>
        </w:tc>
        <w:tc>
          <w:tcPr>
            <w:tcW w:w="750" w:type="pct"/>
            <w:noWrap w:val="0"/>
            <w:vAlign w:val="center"/>
          </w:tcPr>
          <w:p>
            <w:pPr>
              <w:spacing w:line="32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推进多元化的用地保障</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1.大力推行产业用地“标准地”出让，新增工业项目用地40%以上采用“标准地”供应。</w:t>
            </w:r>
          </w:p>
          <w:p>
            <w:pPr>
              <w:pStyle w:val="3"/>
              <w:spacing w:line="320" w:lineRule="exact"/>
              <w:ind w:firstLine="0"/>
              <w:jc w:val="left"/>
              <w:rPr>
                <w:rFonts w:ascii="仿宋_GB2312" w:hAnsi="仿宋_GB2312" w:cs="仿宋_GB2312"/>
                <w:sz w:val="22"/>
                <w:szCs w:val="22"/>
              </w:rPr>
            </w:pPr>
            <w:r>
              <w:rPr>
                <w:rFonts w:hint="eastAsia" w:ascii="仿宋_GB2312" w:hAnsi="仿宋_GB2312" w:cs="仿宋_GB2312"/>
                <w:sz w:val="22"/>
                <w:szCs w:val="22"/>
              </w:rPr>
              <w:t>2.探索满足产业链用地需求，对产业关联、用地兼容、基础设施共享的复合型项目可按规定实行混合产业用地配置政策。</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26</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建立“一码关联”地籍调查新机制</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深化不动产单元代码应用，以“码”关联项目建设涉及的自然资源、住房城乡建设、税务等相关部门信息，有效支撑项目用地、建设、规划许可、网签备案、竣工验收、交地（房）即交证等全生命周期高效服务。</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推行登记业务“合并办”</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1.推行转移登记与抵押登记、预告登记与预告抵押登记等业务“合并办”，减少办理环节。</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2.实行企业纯土地抵押、在建工程抵押、房地一体抵押“即申即办”。</w:t>
            </w:r>
          </w:p>
          <w:p>
            <w:pPr>
              <w:pStyle w:val="3"/>
              <w:spacing w:line="320" w:lineRule="exact"/>
              <w:ind w:firstLine="0"/>
              <w:jc w:val="left"/>
              <w:rPr>
                <w:rFonts w:hint="eastAsia" w:ascii="仿宋_GB2312" w:hAnsi="仿宋_GB2312" w:cs="仿宋_GB2312"/>
                <w:sz w:val="22"/>
                <w:szCs w:val="22"/>
              </w:rPr>
            </w:pPr>
            <w:r>
              <w:rPr>
                <w:rFonts w:ascii="仿宋_GB2312" w:hAnsi="仿宋_GB2312" w:cs="仿宋_GB2312"/>
                <w:sz w:val="22"/>
                <w:szCs w:val="22"/>
                <w:lang w:val="en"/>
              </w:rPr>
              <w:t>3.</w:t>
            </w:r>
            <w:r>
              <w:rPr>
                <w:rFonts w:hint="eastAsia" w:ascii="仿宋_GB2312" w:hAnsi="仿宋_GB2312" w:cs="仿宋_GB2312"/>
                <w:sz w:val="22"/>
                <w:szCs w:val="22"/>
              </w:rPr>
              <w:t>全面化解城镇住宅“办证难”问题，不断提升办理城镇住宅不动产权证便利化水平。</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七、人力资源服务领域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28</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支持民营企业招才引才</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1.开展民营企业招聘月等活动“10+N”专项服务，加大招聘活动频次，通过直播带岗、线上和线下招聘等方式，帮助和支持民营企业招才引才，提高招聘服务精准性和覆盖面。</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人社局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75" w:type="pc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加快民营企业人才培养</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1.优化提升就业创业服务，深入开展政府补贴性职业技能培训，不断提高劳动者技能水平。</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2.发挥民营企业职工培训主体作用，引导民营企业建立职工技能培训中心和实习实训基地。</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人社局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支持民营企业稳岗扩岗</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1.突出就业优先导向，打好援企稳岗、助企扩岗等“组合拳”，城镇调查失业率控制在5.5%以内。</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2.落实灵活就业劳动用工和社会保障政策，培育创业实体450个，创业带动就业3000人以上。</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人社局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31</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深入实施就业创业优先工程</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1.强化就业优先政策，综合运用各类就业创业政策措施，强化民营企业和中小微企业稳岗扩岗支持和帮扶。</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2.加强民营企业用工和政策保障，深入挖掘岗位供给，多渠道推送就业创业扶持政策，提供“一对一”和“点对点”用工服务。</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人社局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加大民营企业创业扶持</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1.构建创业培训、贷款、孵化、补贴、服务“五创联动”体系，推动优质创业服务资源聚集，为民营企业提供“创业政策+创业培训+创业贷款+创业服务”一体化支持，不断提升创业服务能力和水平。</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2.加大创业担保贷款扶持力度，进一步降低反担保门槛，提高贷款额度，切实解决民营企业融资难题。</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人社局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18" w:type="pct"/>
            <w:gridSpan w:val="4"/>
            <w:noWrap w:val="0"/>
            <w:vAlign w:val="center"/>
          </w:tcPr>
          <w:p>
            <w:pPr>
              <w:spacing w:line="320" w:lineRule="exact"/>
              <w:jc w:val="left"/>
              <w:rPr>
                <w:rFonts w:hint="eastAsia" w:ascii="仿宋_GB2312" w:hAnsi="仿宋_GB2312" w:eastAsia="仿宋_GB2312" w:cs="仿宋_GB2312"/>
                <w:sz w:val="22"/>
                <w:szCs w:val="22"/>
              </w:rPr>
            </w:pPr>
            <w:r>
              <w:rPr>
                <w:rFonts w:hint="eastAsia" w:ascii="黑体" w:hAnsi="黑体" w:eastAsia="黑体" w:cs="黑体"/>
                <w:sz w:val="30"/>
                <w:szCs w:val="30"/>
              </w:rPr>
              <w:t>八、招投标领域</w:t>
            </w:r>
          </w:p>
        </w:tc>
        <w:tc>
          <w:tcPr>
            <w:tcW w:w="682" w:type="pct"/>
            <w:noWrap w:val="0"/>
            <w:vAlign w:val="center"/>
          </w:tcPr>
          <w:p>
            <w:pPr>
              <w:spacing w:line="320" w:lineRule="exact"/>
              <w:jc w:val="left"/>
              <w:rPr>
                <w:rFonts w:hint="eastAsia"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33</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提升公共资源交易服务能力与水平</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1.推动工程建设项目区内远程异地评标常态化，加大对招标投标政策解读、信用评价及各交易主体不良行为处理结果公示等信息公开力度，提高招投标相关信息透明度和市场主体知晓度。</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发改局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九、包容普惠创新领域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支持民营企业科技创新</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1.加大对民营企业在关键技术攻关、科技成果转化、科技型企业培育、科技创新平台建设等方面的资金支持力度，支持民营企业牵头承担“六新”“六特”产业攻关任务。</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2.深入实施科技型企业“双倍增”计划，新培育国家高新技术企业5家、科技型中小企业10家。</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科技局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35</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深化公共服务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1.深化拓展知名企业合作，选树培育一批新优质学校，推动集团化办学覆盖率达50%，扩大优质教育资源覆盖面。</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2.深化“互联网+医疗健康”服务，推进“互联网+”护理、中医、妇幼等服务，构建线上线下一体化服务新模式。</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3.深化居家和社区养老服务标准化建设，全面提升居家和社区养老服务水平。</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4.加强城市管理，开展“僵尸车”清理整治专项行动，对长期停在车位上无人使用、严重侵占小区和停车场公共资源的“僵尸车”、非法占道车辆以及非法占用道路停车位的障碍物进行依法清理。</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5.加快推进新建农村公路、路况提升等项目，提标改造农村公路20公里以上。</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教育局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卫健局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民政局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公安局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住建局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交通局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36</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加强生态环境保护</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1.持续打好蓝天、碧水、净土保卫战，深入开展园区异味治理，推动源头管控、多污染物协同控制和治理，严厉打击超标排放等环境违法行为。</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2.加快煤层气清洁利用，推进“绿电园区”试点项目建设，实施“光伏+生态修复”立体开发，可再生能源装机容量占比达到30%。</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3.以“三北”重点生态工程建设为牵引，重点抓好贺兰山东麓生态修复，大力实施贺兰山东麓G110生态廊道、水源涵养林等生态绿化项目。</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4.开展国土绿化行动，持续巩固贺兰山东麓生态修复治理成果。</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平罗工业园区管委会</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市生态环境局平罗分局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发改局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工信局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37</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开展企业纾困帮扶专项行动</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1.完善企业帮扶机制和政企沟通机制，常态化以恳谈会、集中办公会、现场会、企业调研等方式收集企业困难问题，定期转办督办、跟进落实，切实为企业纾困解难。</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2.督促责任单位高质量办好“12345”政务服务便民热线企业诉求，推动热线成为企业问题反映主渠道。</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工信局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审批局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38</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培育壮大特色产业集群</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1.加强中小企业特色产业集群培育，分层分类建立创新型中小企业、专精特新中小企业、专精特新“小巨人”企业、单项冠军企业，实行精准精细服务保障机制和有进有出动态管理机制。</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科技局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39</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推动涉企政策精准直达快享</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1.推广宁夏企业公共服务平台（168平台）、平罗中小企业服务平台应用，充分发挥财政资金直达机制作用，推动涉企资金直达快享。</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2.积极争取各类政策资金，做到各类项目应报尽报。</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3.建立涉企政策“免申即享”机制，推广告知承诺制，凡是通过公共数据平台可以获取的信息，一律不再要求企业提供相应材料。</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推进企业信用修复</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1.公布失信信息信用修复指引，推动行政处罚、异常经营名录、严重失信主体名单等信息修复“一件事”高效办理。</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发改局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市场监管局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41</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加强园区基础设施建设</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聚焦“六新六特六优”产业发展，进一步加快园区绿化、管网、道路、照明等基础设施建设，不断完善供地、供电、供水、供气、供暖等要素保障服务，加大园区环境卫生综合整治力度，切实增强园区综合承载能力，推动产业园区转型升级，培育发展新质生产力。</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平罗工业园区管委会</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18" w:type="pct"/>
            <w:gridSpan w:val="4"/>
            <w:noWrap w:val="0"/>
            <w:vAlign w:val="center"/>
          </w:tcPr>
          <w:p>
            <w:pPr>
              <w:spacing w:line="320" w:lineRule="exact"/>
              <w:jc w:val="left"/>
              <w:rPr>
                <w:rFonts w:hint="eastAsia" w:ascii="仿宋_GB2312" w:hAnsi="仿宋_GB2312" w:eastAsia="仿宋_GB2312" w:cs="仿宋_GB2312"/>
                <w:sz w:val="22"/>
                <w:szCs w:val="22"/>
              </w:rPr>
            </w:pPr>
            <w:r>
              <w:rPr>
                <w:rFonts w:hint="eastAsia" w:ascii="黑体" w:hAnsi="黑体" w:eastAsia="黑体" w:cs="黑体"/>
                <w:sz w:val="30"/>
                <w:szCs w:val="30"/>
              </w:rPr>
              <w:t>十、知识产权创造、保护和应用领域</w:t>
            </w:r>
          </w:p>
        </w:tc>
        <w:tc>
          <w:tcPr>
            <w:tcW w:w="682" w:type="pct"/>
            <w:noWrap w:val="0"/>
            <w:vAlign w:val="center"/>
          </w:tcPr>
          <w:p>
            <w:pPr>
              <w:spacing w:line="320" w:lineRule="exact"/>
              <w:jc w:val="left"/>
              <w:rPr>
                <w:rFonts w:hint="eastAsia"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42</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加强知识产权保护</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1.开展高价值知识产权培育工作，扎实开展驰名商标、地理标志、特殊标志等专项整治。</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2.大力培育知识产权密集型企业，加强创新型民营企业原始创新和知识产权保护力度，做好专利、商标、地理标志的行政执法工作，依法严厉打击侵犯知识产权和制售假冒伪劣商品违法犯罪活动。</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市场监管局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43</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深入推进知识产权质押融资“入园惠企”行动</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1.积极开展知识产权质押融资“入园惠企”贷款工作，鼓励银行业金融机构加大对质押融资的支持力度，进一步拓宽质押范围和渠道，灵活运用质押融资模式，降低融资成本，更好服务中小微企业发展。</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市场监管局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十一、市场监管领域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44</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维护市场公平竞争</w:t>
            </w:r>
          </w:p>
        </w:tc>
        <w:tc>
          <w:tcPr>
            <w:tcW w:w="2800" w:type="pct"/>
            <w:noWrap w:val="0"/>
            <w:vAlign w:val="center"/>
          </w:tcPr>
          <w:p>
            <w:pPr>
              <w:pStyle w:val="3"/>
              <w:tabs>
                <w:tab w:val="left" w:pos="4200"/>
              </w:tabs>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1.持续完善公平竞争审查工作机制，畅通公平竞争审查投诉举报渠道，未经公平竞争不得授予经营者特许经营权，不得限定经营、购买、使用特定经营者提供的商品和服务。</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2.开展妨碍统一市场和公平竞争政策措施清理专项行动，建立清理存量政策的长效机制，提高增量政策的审查质效，着力为民营企业高质量发展创造公平竞争的市场环境。</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市场监管局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45</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全面落实行政裁量权基准制度</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1.细化量化行政执法裁量范围、种类、幅度等并及时对外公布。</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2.对行政裁量权定期评估，及时进行修改完善，按规定报送备案审查。</w:t>
            </w:r>
          </w:p>
        </w:tc>
        <w:tc>
          <w:tcPr>
            <w:tcW w:w="493" w:type="pct"/>
            <w:noWrap w:val="0"/>
            <w:vAlign w:val="center"/>
          </w:tcPr>
          <w:p>
            <w:pPr>
              <w:spacing w:line="28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司法局</w:t>
            </w:r>
          </w:p>
          <w:p>
            <w:pPr>
              <w:spacing w:line="28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县直各相关执法部门</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5" w:type="pc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46</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强化执法检查力度</w:t>
            </w:r>
          </w:p>
        </w:tc>
        <w:tc>
          <w:tcPr>
            <w:tcW w:w="2800" w:type="pct"/>
            <w:noWrap w:val="0"/>
            <w:vAlign w:val="center"/>
          </w:tcPr>
          <w:p>
            <w:pPr>
              <w:pStyle w:val="3"/>
              <w:spacing w:line="30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1.制定完善行政处罚、行政强制、行政检查等事项的行政执法事项目录，并实行动态管理。</w:t>
            </w:r>
          </w:p>
          <w:p>
            <w:pPr>
              <w:pStyle w:val="3"/>
              <w:spacing w:line="30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2.探索跨层级、跨部门涉企“综合查一次”，坚决纠正多头检查、随意检查、过度执法等问题。</w:t>
            </w:r>
          </w:p>
          <w:p>
            <w:pPr>
              <w:pStyle w:val="3"/>
              <w:spacing w:line="30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3.加强行政执法机关和公安、检察机关协调配合，坚决杜绝有案不移、以罚代刑等现象。</w:t>
            </w:r>
          </w:p>
          <w:p>
            <w:pPr>
              <w:pStyle w:val="3"/>
              <w:spacing w:line="30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4.提高各类损害营商环境违法案件办结率，最大限度保护各类市场主体合法权益。</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司法局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市场监管局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县直各相关执法部门</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47</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完善涉企收费长效监管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1.开展重点领域价格监督检查，聚焦行政事业性收费、商业银行、水电气暖等，着力规范各类价格行为。</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2.做好涉企违规线索收集，规范明码标价，查处收费中的价格违法行为。</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市场监管局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推进包容审慎监管</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1.持续推进轻微违法免罚制度，审慎实施行政强制措施，对符合规定条件的市场主体依法予以免罚、依法不予实施行政强制措施或采取对其生产经营活动影响最小的行政强制措施。</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2.健全教育引导机制，大力推行柔性执法，推广运用说服教育、劝导示范、行政指导等非强制性手段，推动执法由“严罚式”向“容错式”转变，引导、督促经营主体依法经营。</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司法局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各行政执法部门</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49</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信用助力公共服务提质</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加强公共服务领域社会信用体系建设，聚焦教育、交通运输、医疗卫生、养老、家政、食品药品、公共资源交易、劳动用工、文化旅游、社会保障等重点领域，健全从业人员信用档案，优化服务机构和从业人员信用评价体系，完善相关市场主体的分级分类监管，提升“监管+服务”水平。</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发改局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318" w:type="pct"/>
            <w:gridSpan w:val="4"/>
            <w:noWrap w:val="0"/>
            <w:vAlign w:val="center"/>
          </w:tcPr>
          <w:p>
            <w:pPr>
              <w:spacing w:line="320" w:lineRule="exact"/>
              <w:jc w:val="left"/>
              <w:rPr>
                <w:rFonts w:hint="eastAsia" w:ascii="仿宋_GB2312" w:hAnsi="仿宋_GB2312" w:eastAsia="仿宋_GB2312" w:cs="仿宋_GB2312"/>
                <w:sz w:val="22"/>
                <w:szCs w:val="22"/>
              </w:rPr>
            </w:pPr>
            <w:r>
              <w:rPr>
                <w:rFonts w:hint="eastAsia" w:ascii="黑体" w:hAnsi="黑体" w:eastAsia="黑体" w:cs="黑体"/>
                <w:sz w:val="30"/>
                <w:szCs w:val="30"/>
              </w:rPr>
              <w:t>十二、办理破产领域</w:t>
            </w:r>
          </w:p>
        </w:tc>
        <w:tc>
          <w:tcPr>
            <w:tcW w:w="682" w:type="pct"/>
            <w:noWrap w:val="0"/>
            <w:vAlign w:val="center"/>
          </w:tcPr>
          <w:p>
            <w:pPr>
              <w:spacing w:line="320" w:lineRule="exact"/>
              <w:jc w:val="left"/>
              <w:rPr>
                <w:rFonts w:hint="eastAsia"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探索优化小微企业破产审理方式</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1.充分发挥府院协调机制和破产管理人作用，依托市场化手段和信息化技术，对债权债务关系明确、债务人财产状况清楚、负债规模较小的小微企业，提供便捷、简易、灵活、低成本的破产程序。</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51</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启动“执破融合”</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1.将破产审查前移，在执行程序中对具有挽救价值的企业，尽早作出识别判断，通过破产程序倒逼被执行企业积极偿债。</w:t>
            </w:r>
          </w:p>
          <w:p>
            <w:pPr>
              <w:pStyle w:val="3"/>
              <w:spacing w:line="320" w:lineRule="exact"/>
              <w:ind w:firstLine="0"/>
              <w:jc w:val="left"/>
              <w:rPr>
                <w:rFonts w:hint="eastAsia" w:ascii="仿宋_GB2312" w:hAnsi="仿宋_GB2312" w:cs="仿宋_GB2312"/>
                <w:sz w:val="22"/>
                <w:szCs w:val="22"/>
              </w:rPr>
            </w:pPr>
            <w:r>
              <w:rPr>
                <w:rFonts w:ascii="仿宋_GB2312" w:hAnsi="仿宋_GB2312" w:cs="仿宋_GB2312"/>
                <w:sz w:val="22"/>
                <w:szCs w:val="22"/>
                <w:lang w:val="en"/>
              </w:rPr>
              <w:t>2.</w:t>
            </w:r>
            <w:r>
              <w:rPr>
                <w:rFonts w:hint="eastAsia" w:ascii="仿宋_GB2312" w:hAnsi="仿宋_GB2312" w:cs="仿宋_GB2312"/>
                <w:sz w:val="22"/>
                <w:szCs w:val="22"/>
              </w:rPr>
              <w:t>对已无自我发展能力企业，及时移送破产审查，强制退出市场，以“执破融合”助力破产企业重获新生。</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深化破产“府院联动”</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ascii="仿宋_GB2312" w:hAnsi="仿宋_GB2312" w:cs="仿宋_GB2312"/>
                <w:sz w:val="22"/>
                <w:szCs w:val="22"/>
                <w:lang w:val="en"/>
              </w:rPr>
              <w:t>1.</w:t>
            </w:r>
            <w:r>
              <w:rPr>
                <w:rFonts w:hint="eastAsia" w:ascii="仿宋_GB2312" w:hAnsi="仿宋_GB2312" w:cs="仿宋_GB2312"/>
                <w:sz w:val="22"/>
                <w:szCs w:val="22"/>
              </w:rPr>
              <w:t>建立健全破产工作联动机制，加强会商通报，统筹协调解决企业破产处置中的财产（不动产）处置、社保欠缴、职工安置、税收优惠、信用修复、企业注销、产权瑕疵等问题。</w:t>
            </w:r>
          </w:p>
          <w:p>
            <w:pPr>
              <w:pStyle w:val="3"/>
              <w:spacing w:line="320" w:lineRule="exact"/>
              <w:ind w:firstLine="0"/>
              <w:jc w:val="left"/>
              <w:rPr>
                <w:rFonts w:hint="eastAsia" w:ascii="仿宋_GB2312" w:hAnsi="仿宋_GB2312" w:cs="仿宋_GB2312"/>
                <w:sz w:val="22"/>
                <w:szCs w:val="22"/>
              </w:rPr>
            </w:pPr>
            <w:r>
              <w:rPr>
                <w:rFonts w:ascii="仿宋_GB2312" w:hAnsi="仿宋_GB2312" w:cs="仿宋_GB2312"/>
                <w:sz w:val="22"/>
                <w:szCs w:val="22"/>
                <w:lang w:val="en"/>
              </w:rPr>
              <w:t>2.</w:t>
            </w:r>
            <w:r>
              <w:rPr>
                <w:rFonts w:hint="eastAsia" w:ascii="仿宋_GB2312" w:hAnsi="仿宋_GB2312" w:cs="仿宋_GB2312"/>
                <w:sz w:val="22"/>
                <w:szCs w:val="22"/>
              </w:rPr>
              <w:t>推动符合破产条件的企业通过重整、和解、清算等破产程序盘活资源或退出市场，推动企业破产处置依法稳妥开展。</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53</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提升破产审判专业化能力</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ascii="仿宋_GB2312" w:hAnsi="仿宋_GB2312" w:cs="仿宋_GB2312"/>
                <w:sz w:val="22"/>
                <w:szCs w:val="22"/>
                <w:lang w:val="en"/>
              </w:rPr>
              <w:t>1.</w:t>
            </w:r>
            <w:r>
              <w:rPr>
                <w:rFonts w:hint="eastAsia" w:ascii="仿宋_GB2312" w:hAnsi="仿宋_GB2312" w:cs="仿宋_GB2312"/>
                <w:sz w:val="22"/>
                <w:szCs w:val="22"/>
              </w:rPr>
              <w:t>持续推进破产审判专业化分工，壮大破产审判力量，提高破产案件审判质效。</w:t>
            </w:r>
          </w:p>
          <w:p>
            <w:pPr>
              <w:pStyle w:val="3"/>
              <w:spacing w:line="320" w:lineRule="exact"/>
              <w:ind w:firstLine="0"/>
              <w:jc w:val="left"/>
              <w:rPr>
                <w:rFonts w:hint="eastAsia" w:ascii="仿宋_GB2312" w:hAnsi="仿宋_GB2312" w:cs="仿宋_GB2312"/>
                <w:sz w:val="22"/>
                <w:szCs w:val="22"/>
              </w:rPr>
            </w:pPr>
            <w:r>
              <w:rPr>
                <w:rFonts w:ascii="仿宋_GB2312" w:hAnsi="仿宋_GB2312" w:cs="仿宋_GB2312"/>
                <w:sz w:val="22"/>
                <w:szCs w:val="22"/>
                <w:lang w:val="en"/>
              </w:rPr>
              <w:t>2.</w:t>
            </w:r>
            <w:r>
              <w:rPr>
                <w:rFonts w:hint="eastAsia" w:ascii="仿宋_GB2312" w:hAnsi="仿宋_GB2312" w:cs="仿宋_GB2312"/>
                <w:sz w:val="22"/>
                <w:szCs w:val="22"/>
              </w:rPr>
              <w:t>组建专业破产审判队伍，整合破产审判资源，完善破产管理人选任和评估机制，提升破产管理人履职能力。</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十三、执行合同领域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54</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健全完善执行案款管理机制</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指定专人对案款发放进行监督提醒，建立向案外人发放案款公示制度，执行局、财务部门、督查部门案款对账核查制度，严把案款延期发放审批关，不断完善执行案款常态化监管机制，切实提高“一案一账号”管理水平，确保执行案款收发规范有序、及时高效。</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建立健全诉调对接机制</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规范诉源治理、多元化解、诉前调解、司法确认等工作，完善“人民法院调解平台”与商事调解、行业调解、人民调解、行政调解等调解组织对接机制，打破信息共享壁垒，为调解与司法确认、调解转诉讼等提供“一站式”服务。</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司法局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56</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推行善意文明司法</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建立企业财产处置“预处罚”等善意文明执行新机制，灵活运用查封保全措施，充分考虑被执行企业的经营状况，审慎使用查封、扣押、冻结等强制措施，严禁超标查封以及采取封门、封厂等严重影响企业正常运营的查封措施，保护企业和企业家合法权益。</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检察院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57</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依法保障民营企业和企业家合法权益</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依法惩治侵犯民营企业产权以及侵犯民营企业投资者、管理者、从业人员合法权益等违法犯罪行为，依法保障民营企业和企业家合法权益，对涉案企业尤其是民营企业判处财产刑时，依法合理确定财产刑数额，全面提升涉民营企业案件审判效率。</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2.严格区分经济纠纷、行政违法与刑事犯罪，坚决防止将经济纠纷当作犯罪处理、将民事责任变为刑事责任。</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法院</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十四、政府采购领域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58</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深入开展政府采购违法违规问题专项整治</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清理整治设置差别歧视条款、违规乱收费、供应商提供虚假材料、供应商围标串标等“四类”违法违规行为，整治倾斜照顾本地企业、对企业规模设置不合理要求限制或排斥中小企业的行为，构建阳光透明政府采购市场环境，着力破除地方保护和市场分割，解决妨碍各类经营主体平等参与政府采购活动的突出问题。</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财政局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规范政府采购文件示范文本</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1.统一规范公开招标、竞争性磋商等政府采购方式采购文件示范文本，提高采购文件编制质量，进一步强化隐性门槛、壁垒及排斥竞争行为的源头防范。</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财政局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加大政府采购对中小微企业支持力度</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采购限额标准以下的工程采购项目，适宜由中小微企业提供的，采购单位应当专门面向中小微企业采购；超过200万元的货物和服务采购项目、超过400万元的工程采购项目中适宜由中小微企业提供的，预留该部分采购项目预算总额的40%以上专门面向中小微企业采购。</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财政局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5"/>
            <w:noWrap w:val="0"/>
            <w:vAlign w:val="center"/>
          </w:tcPr>
          <w:p>
            <w:pPr>
              <w:spacing w:line="320" w:lineRule="exact"/>
              <w:jc w:val="left"/>
              <w:rPr>
                <w:rFonts w:hint="eastAsia" w:ascii="黑体" w:hAnsi="黑体" w:eastAsia="黑体" w:cs="黑体"/>
                <w:sz w:val="30"/>
                <w:szCs w:val="30"/>
              </w:rPr>
            </w:pPr>
            <w:r>
              <w:rPr>
                <w:rFonts w:hint="eastAsia" w:ascii="黑体" w:hAnsi="黑体" w:eastAsia="黑体" w:cs="黑体"/>
                <w:sz w:val="30"/>
                <w:szCs w:val="30"/>
              </w:rPr>
              <w:t>十五、融资服务领域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61</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加大融资支持</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1.完善差异化绩效考核机制，优化信贷结构，持续增加小微企业信贷供给。</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2.引导金融机构有序开展中小微企业应收账款、知识产权、订单、生产设备等抵质押融资业务，对符合条件的中小微企业增信，扩大“信易贷”“专精特新贷”“宁科贷”等规模。</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3.引导金融机构对符合条件的中小微企业给予展期、续贷支持。</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4.引导金融机构加大对符合条件的民营企业上市融资和再融资支持力度。</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5.积极搭建“政银企”平台，帮助企业解决融资难、融资贵问题。</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财政局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国家金融监管局平罗监管支局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维护良好金融秩序和金融环境</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1.严厉打击金融放贷等金融犯罪，紧盯重点行业领域整治和重点区域部位，协同开展金融领域重大突出风险隐患排查梳理，提升预测预警预防能力。</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2.严厉打击非法集资，守住不发生区域性金融风险的底线。</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财政局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公安局</w:t>
            </w:r>
          </w:p>
          <w:p>
            <w:pPr>
              <w:spacing w:line="320" w:lineRule="exact"/>
              <w:jc w:val="center"/>
              <w:rPr>
                <w:rFonts w:ascii="仿宋_GB2312" w:hAnsi="仿宋_GB2312" w:eastAsia="仿宋_GB2312" w:cs="仿宋_GB2312"/>
                <w:sz w:val="22"/>
                <w:szCs w:val="22"/>
                <w:lang w:val="en"/>
              </w:rPr>
            </w:pPr>
            <w:r>
              <w:rPr>
                <w:rFonts w:hint="eastAsia" w:ascii="仿宋_GB2312" w:hAnsi="仿宋_GB2312" w:eastAsia="仿宋_GB2312" w:cs="仿宋_GB2312"/>
                <w:sz w:val="22"/>
                <w:szCs w:val="22"/>
              </w:rPr>
              <w:t>国家金融监管局平罗监管支局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63</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持续推进银税互动合作</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1.推动税务部门与金融监管部门、银行业金融机构深入开展“银税互动”，为企业提供覆盖信贷业务全流程，贯穿贷前、贷中、贷后全环节的银税互动产品。</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2.引导金融机构加大对科技创新、绿色转型、普惠小微、数字经济等方面支持力度。</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3.引导金融机构强化贷款市场报价利率引导作用，提高贷款利率定价能力，推动企业综合融资成本稳中有降。</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税务局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财政局</w:t>
            </w:r>
          </w:p>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国家金融监管局平罗监管支局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18" w:type="pct"/>
            <w:gridSpan w:val="4"/>
            <w:noWrap w:val="0"/>
            <w:vAlign w:val="center"/>
          </w:tcPr>
          <w:p>
            <w:pPr>
              <w:spacing w:line="320" w:lineRule="exact"/>
              <w:jc w:val="left"/>
              <w:rPr>
                <w:rFonts w:hint="eastAsia" w:ascii="仿宋_GB2312" w:hAnsi="仿宋_GB2312" w:eastAsia="仿宋_GB2312" w:cs="仿宋_GB2312"/>
                <w:sz w:val="22"/>
                <w:szCs w:val="22"/>
              </w:rPr>
            </w:pPr>
            <w:r>
              <w:rPr>
                <w:rFonts w:hint="eastAsia" w:ascii="黑体" w:hAnsi="黑体" w:eastAsia="黑体" w:cs="黑体"/>
                <w:sz w:val="30"/>
                <w:szCs w:val="30"/>
              </w:rPr>
              <w:t>十六、纳税领域</w:t>
            </w:r>
          </w:p>
        </w:tc>
        <w:tc>
          <w:tcPr>
            <w:tcW w:w="682" w:type="pct"/>
            <w:noWrap w:val="0"/>
            <w:vAlign w:val="center"/>
          </w:tcPr>
          <w:p>
            <w:pPr>
              <w:spacing w:line="320" w:lineRule="exact"/>
              <w:jc w:val="left"/>
              <w:rPr>
                <w:rFonts w:hint="eastAsia"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推行企业所得税“一键申报”</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1.应用推广全国统一规范电子税务局系统，实现涉税数据自动提取、税费优惠自动计算、纳税报表自动预填、人工智能自动回复等功能，纳税人只需确认申报信息，即可一键在线完成企业所得税申报。</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税务局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全面提升纳税人缴费人办税体验</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1.严格落实首问责任、一次性告知、预约办税等制度，在大厅高峰期或集中业务办理期，主动开通绿色通道，实现潮汐式服务，不断提高纳税人、缴费人办税体验。</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税务局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66</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加大税收优惠力度</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全面落实“便民办税春风行动”举措，执行落实好增值税小规模纳税人减免增值税、减征“六税两费”、小型微利企业减免企业所得税、个体工商户年应纳税所得额不超过200万元的部分减半征收个人所得税、小额贷款利息收入给予增值税优惠等政策。</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2.符合条件的企业研发费用加计扣除比例提高到100%，作为制度性安排长期实施。</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税务局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67</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严厉打击涉税违法犯罪行为</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1.严厉打击“假企业”“假申报”等涉税违法犯罪行为，严防不应享而享以及违规骗享等风险，打早打小，打准打狠，严厉打击虚开发票等违法犯罪行为。</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税务局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18" w:type="pct"/>
            <w:gridSpan w:val="4"/>
            <w:noWrap w:val="0"/>
            <w:vAlign w:val="center"/>
          </w:tcPr>
          <w:p>
            <w:pPr>
              <w:spacing w:line="320" w:lineRule="exact"/>
              <w:jc w:val="left"/>
              <w:rPr>
                <w:rFonts w:hint="eastAsia" w:ascii="仿宋_GB2312" w:hAnsi="仿宋_GB2312" w:eastAsia="仿宋_GB2312" w:cs="仿宋_GB2312"/>
                <w:sz w:val="22"/>
                <w:szCs w:val="22"/>
              </w:rPr>
            </w:pPr>
            <w:r>
              <w:rPr>
                <w:rFonts w:hint="eastAsia" w:ascii="黑体" w:hAnsi="黑体" w:eastAsia="黑体" w:cs="黑体"/>
                <w:sz w:val="30"/>
                <w:szCs w:val="30"/>
              </w:rPr>
              <w:t>十七、市场开放领域</w:t>
            </w:r>
          </w:p>
        </w:tc>
        <w:tc>
          <w:tcPr>
            <w:tcW w:w="682" w:type="pct"/>
            <w:noWrap w:val="0"/>
            <w:vAlign w:val="center"/>
          </w:tcPr>
          <w:p>
            <w:pPr>
              <w:spacing w:line="320" w:lineRule="exact"/>
              <w:jc w:val="left"/>
              <w:rPr>
                <w:rFonts w:hint="eastAsia"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75" w:type="pc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75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深入推进招商引资“一号工程”</w:t>
            </w:r>
          </w:p>
        </w:tc>
        <w:tc>
          <w:tcPr>
            <w:tcW w:w="2800" w:type="pct"/>
            <w:noWrap w:val="0"/>
            <w:vAlign w:val="center"/>
          </w:tcPr>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1.制定全县产业链招商计划清单，协调解决招商引资项目落地遇到的困难和问题。</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2.实行重点招商引资项目前期手续办理责任分工机制，助推项目快速落地。</w:t>
            </w:r>
          </w:p>
          <w:p>
            <w:pPr>
              <w:pStyle w:val="3"/>
              <w:spacing w:line="320" w:lineRule="exact"/>
              <w:ind w:firstLine="0"/>
              <w:jc w:val="left"/>
              <w:rPr>
                <w:rFonts w:hint="eastAsia" w:ascii="仿宋_GB2312" w:hAnsi="仿宋_GB2312" w:cs="仿宋_GB2312"/>
                <w:sz w:val="22"/>
                <w:szCs w:val="22"/>
              </w:rPr>
            </w:pPr>
            <w:r>
              <w:rPr>
                <w:rFonts w:hint="eastAsia" w:ascii="仿宋_GB2312" w:hAnsi="仿宋_GB2312" w:cs="仿宋_GB2312"/>
                <w:sz w:val="22"/>
                <w:szCs w:val="22"/>
              </w:rPr>
              <w:t>3.全面落实招商引资优惠政策，稳步提升招商引资规模与质量。</w:t>
            </w:r>
          </w:p>
        </w:tc>
        <w:tc>
          <w:tcPr>
            <w:tcW w:w="493"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商务局</w:t>
            </w:r>
          </w:p>
        </w:tc>
        <w:tc>
          <w:tcPr>
            <w:tcW w:w="682" w:type="pct"/>
            <w:noWrap w:val="0"/>
            <w:vAlign w:val="center"/>
          </w:tcPr>
          <w:p>
            <w:pPr>
              <w:spacing w:line="32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2024年11月底前</w:t>
            </w:r>
          </w:p>
        </w:tc>
      </w:tr>
    </w:tbl>
    <w:p>
      <w:pPr>
        <w:pStyle w:val="10"/>
        <w:spacing w:line="140" w:lineRule="exact"/>
        <w:rPr>
          <w:rFonts w:hint="default"/>
          <w:color w:val="auto"/>
        </w:rPr>
        <w:sectPr>
          <w:footerReference r:id="rId3" w:type="default"/>
          <w:pgSz w:w="16838" w:h="11906" w:orient="landscape"/>
          <w:pgMar w:top="1418" w:right="1418" w:bottom="1418" w:left="1418" w:header="567" w:footer="1247"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16</w:t>
    </w:r>
    <w:r>
      <w:rPr>
        <w:rStyle w:val="9"/>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03A87518"/>
    <w:rsid w:val="03A8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cs="Times New Roman"/>
      <w:sz w:val="21"/>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val="0"/>
      <w:spacing w:line="300" w:lineRule="auto"/>
      <w:ind w:firstLine="420"/>
      <w:jc w:val="both"/>
    </w:pPr>
    <w:rPr>
      <w:rFonts w:ascii="Calibri" w:hAnsi="Calibri" w:eastAsia="仿宋_GB2312"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2024-07-15T01:35:00Z</dcterms:created>
  <dc:creator>糖果</dc:creator>
  <cp:lastModifiedBy>糖果</cp:lastModifiedBy>
  <dcterms:modified xsi:type="dcterms:W3CDTF">2024-07-15T01:36:56Z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1A4CE429C741499BA5A65A5A44F3C0F2_11</vt:lpwstr>
  </property>
</Properties>
</file>