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平罗县推动民营经济高质量发展政策清单</w:t>
      </w:r>
    </w:p>
    <w:tbl>
      <w:tblPr>
        <w:tblStyle w:val="6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1841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8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政策内容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28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一、科技创新政策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支持民营企业承担实施重大科技项目，对民营企业承担的“前引导”、“后支持”项目，按研发总投入的30%分别给予最高500万元、1000万元资助。（支持单位：自治区科技厅）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</w:rPr>
              <w:t>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对民营企业承担的重大科技成果转化项目，给予项目总投资额30%、最高500万元支持。（支持单位：自治区科技厅）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</w:rPr>
              <w:t>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对企业年度研发费用按标准进行后补助，最高给予300万元一次性补助。（支持单位： 自治区科技厅）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</w:rPr>
              <w:t>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支持企业打造地理标志品牌，对获得地理标志产品保护的每件补助20万元。（支持单位：自治区市场监管厅）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</w:rPr>
              <w:t>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328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二、产业发展政策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5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对首次上规模的生产性和生活性服务业企业按规定给予10—50万元一次性奖励。（支持单位：自治区发展改革委、商务厅）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发改局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商务局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6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对入选国家制造业单项冠军企业、国家级专精特新“小巨人”企业、自治区“专精特新”中小企业，按现行政策规定分别给予400万元、100万元和30万元一次性奖励。（支持单位：自治区工业和信息化厅）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</w:rPr>
              <w:t>工信局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7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支持农产品加工企业实施技术装备改造升级，每个项目一次性给予以奖代补资金50万元。（支持单位：自治区农业农村厅）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8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</w:rPr>
              <w:t>落实《自治区促进牛奶产业稳定发展十五条政策措施》，加大饲草料种植收储加工、良种繁育、养殖贷款贴息等政策支持，推动奶产业平稳健康发展。（支持单位：自治区农业农村厅</w:t>
            </w:r>
            <w:r>
              <w:rPr>
                <w:rFonts w:ascii="Times New Roman" w:hAnsi="Times New Roman" w:eastAsia="方正仿宋_GBK"/>
                <w:sz w:val="24"/>
                <w:lang w:val="en"/>
              </w:rPr>
              <w:t>）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9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对评为自治区级、地市级和县（区）级物流集散分拨配送中心的园区（或企业），分别给予200万元、100万元和50万元一次性奖励，对新评定的A级物流企业按标准给予一次性奖励，对新引进的5A级物流企业固定资产投资项目给予奖励。（支持单位：自治区交通厅</w:t>
            </w:r>
            <w:r>
              <w:rPr>
                <w:rFonts w:ascii="Times New Roman" w:hAnsi="Times New Roman" w:eastAsia="方正仿宋_GBK"/>
                <w:sz w:val="24"/>
                <w:lang w:val="en"/>
              </w:rPr>
              <w:t>）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交通局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328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三、投资促进政策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10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在自治区投资项目在线审批监管平台每年发布100个左右重大项目清单，吸引更多民间资本参与重大工程和补短板项目、重大产业链供应链项目、完全使用者付费的特许经营项目建设。（支持单位：自治区发展改革委</w:t>
            </w:r>
            <w:r>
              <w:rPr>
                <w:rFonts w:ascii="Times New Roman" w:hAnsi="Times New Roman" w:eastAsia="方正仿宋_GBK"/>
                <w:sz w:val="24"/>
                <w:lang w:val="en"/>
              </w:rPr>
              <w:t>）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11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支持企业通过建设源网荷储一体化项目，在新增负荷附近布局新能源电站，通过自发自用方式绿电直供，实现碳足迹可追溯，降低用电成本。（支持单位：自治区发展改革委</w:t>
            </w:r>
            <w:r>
              <w:rPr>
                <w:rFonts w:ascii="Times New Roman" w:hAnsi="Times New Roman" w:eastAsia="方正仿宋_GBK"/>
                <w:sz w:val="24"/>
                <w:lang w:val="en"/>
              </w:rPr>
              <w:t>）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12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在新能源、物流基础设施、产业园区、消费基础设施等领域，支持符合条件的民间投资项目加快发行 REITs 产品。（支持单位：自治区发展改革委</w:t>
            </w:r>
            <w:r>
              <w:rPr>
                <w:rFonts w:ascii="Times New Roman" w:hAnsi="Times New Roman" w:eastAsia="方正仿宋_GBK"/>
                <w:sz w:val="24"/>
                <w:lang w:val="en"/>
              </w:rPr>
              <w:t>）</w:t>
            </w:r>
            <w:r>
              <w:rPr>
                <w:rFonts w:ascii="Times New Roman" w:hAnsi="Times New Roman" w:eastAsia="方正仿宋_GBK"/>
                <w:sz w:val="24"/>
              </w:rPr>
              <w:tab/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13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支持新增重大产业项目参与“绿电园区”试点建设，按照项目新增负荷配套光伏指标，通过建设“绿电园区”试点光伏项目向园区供应“绿电”，降低企业用电成本。（支持单位：自治区发展改革委</w:t>
            </w:r>
            <w:r>
              <w:rPr>
                <w:rFonts w:ascii="Times New Roman" w:hAnsi="Times New Roman" w:eastAsia="方正仿宋_GBK"/>
                <w:sz w:val="24"/>
                <w:lang w:val="en"/>
              </w:rPr>
              <w:t>）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328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四、人才培养引进政策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14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支持企业建立院士工作站、专家服务基地等载体，按照相关标准给予经费补助。（支持单位：自治区人力资源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和</w:t>
            </w:r>
            <w:r>
              <w:rPr>
                <w:rFonts w:ascii="Times New Roman" w:hAnsi="Times New Roman" w:eastAsia="方正仿宋_GBK"/>
                <w:sz w:val="24"/>
              </w:rPr>
              <w:t>社会保障厅</w:t>
            </w:r>
            <w:r>
              <w:rPr>
                <w:rFonts w:ascii="Times New Roman" w:hAnsi="Times New Roman" w:eastAsia="方正仿宋_GBK"/>
                <w:sz w:val="24"/>
                <w:lang w:val="en"/>
              </w:rPr>
              <w:t>）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15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支持企业采取多种方式柔性引进急需紧缺人才，经评估按所付薪酬的30%、每年最高50万元的标准给予企业补助，最长补助3年。（支持单位：自治区人力资源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和</w:t>
            </w:r>
            <w:r>
              <w:rPr>
                <w:rFonts w:ascii="Times New Roman" w:hAnsi="Times New Roman" w:eastAsia="方正仿宋_GBK"/>
                <w:sz w:val="24"/>
              </w:rPr>
              <w:t>社会保障厅</w:t>
            </w:r>
            <w:r>
              <w:rPr>
                <w:rFonts w:ascii="Times New Roman" w:hAnsi="Times New Roman" w:eastAsia="方正仿宋_GBK"/>
                <w:sz w:val="24"/>
                <w:lang w:val="en"/>
              </w:rPr>
              <w:t>）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16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对企业培育的自治区杰出科技人才、科技领军人才、青年拔尖人才、青年托举人才，培养期内分别最高给予600万元、100万元、35万元、3万元支持。（支持单位：自治区人力资源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和</w:t>
            </w:r>
            <w:r>
              <w:rPr>
                <w:rFonts w:ascii="Times New Roman" w:hAnsi="Times New Roman" w:eastAsia="方正仿宋_GBK"/>
                <w:sz w:val="24"/>
              </w:rPr>
              <w:t>社会保障厅、科技厅、科协</w:t>
            </w:r>
            <w:r>
              <w:rPr>
                <w:rFonts w:ascii="Times New Roman" w:hAnsi="Times New Roman" w:eastAsia="方正仿宋_GBK"/>
                <w:sz w:val="24"/>
                <w:lang w:val="en"/>
              </w:rPr>
              <w:t>）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人社局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科技局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科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  <w:lang w:val="en"/>
              </w:rPr>
              <w:t>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328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五、稳岗帮扶政策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17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对稳岗效果好的企业给予稳岗返还、社会保险补贴、创业担保贷款及贴息等优惠政策。（支持单位：自治区人力资源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和</w:t>
            </w:r>
            <w:r>
              <w:rPr>
                <w:rFonts w:ascii="Times New Roman" w:hAnsi="Times New Roman" w:eastAsia="方正仿宋_GBK"/>
                <w:sz w:val="24"/>
              </w:rPr>
              <w:t>社会保障厅</w:t>
            </w:r>
            <w:r>
              <w:rPr>
                <w:rFonts w:ascii="Times New Roman" w:hAnsi="Times New Roman" w:eastAsia="方正仿宋_GBK"/>
                <w:sz w:val="24"/>
                <w:lang w:val="en"/>
              </w:rPr>
              <w:t>）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18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对吸纳高校毕业生等重点群体就业能力强的企业，运用直补快办、就近办、加速办等模式，一揽子兑现社会保险补贴等政策。（支持单位：自治区人力资源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和</w:t>
            </w:r>
            <w:r>
              <w:rPr>
                <w:rFonts w:ascii="Times New Roman" w:hAnsi="Times New Roman" w:eastAsia="方正仿宋_GBK"/>
                <w:sz w:val="24"/>
              </w:rPr>
              <w:t>社会保障厅</w:t>
            </w:r>
            <w:r>
              <w:rPr>
                <w:rFonts w:ascii="Times New Roman" w:hAnsi="Times New Roman" w:eastAsia="方正仿宋_GBK"/>
                <w:sz w:val="24"/>
                <w:lang w:val="en"/>
              </w:rPr>
              <w:t>）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19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对不裁员、少裁员的民营企业实施失业保险稳岗返还政策。（支持单位：自治区人力资源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和</w:t>
            </w:r>
            <w:r>
              <w:rPr>
                <w:rFonts w:ascii="Times New Roman" w:hAnsi="Times New Roman" w:eastAsia="方正仿宋_GBK"/>
                <w:sz w:val="24"/>
              </w:rPr>
              <w:t>社会保障厅</w:t>
            </w:r>
            <w:r>
              <w:rPr>
                <w:rFonts w:ascii="Times New Roman" w:hAnsi="Times New Roman" w:eastAsia="方正仿宋_GBK"/>
                <w:sz w:val="24"/>
                <w:lang w:val="en"/>
              </w:rPr>
              <w:t>）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328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六、资源要素政策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20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按规定保障民营企业投资各级重点项目的用地需求，工业用地可灵活采取弹性年期出让、长期租赁、先租后让等供地方式，优先保障农产品深加工用地。鼓励混合产业用地供给，推动不同产业用地类型合理转换。（支持单位：自治区自然资源厅</w:t>
            </w:r>
            <w:r>
              <w:rPr>
                <w:rFonts w:ascii="Times New Roman" w:hAnsi="Times New Roman" w:eastAsia="方正仿宋_GBK"/>
                <w:sz w:val="24"/>
                <w:lang w:val="en"/>
              </w:rPr>
              <w:t>）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21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推进工业园区供热、供气等公共基础设施共建共享，提高能源供应保障能力。统筹支持民营经济产业优质项目用能需求。（支持单位：自治区发展改革委、住房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和</w:t>
            </w:r>
            <w:bookmarkStart w:id="0" w:name="_GoBack"/>
            <w:bookmarkEnd w:id="0"/>
            <w:r>
              <w:rPr>
                <w:rFonts w:ascii="Times New Roman" w:hAnsi="Times New Roman" w:eastAsia="方正仿宋_GBK"/>
                <w:sz w:val="24"/>
              </w:rPr>
              <w:t>城乡建设厅</w:t>
            </w:r>
            <w:r>
              <w:rPr>
                <w:rFonts w:ascii="Times New Roman" w:hAnsi="Times New Roman" w:eastAsia="方正仿宋_GBK"/>
                <w:sz w:val="24"/>
                <w:lang w:val="en"/>
              </w:rPr>
              <w:t>）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lang w:val="en"/>
              </w:rPr>
              <w:t>工业园区管委会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22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健全用水权、排污权、用能权、碳排放权、山林权等交易机制，引导民营企业积极参与电力市场交易，支持参与可再生能源发电和储能等新能源投资建设。（支持单位：自治区发展改革委、水利厅、生态环境厅</w:t>
            </w:r>
            <w:r>
              <w:rPr>
                <w:rFonts w:ascii="Times New Roman" w:hAnsi="Times New Roman" w:eastAsia="方正仿宋_GBK"/>
                <w:sz w:val="24"/>
                <w:lang w:val="en"/>
              </w:rPr>
              <w:t>）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水务局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发改局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自然资源局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市生态环境局平罗分局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328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七、金融支持政策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23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推广“信易贷”、“人才贷”等模式，为企业提供个性化的融资服务和产品。（支持单位：自治区发展改革委、人力资源社会保障厅、地方金融管理局</w:t>
            </w:r>
            <w:r>
              <w:rPr>
                <w:rFonts w:ascii="Times New Roman" w:hAnsi="Times New Roman" w:eastAsia="方正仿宋_GBK"/>
                <w:sz w:val="24"/>
                <w:lang w:val="en"/>
              </w:rPr>
              <w:t>）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发改局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人社局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</w:rPr>
              <w:t>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24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发挥产业引导基金、纾困基金等作用，加大对“六新六特六优”产业及民营企业支持力度。（支持单位：自治区财政厅、发展改革委、工业和信息化厅、农业农村厅</w:t>
            </w:r>
            <w:r>
              <w:rPr>
                <w:rFonts w:ascii="Times New Roman" w:hAnsi="Times New Roman" w:eastAsia="方正仿宋_GBK"/>
                <w:sz w:val="24"/>
                <w:lang w:val="en"/>
              </w:rPr>
              <w:t>）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财政局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发改局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工信局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25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对符合创业担保贷款条件的个人最高贷款额度提高到30万元，对符合条件的小微企业最高贷款额度提高到400万元，按规定给予贴息。（支持单位：自治区人力资源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和</w:t>
            </w:r>
            <w:r>
              <w:rPr>
                <w:rFonts w:ascii="Times New Roman" w:hAnsi="Times New Roman" w:eastAsia="方正仿宋_GBK"/>
                <w:sz w:val="24"/>
              </w:rPr>
              <w:t>社会保障厅</w:t>
            </w:r>
            <w:r>
              <w:rPr>
                <w:rFonts w:ascii="Times New Roman" w:hAnsi="Times New Roman" w:eastAsia="方正仿宋_GBK"/>
                <w:sz w:val="24"/>
                <w:lang w:val="en"/>
              </w:rPr>
              <w:t>）</w:t>
            </w:r>
            <w:r>
              <w:rPr>
                <w:rFonts w:ascii="Times New Roman" w:hAnsi="Times New Roman" w:eastAsia="方正仿宋_GBK"/>
                <w:sz w:val="24"/>
              </w:rPr>
              <w:tab/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26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对通过知识产权质押获得融资的企业，按照相关标准给予贴息补助及评估费补助。（支持单位：自治区市场监管厅</w:t>
            </w:r>
            <w:r>
              <w:rPr>
                <w:rFonts w:ascii="Times New Roman" w:hAnsi="Times New Roman" w:eastAsia="方正仿宋_GBK"/>
                <w:sz w:val="24"/>
                <w:lang w:val="en"/>
              </w:rPr>
              <w:t>）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</w:rPr>
              <w:t>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328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八、税收优惠政策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27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对个体工商户年应纳税所得额不超过200万元的部分，减半征收个人所得税。（支持单位：自治区财政厅、宁夏税务局）</w:t>
            </w:r>
            <w:r>
              <w:rPr>
                <w:rFonts w:ascii="Times New Roman" w:hAnsi="Times New Roman" w:eastAsia="方正仿宋_GBK"/>
                <w:sz w:val="24"/>
              </w:rPr>
              <w:tab/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</w:rPr>
              <w:t>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28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对月销售额10万元以下的增值税小规模纳税人免征增值税、小规模纳税人征收率由3%降至1%，适用3%预征率的预缴增值税项目减按1%预征率预缴增值税。（支持单位：自治区财政厅、宁夏税务局）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</w:rPr>
              <w:t>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  <w:lang w:val="en"/>
              </w:rPr>
              <w:t>29</w:t>
            </w:r>
          </w:p>
        </w:tc>
        <w:tc>
          <w:tcPr>
            <w:tcW w:w="11841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对符合条件、确有困难的民营企业发生欠税，辅导制定清欠计划，对按计划缴纳税款的，可暂不采取强制执行措施。（支持单位：自治区财政厅、宁夏税务局）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财政局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lang w:val="en"/>
              </w:rPr>
            </w:pPr>
            <w:r>
              <w:rPr>
                <w:rFonts w:ascii="Times New Roman" w:hAnsi="Times New Roman" w:eastAsia="方正仿宋_GBK"/>
                <w:sz w:val="24"/>
              </w:rPr>
              <w:t>税务局</w:t>
            </w:r>
          </w:p>
        </w:tc>
      </w:tr>
    </w:tbl>
    <w:p>
      <w:pPr>
        <w:pStyle w:val="9"/>
      </w:pPr>
    </w:p>
    <w:p>
      <w:pPr>
        <w:pStyle w:val="9"/>
        <w:rPr>
          <w:rFonts w:hint="default"/>
        </w:rPr>
        <w:sectPr>
          <w:footerReference r:id="rId3" w:type="default"/>
          <w:pgSz w:w="16838" w:h="11906" w:orient="landscape"/>
          <w:pgMar w:top="1474" w:right="1418" w:bottom="1474" w:left="1418" w:header="567" w:footer="1304" w:gutter="0"/>
          <w:cols w:space="720" w:num="1"/>
          <w:docGrid w:type="lines" w:linePitch="312" w:charSpace="0"/>
        </w:sectPr>
      </w:pPr>
    </w:p>
    <w:p/>
    <w:sectPr>
      <w:pgSz w:w="11906" w:h="16838"/>
      <w:pgMar w:top="1474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4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76AB2367"/>
    <w:rsid w:val="64451C8F"/>
    <w:rsid w:val="76AB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2024-07-04T03:20:00Z</dcterms:created>
  <dc:creator>糖果</dc:creator>
  <cp:lastModifiedBy>糖果</cp:lastModifiedBy>
  <dcterms:modified xsi:type="dcterms:W3CDTF">2024-07-04T03:35:29Z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2A16D0666F844571B712E1F4A8DB297F_11</vt:lpwstr>
  </property>
</Properties>
</file>