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方正黑体_GBK" w:eastAsia="方正黑体_GBK" w:cs="方正黑体_GBK"/>
          <w:sz w:val="32"/>
          <w:szCs w:val="32"/>
        </w:rPr>
      </w:pPr>
      <w:r>
        <w:rPr>
          <w:rFonts w:ascii="方正黑体_GBK" w:hAnsi="方正黑体_GBK" w:eastAsia="方正黑体_GBK" w:cs="方正黑体_GBK"/>
          <w:sz w:val="32"/>
          <w:szCs w:val="32"/>
        </w:rPr>
        <w:t>附件</w:t>
      </w:r>
    </w:p>
    <w:p>
      <w:pPr>
        <w:pStyle w:val="2"/>
      </w:pPr>
    </w:p>
    <w:p>
      <w:pPr>
        <w:snapToGrid w:val="0"/>
        <w:jc w:val="center"/>
        <w:rPr>
          <w:rFonts w:ascii="方正小标宋_GBK" w:hAnsi="方正小标宋简体" w:eastAsia="方正小标宋_GBK" w:cs="方正小标宋简体"/>
          <w:sz w:val="22"/>
          <w:szCs w:val="22"/>
        </w:rPr>
      </w:pPr>
      <w:bookmarkStart w:id="0" w:name="_GoBack"/>
      <w:r>
        <w:rPr>
          <w:rFonts w:ascii="方正小标宋_GBK" w:hAnsi="方正小标宋简体" w:eastAsia="方正小标宋_GBK" w:cs="方正小标宋简体"/>
          <w:sz w:val="44"/>
          <w:szCs w:val="44"/>
        </w:rPr>
        <w:t>平罗县首届“黄河流域生态保护主题宣传实践月”活动清单</w:t>
      </w:r>
    </w:p>
    <w:bookmarkEnd w:id="0"/>
    <w:tbl>
      <w:tblPr>
        <w:tblStyle w:val="5"/>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60"/>
        <w:gridCol w:w="7080"/>
        <w:gridCol w:w="155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trPr>
        <w:tc>
          <w:tcPr>
            <w:tcW w:w="708" w:type="dxa"/>
            <w:noWrap w:val="0"/>
            <w:vAlign w:val="center"/>
          </w:tcPr>
          <w:p>
            <w:pPr>
              <w:spacing w:line="420" w:lineRule="exact"/>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1860" w:type="dxa"/>
            <w:noWrap w:val="0"/>
            <w:vAlign w:val="center"/>
          </w:tcPr>
          <w:p>
            <w:pPr>
              <w:spacing w:line="420" w:lineRule="exact"/>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活动名称</w:t>
            </w:r>
          </w:p>
        </w:tc>
        <w:tc>
          <w:tcPr>
            <w:tcW w:w="7080" w:type="dxa"/>
            <w:noWrap w:val="0"/>
            <w:vAlign w:val="center"/>
          </w:tcPr>
          <w:p>
            <w:pPr>
              <w:spacing w:line="420" w:lineRule="exact"/>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主要内容</w:t>
            </w:r>
          </w:p>
        </w:tc>
        <w:tc>
          <w:tcPr>
            <w:tcW w:w="1550" w:type="dxa"/>
            <w:noWrap w:val="0"/>
            <w:vAlign w:val="center"/>
          </w:tcPr>
          <w:p>
            <w:pPr>
              <w:spacing w:line="420" w:lineRule="exact"/>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时间</w:t>
            </w:r>
          </w:p>
        </w:tc>
        <w:tc>
          <w:tcPr>
            <w:tcW w:w="3020" w:type="dxa"/>
            <w:noWrap w:val="0"/>
            <w:vAlign w:val="center"/>
          </w:tcPr>
          <w:p>
            <w:pPr>
              <w:spacing w:line="420" w:lineRule="exact"/>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08" w:type="dxa"/>
            <w:noWrap w:val="0"/>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举办“一法一条例”宣传活动。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组织开展《中华人民共和国黄河保护法》、《宁夏回族自治区建设黄河流域生态保护和高质量发展先行区促进条例》专题宣传活动。以“一法一条例”宣传，营造全社会尊法守法的良好氛围，调动凝聚全县各方力量投入先行区建设伟大实践。</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县发改局、水务局、司法局</w:t>
            </w:r>
          </w:p>
          <w:p>
            <w:pPr>
              <w:spacing w:line="280" w:lineRule="exact"/>
              <w:rPr>
                <w:rFonts w:ascii="仿宋_GB2312" w:hAnsi="仿宋_GB2312" w:eastAsia="仿宋_GB2312" w:cs="仿宋_GB2312"/>
                <w:sz w:val="24"/>
                <w:szCs w:val="24"/>
              </w:rPr>
            </w:pPr>
            <w:r>
              <w:rPr>
                <w:rFonts w:ascii="仿宋_GB2312" w:hAnsi="仿宋_GB2312" w:eastAsia="仿宋_GB2312" w:cs="仿宋_GB2312"/>
                <w:b/>
                <w:bCs/>
                <w:sz w:val="24"/>
                <w:szCs w:val="24"/>
              </w:rPr>
              <w:t>配合单位：</w:t>
            </w:r>
            <w:r>
              <w:rPr>
                <w:rFonts w:ascii="仿宋_GB2312" w:hAnsi="仿宋_GB2312" w:eastAsia="仿宋_GB2312" w:cs="仿宋_GB2312"/>
                <w:sz w:val="24"/>
                <w:szCs w:val="24"/>
              </w:rPr>
              <w:t>县委宣传部、市生态环境局平罗分局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08" w:type="dxa"/>
            <w:noWrap w:val="0"/>
            <w:vAlign w:val="center"/>
          </w:tcPr>
          <w:p>
            <w:pPr>
              <w:spacing w:line="280" w:lineRule="exact"/>
              <w:jc w:val="center"/>
              <w:rPr>
                <w:rFonts w:hint="default" w:ascii="仿宋_GB2312" w:hAnsi="仿宋_GB2312" w:eastAsia="仿宋_GB2312" w:cs="仿宋_GB2312"/>
                <w:szCs w:val="21"/>
              </w:rPr>
            </w:pPr>
            <w:r>
              <w:rPr>
                <w:rFonts w:ascii="仿宋_GB2312" w:hAnsi="仿宋_GB2312" w:eastAsia="仿宋_GB2312" w:cs="仿宋_GB2312"/>
                <w:szCs w:val="21"/>
              </w:rPr>
              <w:t>2</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举办“黄河文化旅游节”系列活动。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以“彰显黄河文化、助力先行区建设”为主题，以传承弘扬黄河文化为依托，举办“平罗八点半”夜经济、宁夏“沙湖杯”健步走展演、粽香萦夏 玩转沙湖、“仰望星空 休闲露营”首届星空露营音乐美食会等黄河文化旅游系列活动，打造黄河文化旅游品牌。</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b/>
                <w:bCs/>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县文广局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08" w:type="dxa"/>
            <w:noWrap w:val="0"/>
            <w:vAlign w:val="center"/>
          </w:tcPr>
          <w:p>
            <w:pPr>
              <w:spacing w:line="280" w:lineRule="exact"/>
              <w:jc w:val="center"/>
              <w:rPr>
                <w:rFonts w:hint="default" w:ascii="仿宋_GB2312" w:hAnsi="仿宋_GB2312" w:eastAsia="仿宋_GB2312" w:cs="仿宋_GB2312"/>
                <w:szCs w:val="21"/>
              </w:rPr>
            </w:pPr>
            <w:r>
              <w:rPr>
                <w:rFonts w:ascii="仿宋_GB2312" w:hAnsi="仿宋_GB2312" w:eastAsia="仿宋_GB2312" w:cs="仿宋_GB2312"/>
                <w:szCs w:val="21"/>
              </w:rPr>
              <w:t>3</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举办“黄河生态保护校园周”活动。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将习近平生态文明思想和生态文明建设纳入学校教育教学安排，组织中小学生开展“黄河生态保护校园周”活动，通过举办主题班会、演讲、绘画、手抄报、环保知识竞赛等校园实践活动，宣传垃圾分类、节水节电、循环利用等生态环保知识。同时组织开展“我爱平罗”青年生态环保志愿服务行、平罗红领巾”生态环保主题研学一日营活动，进一步提升青少年生态环境保护意识。</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b/>
                <w:bCs/>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市生态环境局平罗分局、教体局、团县委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08" w:type="dxa"/>
            <w:noWrap w:val="0"/>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4</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举办智能绿色家电展销活动。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组织动员绿色家电销售企业，在社区、步行街及各大商贸综合体设立展销位，宣传推广使用智能绿色家电，倡导全民绿色低碳生活。</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08" w:type="dxa"/>
            <w:noWrap w:val="0"/>
            <w:vAlign w:val="center"/>
          </w:tcPr>
          <w:p>
            <w:pPr>
              <w:spacing w:line="280" w:lineRule="exact"/>
              <w:jc w:val="center"/>
              <w:rPr>
                <w:rFonts w:hint="default" w:ascii="仿宋_GB2312" w:hAnsi="仿宋_GB2312" w:eastAsia="仿宋_GB2312" w:cs="仿宋_GB2312"/>
                <w:szCs w:val="21"/>
              </w:rPr>
            </w:pPr>
            <w:r>
              <w:rPr>
                <w:rFonts w:ascii="仿宋_GB2312" w:hAnsi="仿宋_GB2312" w:eastAsia="仿宋_GB2312" w:cs="仿宋_GB2312"/>
                <w:szCs w:val="21"/>
              </w:rPr>
              <w:t>5</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开展“发展高效节水农业 夯实粮食安全‘耕’基”农业农村节水活动。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开展现代高效节水农业产品设备展示活动，大力推广现代高效节水新产品、新设备、新材料、新技术。各乡镇组织开展节水宣传进社区、进农村活动，向群众普及安全饮水、节约用水等知识，倡导全民养成良好的节约用水习惯，增强全社会的水患意识和水法治观念，加强水资源保护，营造依法治水、共护母亲河的良好氛围。</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b/>
                <w:bCs/>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县农业农村局，各乡镇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08" w:type="dxa"/>
            <w:noWrap w:val="0"/>
            <w:vAlign w:val="center"/>
          </w:tcPr>
          <w:p>
            <w:pPr>
              <w:spacing w:line="280" w:lineRule="exact"/>
              <w:jc w:val="center"/>
              <w:rPr>
                <w:rFonts w:hint="default" w:ascii="仿宋_GB2312" w:hAnsi="仿宋_GB2312" w:eastAsia="仿宋_GB2312" w:cs="仿宋_GB2312"/>
                <w:szCs w:val="21"/>
              </w:rPr>
            </w:pPr>
            <w:r>
              <w:rPr>
                <w:rFonts w:ascii="仿宋_GB2312" w:hAnsi="仿宋_GB2312" w:eastAsia="仿宋_GB2312" w:cs="仿宋_GB2312"/>
                <w:szCs w:val="21"/>
              </w:rPr>
              <w:t>6</w:t>
            </w:r>
          </w:p>
        </w:tc>
        <w:tc>
          <w:tcPr>
            <w:tcW w:w="186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举办打击野生动植物非法贸易“2023清风行动”。</w:t>
            </w:r>
          </w:p>
        </w:tc>
        <w:tc>
          <w:tcPr>
            <w:tcW w:w="7080" w:type="dxa"/>
            <w:noWrap w:val="0"/>
            <w:vAlign w:val="center"/>
          </w:tcPr>
          <w:p>
            <w:pPr>
              <w:spacing w:line="280" w:lineRule="exact"/>
              <w:rPr>
                <w:rFonts w:ascii="仿宋_GB2312" w:hAnsi="仿宋_GB2312" w:eastAsia="仿宋_GB2312" w:cs="仿宋_GB2312"/>
                <w:sz w:val="24"/>
                <w:szCs w:val="24"/>
              </w:rPr>
            </w:pPr>
            <w:r>
              <w:rPr>
                <w:rFonts w:ascii="仿宋_GB2312" w:hAnsi="仿宋_GB2312" w:eastAsia="仿宋_GB2312" w:cs="仿宋_GB2312"/>
                <w:sz w:val="24"/>
                <w:szCs w:val="24"/>
              </w:rPr>
              <w:t>开展联合执法行动，严厉打击破坏野生动植物资源违法犯罪行为。全方位、多渠道、多角度宣传普及鸟类等野生动物政策法规及科普知识，倡导鼓励支持文明观鸟拍鸟行为，共筑全社会关爱野生动物的良好社会氛围。</w:t>
            </w:r>
          </w:p>
        </w:tc>
        <w:tc>
          <w:tcPr>
            <w:tcW w:w="1550" w:type="dxa"/>
            <w:noWrap w:val="0"/>
            <w:vAlign w:val="center"/>
          </w:tcPr>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6月1日—</w:t>
            </w:r>
          </w:p>
          <w:p>
            <w:pPr>
              <w:spacing w:line="280" w:lineRule="exact"/>
              <w:jc w:val="center"/>
              <w:rPr>
                <w:rFonts w:ascii="仿宋_GB2312" w:hAnsi="仿宋_GB2312" w:eastAsia="仿宋_GB2312" w:cs="仿宋_GB2312"/>
                <w:sz w:val="24"/>
                <w:szCs w:val="24"/>
              </w:rPr>
            </w:pPr>
            <w:r>
              <w:rPr>
                <w:rFonts w:ascii="仿宋_GB2312" w:hAnsi="仿宋_GB2312" w:eastAsia="仿宋_GB2312" w:cs="仿宋_GB2312"/>
                <w:sz w:val="24"/>
                <w:szCs w:val="24"/>
              </w:rPr>
              <w:t>6月30日</w:t>
            </w:r>
          </w:p>
        </w:tc>
        <w:tc>
          <w:tcPr>
            <w:tcW w:w="3020" w:type="dxa"/>
            <w:noWrap w:val="0"/>
            <w:vAlign w:val="center"/>
          </w:tcPr>
          <w:p>
            <w:pPr>
              <w:spacing w:line="280" w:lineRule="exact"/>
              <w:rPr>
                <w:rFonts w:ascii="仿宋_GB2312" w:hAnsi="仿宋_GB2312" w:eastAsia="仿宋_GB2312" w:cs="仿宋_GB2312"/>
                <w:b/>
                <w:bCs/>
                <w:sz w:val="24"/>
                <w:szCs w:val="24"/>
              </w:rPr>
            </w:pPr>
            <w:r>
              <w:rPr>
                <w:rFonts w:ascii="仿宋_GB2312" w:hAnsi="仿宋_GB2312" w:eastAsia="仿宋_GB2312" w:cs="仿宋_GB2312"/>
                <w:b/>
                <w:bCs/>
                <w:sz w:val="24"/>
                <w:szCs w:val="24"/>
              </w:rPr>
              <w:t>牵头单位：</w:t>
            </w:r>
            <w:r>
              <w:rPr>
                <w:rFonts w:ascii="仿宋_GB2312" w:hAnsi="仿宋_GB2312" w:eastAsia="仿宋_GB2312" w:cs="仿宋_GB2312"/>
                <w:sz w:val="24"/>
                <w:szCs w:val="24"/>
              </w:rPr>
              <w:t>县自然资源局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A3B09BA"/>
    <w:rsid w:val="3A3B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rPr>
  </w:style>
  <w:style w:type="paragraph" w:styleId="2">
    <w:name w:val="heading 9"/>
    <w:basedOn w:val="1"/>
    <w:next w:val="1"/>
    <w:qFormat/>
    <w:uiPriority w:val="0"/>
    <w:pPr>
      <w:keepNext/>
      <w:keepLines/>
      <w:spacing w:line="317" w:lineRule="auto"/>
      <w:outlineLvl w:val="8"/>
    </w:pPr>
    <w:rPr>
      <w:rFonts w:ascii="Arial" w:hAnsi="Arial" w:eastAsia="黑体"/>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2023-07-01T07:39:00Z</dcterms:created>
  <dc:creator>糖果</dc:creator>
  <cp:lastModifiedBy>糖果</cp:lastModifiedBy>
  <dcterms:modified xsi:type="dcterms:W3CDTF">2023-07-01T07:45:44Z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E9401489C5E64089A189F5E57268BDEE_11</vt:lpwstr>
  </property>
</Properties>
</file>