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00" w:lineRule="exact"/>
        <w:jc w:val="center"/>
        <w:rPr>
          <w:rFonts w:hint="eastAsia" w:ascii="方正小标宋_GBK" w:hAnsi="方正小标宋简体" w:eastAsia="方正小标宋_GBK" w:cs="方正小标宋简体"/>
          <w:color w:val="000000"/>
          <w:sz w:val="44"/>
          <w:szCs w:val="44"/>
        </w:rPr>
      </w:pPr>
      <w:bookmarkStart w:id="567" w:name="_GoBack"/>
      <w:r>
        <w:rPr>
          <w:rFonts w:hint="eastAsia" w:ascii="方正小标宋_GBK" w:hAnsi="方正小标宋简体" w:eastAsia="方正小标宋_GBK" w:cs="方正小标宋简体"/>
          <w:color w:val="000000"/>
          <w:sz w:val="44"/>
          <w:szCs w:val="44"/>
        </w:rPr>
        <w:t>平罗县生态环境保护“十四五”规划</w:t>
      </w:r>
    </w:p>
    <w:bookmarkEnd w:id="567"/>
    <w:p>
      <w:pPr>
        <w:pStyle w:val="9"/>
        <w:spacing w:line="560" w:lineRule="exact"/>
        <w:jc w:val="both"/>
        <w:rPr>
          <w:rFonts w:eastAsia="方正仿宋_GBK" w:cs="Times New Roman"/>
          <w:b/>
          <w:bCs/>
          <w:color w:val="000000"/>
          <w:sz w:val="32"/>
          <w:szCs w:val="32"/>
        </w:rPr>
      </w:pPr>
    </w:p>
    <w:p>
      <w:pPr>
        <w:spacing w:line="560" w:lineRule="exact"/>
        <w:ind w:firstLine="640" w:firstLineChars="200"/>
        <w:jc w:val="both"/>
        <w:rPr>
          <w:rFonts w:eastAsia="方正仿宋_GBK" w:cs="Times New Roman"/>
          <w:color w:val="000000"/>
          <w:sz w:val="32"/>
          <w:szCs w:val="32"/>
        </w:rPr>
      </w:pPr>
      <w:bookmarkStart w:id="0" w:name="_Toc458069759"/>
      <w:bookmarkStart w:id="1" w:name="_Toc3743"/>
      <w:r>
        <w:rPr>
          <w:rFonts w:eastAsia="方正仿宋_GBK" w:cs="Times New Roman"/>
          <w:color w:val="000000"/>
          <w:sz w:val="32"/>
          <w:szCs w:val="32"/>
        </w:rPr>
        <w:t>为深入贯彻习近平生态文明思想，认真落实习近平总书记在黄河流域生态保护和高质量发展座谈会、视察宁夏重要讲话和重要指示批示精神，坚决打好生态环境保护战役，全力推进平罗县</w:t>
      </w:r>
      <w:r>
        <w:rPr>
          <w:rFonts w:hint="eastAsia" w:ascii="方正仿宋_GBK" w:eastAsia="方正仿宋_GBK" w:cs="Times New Roman"/>
          <w:color w:val="000000"/>
          <w:sz w:val="32"/>
          <w:szCs w:val="32"/>
        </w:rPr>
        <w:t>“</w:t>
      </w:r>
      <w:r>
        <w:rPr>
          <w:rFonts w:eastAsia="方正仿宋_GBK" w:cs="Times New Roman"/>
          <w:color w:val="000000"/>
          <w:sz w:val="32"/>
          <w:szCs w:val="32"/>
        </w:rPr>
        <w:t>1233</w:t>
      </w:r>
      <w:r>
        <w:rPr>
          <w:rFonts w:hint="eastAsia" w:ascii="方正仿宋_GBK" w:eastAsia="方正仿宋_GBK" w:cs="Times New Roman"/>
          <w:color w:val="000000"/>
          <w:sz w:val="32"/>
          <w:szCs w:val="32"/>
        </w:rPr>
        <w:t>”方</w:t>
      </w:r>
      <w:r>
        <w:rPr>
          <w:rFonts w:eastAsia="方正仿宋_GBK" w:cs="Times New Roman"/>
          <w:color w:val="000000"/>
          <w:sz w:val="32"/>
          <w:szCs w:val="32"/>
        </w:rPr>
        <w:t>向路径和战略任务落地落实，争当建设黄河流域生态保护和高质量发展先行区排头兵，努力打</w:t>
      </w:r>
      <w:r>
        <w:rPr>
          <w:rFonts w:hint="eastAsia" w:ascii="方正仿宋_GBK" w:eastAsia="方正仿宋_GBK" w:cs="Times New Roman"/>
          <w:color w:val="000000"/>
          <w:sz w:val="32"/>
          <w:szCs w:val="32"/>
        </w:rPr>
        <w:t>造“天蓝、地绿、水净”的生态环境面貌，依据《宁夏生态环境保护“十四五”规划</w:t>
      </w:r>
      <w:r>
        <w:rPr>
          <w:rFonts w:hint="eastAsia" w:ascii="方正仿宋_GBK" w:eastAsia="方正仿宋_GBK" w:cs="Times New Roman"/>
          <w:color w:val="000000"/>
          <w:w w:val="80"/>
          <w:sz w:val="32"/>
          <w:szCs w:val="32"/>
        </w:rPr>
        <w:t>》《</w:t>
      </w:r>
      <w:r>
        <w:rPr>
          <w:rFonts w:hint="eastAsia" w:ascii="方正仿宋_GBK" w:eastAsia="方正仿宋_GBK" w:cs="Times New Roman"/>
          <w:color w:val="000000"/>
          <w:sz w:val="32"/>
          <w:szCs w:val="32"/>
        </w:rPr>
        <w:t>石嘴山市生态环境保护“十四五”规划</w:t>
      </w:r>
      <w:r>
        <w:rPr>
          <w:rFonts w:eastAsia="方正仿宋_GBK" w:cs="Times New Roman"/>
          <w:color w:val="000000"/>
          <w:w w:val="80"/>
          <w:sz w:val="32"/>
          <w:szCs w:val="32"/>
        </w:rPr>
        <w:t>》《</w:t>
      </w:r>
      <w:r>
        <w:rPr>
          <w:rFonts w:eastAsia="方正仿宋_GBK" w:cs="Times New Roman"/>
          <w:color w:val="000000"/>
          <w:sz w:val="32"/>
          <w:szCs w:val="32"/>
        </w:rPr>
        <w:t>平罗县国民经济和社会发展第十四个五年规划和2035年远景目标纲要》，结合平罗县实际，制定本规划。</w:t>
      </w:r>
    </w:p>
    <w:bookmarkEnd w:id="0"/>
    <w:p>
      <w:pPr>
        <w:pStyle w:val="3"/>
        <w:keepNext w:val="0"/>
        <w:keepLines w:val="0"/>
        <w:spacing w:line="560" w:lineRule="exact"/>
        <w:ind w:firstLine="640" w:firstLineChars="200"/>
        <w:jc w:val="both"/>
        <w:rPr>
          <w:rFonts w:hint="eastAsia" w:ascii="方正黑体_GBK" w:eastAsia="方正黑体_GBK" w:cs="Times New Roman"/>
          <w:b w:val="0"/>
          <w:bCs w:val="0"/>
          <w:color w:val="000000"/>
          <w:szCs w:val="32"/>
        </w:rPr>
      </w:pPr>
      <w:bookmarkStart w:id="2" w:name="_Toc17070"/>
      <w:bookmarkStart w:id="3" w:name="_Toc18349"/>
      <w:bookmarkStart w:id="4" w:name="_Toc17717"/>
      <w:bookmarkStart w:id="5" w:name="_Toc4931"/>
      <w:bookmarkStart w:id="6" w:name="_Toc8401"/>
      <w:bookmarkStart w:id="7" w:name="_Toc10061"/>
      <w:bookmarkStart w:id="8" w:name="_Toc6518"/>
      <w:bookmarkStart w:id="9" w:name="_Toc7706"/>
      <w:bookmarkStart w:id="10" w:name="_Toc29167"/>
      <w:bookmarkStart w:id="11" w:name="_Toc30089"/>
      <w:bookmarkStart w:id="12" w:name="_Toc12387"/>
      <w:r>
        <w:rPr>
          <w:rFonts w:hint="eastAsia" w:ascii="方正黑体_GBK" w:eastAsia="方正黑体_GBK" w:cs="Times New Roman"/>
          <w:b w:val="0"/>
          <w:bCs w:val="0"/>
          <w:color w:val="000000"/>
          <w:szCs w:val="32"/>
        </w:rPr>
        <w:t>一</w:t>
      </w:r>
      <w:bookmarkStart w:id="13" w:name="_Toc364168033"/>
      <w:r>
        <w:rPr>
          <w:rFonts w:hint="eastAsia" w:ascii="方正黑体_GBK" w:eastAsia="方正黑体_GBK" w:cs="Times New Roman"/>
          <w:b w:val="0"/>
          <w:bCs w:val="0"/>
          <w:color w:val="000000"/>
          <w:szCs w:val="32"/>
        </w:rPr>
        <w:t>、“十三五”期间环境保护工作情况</w:t>
      </w:r>
      <w:bookmarkEnd w:id="2"/>
      <w:bookmarkEnd w:id="3"/>
      <w:bookmarkEnd w:id="4"/>
      <w:bookmarkEnd w:id="5"/>
      <w:bookmarkEnd w:id="6"/>
      <w:bookmarkEnd w:id="7"/>
      <w:bookmarkEnd w:id="8"/>
      <w:bookmarkEnd w:id="9"/>
      <w:bookmarkEnd w:id="10"/>
      <w:bookmarkEnd w:id="11"/>
      <w:bookmarkEnd w:id="12"/>
      <w:bookmarkEnd w:id="13"/>
      <w:bookmarkStart w:id="14" w:name="_Toc391232497"/>
    </w:p>
    <w:p>
      <w:pPr>
        <w:pStyle w:val="4"/>
        <w:keepNext w:val="0"/>
        <w:keepLines w:val="0"/>
        <w:spacing w:line="560" w:lineRule="exact"/>
        <w:ind w:firstLine="643" w:firstLineChars="200"/>
        <w:jc w:val="both"/>
        <w:rPr>
          <w:rFonts w:hint="eastAsia" w:ascii="方正楷体_GBK" w:hAnsi="Times New Roman" w:eastAsia="方正楷体_GBK" w:cs="Times New Roman"/>
          <w:color w:val="000000"/>
          <w:sz w:val="32"/>
        </w:rPr>
      </w:pPr>
      <w:bookmarkStart w:id="15" w:name="_Toc28206"/>
      <w:bookmarkStart w:id="16" w:name="_Toc1652"/>
      <w:bookmarkStart w:id="17" w:name="_Toc4186"/>
      <w:bookmarkStart w:id="18" w:name="_Toc4115"/>
      <w:bookmarkStart w:id="19" w:name="_Toc29557"/>
      <w:bookmarkStart w:id="20" w:name="_Toc23484"/>
      <w:bookmarkStart w:id="21" w:name="_Toc19593"/>
      <w:r>
        <w:rPr>
          <w:rFonts w:hint="eastAsia" w:ascii="方正楷体_GBK" w:hAnsi="Times New Roman" w:eastAsia="方正楷体_GBK" w:cs="Times New Roman"/>
          <w:color w:val="000000"/>
          <w:sz w:val="32"/>
        </w:rPr>
        <w:t>（一）污染减排成效显著</w:t>
      </w:r>
      <w:bookmarkEnd w:id="15"/>
      <w:bookmarkEnd w:id="16"/>
      <w:bookmarkEnd w:id="17"/>
      <w:bookmarkEnd w:id="18"/>
      <w:bookmarkEnd w:id="19"/>
      <w:bookmarkEnd w:id="20"/>
      <w:bookmarkEnd w:id="21"/>
    </w:p>
    <w:p>
      <w:pPr>
        <w:spacing w:line="560" w:lineRule="exact"/>
        <w:ind w:firstLine="640" w:firstLineChars="200"/>
        <w:jc w:val="both"/>
        <w:rPr>
          <w:rFonts w:eastAsia="方正仿宋_GBK" w:cs="Times New Roman"/>
          <w:color w:val="000000"/>
          <w:sz w:val="32"/>
          <w:szCs w:val="32"/>
        </w:rPr>
      </w:pPr>
      <w:r>
        <w:rPr>
          <w:rFonts w:hint="eastAsia" w:ascii="方正仿宋_GBK" w:eastAsia="方正仿宋_GBK" w:cs="Times New Roman"/>
          <w:color w:val="000000"/>
          <w:sz w:val="32"/>
          <w:szCs w:val="32"/>
          <w:lang w:bidi="en-US"/>
        </w:rPr>
        <w:t>“十三五”以</w:t>
      </w:r>
      <w:r>
        <w:rPr>
          <w:rFonts w:hint="eastAsia" w:ascii="方正仿宋_GBK" w:eastAsia="方正仿宋_GBK" w:cs="Times New Roman"/>
          <w:color w:val="000000"/>
          <w:sz w:val="32"/>
          <w:szCs w:val="32"/>
        </w:rPr>
        <w:t>来，在市委、市政府的领导下，平罗县认真贯彻落实《宁夏回族自治区“十三五”主要污染</w:t>
      </w:r>
      <w:r>
        <w:rPr>
          <w:rFonts w:eastAsia="方正仿宋_GBK" w:cs="Times New Roman"/>
          <w:color w:val="000000"/>
          <w:sz w:val="32"/>
          <w:szCs w:val="32"/>
        </w:rPr>
        <w:t>物总量控制规划》，紧紧围绕区、市下达的减排项目，</w:t>
      </w:r>
      <w:r>
        <w:rPr>
          <w:rFonts w:eastAsia="方正仿宋_GBK" w:cs="Times New Roman"/>
          <w:color w:val="000000"/>
          <w:sz w:val="32"/>
          <w:szCs w:val="32"/>
          <w:shd w:val="clear" w:color="auto" w:fill="FFFFFF"/>
        </w:rPr>
        <w:t>先后</w:t>
      </w:r>
      <w:r>
        <w:rPr>
          <w:rFonts w:eastAsia="方正仿宋_GBK" w:cs="Times New Roman"/>
          <w:color w:val="000000"/>
          <w:sz w:val="32"/>
          <w:szCs w:val="32"/>
          <w:lang w:bidi="en-US"/>
        </w:rPr>
        <w:t>组织</w:t>
      </w:r>
      <w:r>
        <w:rPr>
          <w:rFonts w:eastAsia="方正仿宋_GBK" w:cs="Times New Roman"/>
          <w:color w:val="000000"/>
          <w:sz w:val="32"/>
          <w:szCs w:val="32"/>
        </w:rPr>
        <w:t>实施七大类219个污染减排重点项目。其中：大气污染防治方面191个、水污染防治方面9个、土壤污染防治方面7个、生态保护与修复方面2个、固体废物治理与风险防控方面4个、环境监管能力建设方面4个、环保科技与产业发展方面2个。</w:t>
      </w:r>
      <w:r>
        <w:rPr>
          <w:rFonts w:hint="eastAsia" w:ascii="方正仿宋_GBK" w:eastAsia="方正仿宋_GBK" w:cs="Times New Roman"/>
          <w:color w:val="000000"/>
          <w:kern w:val="0"/>
          <w:sz w:val="32"/>
          <w:szCs w:val="32"/>
          <w:lang w:bidi="ar"/>
        </w:rPr>
        <w:t>“十三五”期间，全</w:t>
      </w:r>
      <w:r>
        <w:rPr>
          <w:rFonts w:eastAsia="方正仿宋_GBK" w:cs="Times New Roman"/>
          <w:color w:val="000000"/>
          <w:kern w:val="0"/>
          <w:sz w:val="32"/>
          <w:szCs w:val="32"/>
          <w:lang w:bidi="ar"/>
        </w:rPr>
        <w:t>县未发生重大环境污染事故，未发生因环保问题引起的大规模群体事件。</w:t>
      </w:r>
    </w:p>
    <w:p>
      <w:pPr>
        <w:pStyle w:val="4"/>
        <w:keepNext w:val="0"/>
        <w:keepLines w:val="0"/>
        <w:spacing w:line="560" w:lineRule="exact"/>
        <w:ind w:firstLine="643" w:firstLineChars="200"/>
        <w:jc w:val="both"/>
        <w:rPr>
          <w:rFonts w:hint="eastAsia" w:ascii="方正楷体_GBK" w:hAnsi="Times New Roman" w:eastAsia="方正楷体_GBK" w:cs="Times New Roman"/>
          <w:color w:val="000000"/>
          <w:sz w:val="32"/>
        </w:rPr>
      </w:pPr>
      <w:bookmarkStart w:id="22" w:name="_Toc20267"/>
      <w:bookmarkStart w:id="23" w:name="_Toc29308"/>
      <w:bookmarkStart w:id="24" w:name="_Toc2396"/>
      <w:bookmarkStart w:id="25" w:name="_Toc25730"/>
      <w:bookmarkStart w:id="26" w:name="_Toc5839"/>
      <w:bookmarkStart w:id="27" w:name="_Toc31972"/>
      <w:bookmarkStart w:id="28" w:name="_Toc31465"/>
      <w:r>
        <w:rPr>
          <w:rFonts w:hint="eastAsia" w:ascii="方正楷体_GBK" w:hAnsi="Times New Roman" w:eastAsia="方正楷体_GBK" w:cs="Times New Roman"/>
          <w:color w:val="000000"/>
          <w:sz w:val="32"/>
        </w:rPr>
        <w:t>（二）环境质量稳中趋好</w:t>
      </w:r>
      <w:bookmarkEnd w:id="22"/>
      <w:bookmarkEnd w:id="23"/>
      <w:bookmarkEnd w:id="24"/>
      <w:bookmarkEnd w:id="25"/>
      <w:bookmarkEnd w:id="26"/>
      <w:bookmarkEnd w:id="27"/>
      <w:bookmarkEnd w:id="28"/>
    </w:p>
    <w:p>
      <w:pPr>
        <w:spacing w:line="560" w:lineRule="exact"/>
        <w:ind w:firstLine="640" w:firstLineChars="200"/>
        <w:jc w:val="both"/>
        <w:rPr>
          <w:rFonts w:eastAsia="方正仿宋_GBK" w:cs="Times New Roman"/>
          <w:color w:val="000000"/>
          <w:sz w:val="32"/>
          <w:szCs w:val="32"/>
        </w:rPr>
      </w:pPr>
      <w:bookmarkStart w:id="29" w:name="_Toc5467"/>
      <w:bookmarkStart w:id="30" w:name="_Toc10262"/>
      <w:bookmarkStart w:id="31" w:name="_Toc9143"/>
      <w:bookmarkStart w:id="32" w:name="_Toc24856"/>
      <w:r>
        <w:rPr>
          <w:rFonts w:eastAsia="方正仿宋_GBK" w:cs="Times New Roman"/>
          <w:color w:val="000000"/>
          <w:sz w:val="32"/>
          <w:szCs w:val="32"/>
          <w:lang w:val="zh-CN"/>
        </w:rPr>
        <w:t>持续推进污染防治攻坚战，统筹山水林田湖草</w:t>
      </w:r>
      <w:r>
        <w:rPr>
          <w:rFonts w:hint="eastAsia" w:eastAsia="方正仿宋_GBK" w:cs="Times New Roman"/>
          <w:color w:val="000000"/>
          <w:sz w:val="32"/>
          <w:szCs w:val="32"/>
          <w:lang w:val="zh-CN"/>
        </w:rPr>
        <w:t>沙</w:t>
      </w:r>
      <w:r>
        <w:rPr>
          <w:rFonts w:eastAsia="方正仿宋_GBK" w:cs="Times New Roman"/>
          <w:color w:val="000000"/>
          <w:sz w:val="32"/>
          <w:szCs w:val="32"/>
          <w:lang w:val="zh-CN"/>
        </w:rPr>
        <w:t>一体化保护和修复，</w:t>
      </w:r>
      <w:r>
        <w:rPr>
          <w:rFonts w:eastAsia="方正仿宋_GBK" w:cs="Times New Roman"/>
          <w:color w:val="000000"/>
          <w:sz w:val="32"/>
          <w:szCs w:val="32"/>
        </w:rPr>
        <w:t>2020年，全县环境空气质量优良天数286天，达标比率为79.7%，完</w:t>
      </w:r>
      <w:r>
        <w:rPr>
          <w:rFonts w:hint="eastAsia" w:ascii="方正仿宋_GBK" w:eastAsia="方正仿宋_GBK" w:cs="Times New Roman"/>
          <w:color w:val="000000"/>
          <w:sz w:val="32"/>
          <w:szCs w:val="32"/>
        </w:rPr>
        <w:t>成“十三五”规</w:t>
      </w:r>
      <w:r>
        <w:rPr>
          <w:rFonts w:eastAsia="方正仿宋_GBK" w:cs="Times New Roman"/>
          <w:color w:val="000000"/>
          <w:sz w:val="32"/>
          <w:szCs w:val="32"/>
        </w:rPr>
        <w:t>划79%的目标任务，其中二氧化硫年均浓度与2015年相比下降57.7%，细颗粒物（PM</w:t>
      </w:r>
      <w:r>
        <w:rPr>
          <w:rFonts w:eastAsia="方正仿宋_GBK" w:cs="Times New Roman"/>
          <w:color w:val="000000"/>
          <w:sz w:val="32"/>
          <w:szCs w:val="32"/>
          <w:vertAlign w:val="subscript"/>
        </w:rPr>
        <w:t>2.5</w:t>
      </w:r>
      <w:r>
        <w:rPr>
          <w:rFonts w:eastAsia="方正仿宋_GBK" w:cs="Times New Roman"/>
          <w:color w:val="000000"/>
          <w:sz w:val="32"/>
          <w:szCs w:val="32"/>
        </w:rPr>
        <w:t>）年均浓度较2015年下降25%；黄河干流平罗段达到Ⅱ类，较2015年水质提高一个等级，沙湖水质稳定达到Ⅳ类，全县集中饮用水水源地水质、土壤环境、城市声环境质量总体良好，辐射环境安全；到2020年，全县农用地、重点监控企业周边土壤监测因子均未超标，土壤环境质量达标率为100%。</w:t>
      </w:r>
    </w:p>
    <w:p>
      <w:pPr>
        <w:pStyle w:val="4"/>
        <w:keepNext w:val="0"/>
        <w:keepLines w:val="0"/>
        <w:spacing w:line="560" w:lineRule="exact"/>
        <w:ind w:firstLine="643" w:firstLineChars="200"/>
        <w:jc w:val="both"/>
        <w:rPr>
          <w:rFonts w:hint="eastAsia" w:ascii="方正楷体_GBK" w:hAnsi="Times New Roman" w:eastAsia="方正楷体_GBK" w:cs="Times New Roman"/>
          <w:color w:val="000000"/>
          <w:sz w:val="32"/>
          <w:lang w:val="zh-CN"/>
        </w:rPr>
      </w:pPr>
      <w:bookmarkStart w:id="33" w:name="_Toc12254"/>
      <w:bookmarkStart w:id="34" w:name="_Toc21608"/>
      <w:r>
        <w:rPr>
          <w:rFonts w:hint="eastAsia" w:ascii="方正楷体_GBK" w:hAnsi="Times New Roman" w:eastAsia="方正楷体_GBK" w:cs="Times New Roman"/>
          <w:color w:val="000000"/>
          <w:sz w:val="32"/>
          <w:lang w:val="zh-CN"/>
        </w:rPr>
        <w:t>（三）大气污染防治扎实推进</w:t>
      </w:r>
      <w:bookmarkEnd w:id="29"/>
      <w:bookmarkEnd w:id="30"/>
      <w:bookmarkEnd w:id="31"/>
      <w:bookmarkEnd w:id="32"/>
      <w:bookmarkEnd w:id="33"/>
      <w:bookmarkEnd w:id="34"/>
      <w:r>
        <w:rPr>
          <w:rFonts w:hint="eastAsia" w:ascii="方正楷体_GBK" w:hAnsi="Times New Roman" w:eastAsia="方正楷体_GBK" w:cs="Times New Roman"/>
          <w:color w:val="000000"/>
          <w:sz w:val="32"/>
          <w:lang w:val="zh-CN"/>
        </w:rPr>
        <w:t xml:space="preserve"> </w:t>
      </w:r>
    </w:p>
    <w:p>
      <w:pPr>
        <w:spacing w:line="560" w:lineRule="exact"/>
        <w:ind w:firstLine="640" w:firstLineChars="200"/>
        <w:jc w:val="both"/>
        <w:rPr>
          <w:rFonts w:eastAsia="方正仿宋_GBK" w:cs="Times New Roman"/>
          <w:color w:val="000000"/>
          <w:sz w:val="32"/>
          <w:szCs w:val="32"/>
        </w:rPr>
      </w:pPr>
      <w:bookmarkStart w:id="35" w:name="_Toc6476"/>
      <w:bookmarkStart w:id="36" w:name="_Toc26511"/>
      <w:bookmarkStart w:id="37" w:name="_Toc13648"/>
      <w:bookmarkStart w:id="38" w:name="_Toc26860"/>
      <w:r>
        <w:rPr>
          <w:rFonts w:eastAsia="方正仿宋_GBK" w:cs="Times New Roman"/>
          <w:color w:val="000000"/>
          <w:sz w:val="32"/>
          <w:szCs w:val="32"/>
        </w:rPr>
        <w:t>坚</w:t>
      </w:r>
      <w:r>
        <w:rPr>
          <w:rFonts w:hint="eastAsia" w:ascii="方正仿宋_GBK" w:eastAsia="方正仿宋_GBK" w:cs="Times New Roman"/>
          <w:color w:val="000000"/>
          <w:sz w:val="32"/>
          <w:szCs w:val="32"/>
        </w:rPr>
        <w:t>持“治、建、管、防”并举，整合各部门力量，</w:t>
      </w:r>
      <w:r>
        <w:rPr>
          <w:rFonts w:eastAsia="方正仿宋_GBK" w:cs="Times New Roman"/>
          <w:color w:val="000000"/>
          <w:sz w:val="32"/>
          <w:szCs w:val="32"/>
        </w:rPr>
        <w:t>抓好重点行业、工业堆场、煤质管控、燃煤锅炉等大气污染防治任务落实。推进重点行业脱硫、脱硝、除尘改造，完成脱硫治理10家23台、脱硝治理4家6台套、除尘改造25家48台套；淘汰燃煤锅炉256台616.15蒸吨，实施燃煤锅炉清洁能源改造348台299.275蒸吨，升级改造20蒸吨以上燃煤锅炉15台270蒸吨。狠抓挥发性有机物综合治理，完成7家化工、制药生产企业挥发性有机物综合治理和52家加油站油气回收治理；淘汰黄标车1670余辆，报废淘汰老旧车450余辆。划定建成区高污染燃料禁燃区面积14.2平方公里，建成18个洁净煤配煤中心，实现县域洁净煤配送全覆盖。企业建设封闭式和半封闭式物料车间、储煤仓、挡风抑尘墙和喷淋降尘设施，施工渣土封闭运输。县城建成区全面开展道路湿式机械清扫工作，加大清扫频次，切实减少城市道路扬尘。</w:t>
      </w:r>
      <w:r>
        <w:rPr>
          <w:rFonts w:hint="eastAsia" w:ascii="方正仿宋_GBK" w:eastAsia="方正仿宋_GBK" w:cs="Times New Roman"/>
          <w:color w:val="000000"/>
          <w:sz w:val="32"/>
          <w:szCs w:val="32"/>
        </w:rPr>
        <w:t>建立“乡镇为单位、村居为单元、村民组为基础”的三</w:t>
      </w:r>
      <w:r>
        <w:rPr>
          <w:rFonts w:eastAsia="方正仿宋_GBK" w:cs="Times New Roman"/>
          <w:color w:val="000000"/>
          <w:sz w:val="32"/>
          <w:szCs w:val="32"/>
        </w:rPr>
        <w:t>级管控网络，实施秸秆综合利用深松深翻项目，秸秆焚烧现象得到有效遏制。</w:t>
      </w:r>
      <w:bookmarkStart w:id="39" w:name="_Toc4781"/>
    </w:p>
    <w:p>
      <w:pPr>
        <w:pStyle w:val="4"/>
        <w:keepNext w:val="0"/>
        <w:keepLines w:val="0"/>
        <w:spacing w:line="560" w:lineRule="exact"/>
        <w:ind w:firstLine="643" w:firstLineChars="200"/>
        <w:jc w:val="both"/>
        <w:rPr>
          <w:rFonts w:hint="eastAsia" w:ascii="方正楷体_GBK" w:hAnsi="Times New Roman" w:eastAsia="方正楷体_GBK" w:cs="Times New Roman"/>
          <w:color w:val="000000"/>
          <w:sz w:val="32"/>
          <w:lang w:val="zh-CN"/>
        </w:rPr>
      </w:pPr>
      <w:bookmarkStart w:id="40" w:name="_Toc15565"/>
      <w:bookmarkStart w:id="41" w:name="_Toc7731"/>
      <w:r>
        <w:rPr>
          <w:rFonts w:hint="eastAsia" w:ascii="方正楷体_GBK" w:hAnsi="Times New Roman" w:eastAsia="方正楷体_GBK" w:cs="Times New Roman"/>
          <w:color w:val="000000"/>
          <w:sz w:val="32"/>
          <w:lang w:val="zh-CN"/>
        </w:rPr>
        <w:t>（四）水污染治理全面实</w:t>
      </w:r>
      <w:bookmarkEnd w:id="35"/>
      <w:bookmarkEnd w:id="36"/>
      <w:bookmarkEnd w:id="37"/>
      <w:bookmarkEnd w:id="38"/>
      <w:r>
        <w:rPr>
          <w:rFonts w:hint="eastAsia" w:ascii="方正楷体_GBK" w:hAnsi="Times New Roman" w:eastAsia="方正楷体_GBK" w:cs="Times New Roman"/>
          <w:color w:val="000000"/>
          <w:sz w:val="32"/>
          <w:lang w:val="zh-CN"/>
        </w:rPr>
        <w:t>施</w:t>
      </w:r>
      <w:bookmarkEnd w:id="39"/>
      <w:bookmarkEnd w:id="40"/>
      <w:bookmarkEnd w:id="41"/>
      <w:bookmarkStart w:id="42" w:name="_Toc28457"/>
      <w:bookmarkStart w:id="43" w:name="_Toc21464"/>
      <w:bookmarkStart w:id="44" w:name="_Toc31531"/>
    </w:p>
    <w:p>
      <w:pPr>
        <w:pStyle w:val="5"/>
        <w:keepNext w:val="0"/>
        <w:keepLines w:val="0"/>
        <w:spacing w:line="560" w:lineRule="exact"/>
        <w:ind w:firstLine="643" w:firstLineChars="200"/>
        <w:jc w:val="both"/>
        <w:rPr>
          <w:rFonts w:eastAsia="方正仿宋_GBK" w:cs="Times New Roman"/>
          <w:color w:val="000000"/>
          <w:sz w:val="32"/>
        </w:rPr>
      </w:pPr>
      <w:bookmarkStart w:id="45" w:name="_Toc2316"/>
      <w:bookmarkStart w:id="46" w:name="_Toc25602"/>
      <w:r>
        <w:rPr>
          <w:rFonts w:eastAsia="方正仿宋_GBK" w:cs="Times New Roman"/>
          <w:color w:val="000000"/>
          <w:sz w:val="32"/>
        </w:rPr>
        <w:t>1.工业废水污染治理</w:t>
      </w:r>
      <w:bookmarkEnd w:id="42"/>
      <w:bookmarkEnd w:id="43"/>
      <w:r>
        <w:rPr>
          <w:rFonts w:eastAsia="方正仿宋_GBK" w:cs="Times New Roman"/>
          <w:color w:val="000000"/>
          <w:sz w:val="32"/>
        </w:rPr>
        <w:t>加强</w:t>
      </w:r>
      <w:bookmarkEnd w:id="44"/>
      <w:bookmarkEnd w:id="45"/>
      <w:bookmarkEnd w:id="46"/>
    </w:p>
    <w:p>
      <w:pPr>
        <w:spacing w:line="560" w:lineRule="exact"/>
        <w:ind w:firstLine="640" w:firstLineChars="200"/>
        <w:jc w:val="both"/>
        <w:rPr>
          <w:rFonts w:eastAsia="方正仿宋_GBK" w:cs="Times New Roman"/>
          <w:color w:val="000000"/>
          <w:sz w:val="32"/>
          <w:szCs w:val="32"/>
        </w:rPr>
      </w:pPr>
      <w:bookmarkStart w:id="47" w:name="_Toc27612"/>
      <w:r>
        <w:rPr>
          <w:rFonts w:eastAsia="方正仿宋_GBK" w:cs="Times New Roman"/>
          <w:color w:val="000000"/>
          <w:sz w:val="32"/>
          <w:szCs w:val="32"/>
        </w:rPr>
        <w:t>投资2.64亿元，建设宁夏平罗工业园区医药产业园和循环经济产业园2个污水处理厂及园区配套集污管网；投资8000万元，建成宁夏精细化工基地污水处理厂及配套管网，确保企业工业废水全部收集统一深度处理达标排放。涉水企业严格落实环境保护主体责任，通过工艺改造、废水预处理、安装在线监测设施等措施，加快工业污水排放源头治理。</w:t>
      </w:r>
      <w:bookmarkEnd w:id="47"/>
      <w:bookmarkStart w:id="48" w:name="_Toc10368"/>
      <w:bookmarkStart w:id="49" w:name="_Toc8395"/>
      <w:bookmarkStart w:id="50" w:name="_Toc3364"/>
    </w:p>
    <w:p>
      <w:pPr>
        <w:pStyle w:val="5"/>
        <w:keepNext w:val="0"/>
        <w:keepLines w:val="0"/>
        <w:spacing w:line="560" w:lineRule="exact"/>
        <w:ind w:firstLine="643" w:firstLineChars="200"/>
        <w:jc w:val="both"/>
        <w:rPr>
          <w:rFonts w:eastAsia="方正仿宋_GBK" w:cs="Times New Roman"/>
          <w:color w:val="000000"/>
          <w:sz w:val="32"/>
        </w:rPr>
      </w:pPr>
      <w:bookmarkStart w:id="51" w:name="_Toc17460"/>
      <w:bookmarkStart w:id="52" w:name="_Toc31997"/>
      <w:r>
        <w:rPr>
          <w:rFonts w:eastAsia="方正仿宋_GBK" w:cs="Times New Roman"/>
          <w:color w:val="000000"/>
          <w:sz w:val="32"/>
        </w:rPr>
        <w:t>2.城镇生活污水污染治理</w:t>
      </w:r>
      <w:bookmarkEnd w:id="48"/>
      <w:bookmarkEnd w:id="49"/>
      <w:r>
        <w:rPr>
          <w:rFonts w:eastAsia="方正仿宋_GBK" w:cs="Times New Roman"/>
          <w:color w:val="000000"/>
          <w:sz w:val="32"/>
        </w:rPr>
        <w:t>加强</w:t>
      </w:r>
      <w:bookmarkEnd w:id="50"/>
      <w:bookmarkEnd w:id="51"/>
      <w:bookmarkEnd w:id="52"/>
    </w:p>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加强对城镇污水收集管网、城市污水处理厂等基础设施建设。平罗县第一、第二生活污水处理厂完成提标改造，达到一级A排放标准，县城生活污水处理率达到95%。提高县城中水回用率，减少污染物排放，到2020年，全县再生水利用率达到30%以上。</w:t>
      </w:r>
      <w:bookmarkStart w:id="53" w:name="_Toc9806"/>
      <w:bookmarkStart w:id="54" w:name="_Toc20784"/>
      <w:bookmarkStart w:id="55" w:name="_Toc14927"/>
    </w:p>
    <w:p>
      <w:pPr>
        <w:pStyle w:val="5"/>
        <w:keepNext w:val="0"/>
        <w:keepLines w:val="0"/>
        <w:spacing w:line="560" w:lineRule="exact"/>
        <w:ind w:firstLine="643" w:firstLineChars="200"/>
        <w:jc w:val="both"/>
        <w:rPr>
          <w:rFonts w:eastAsia="方正仿宋_GBK" w:cs="Times New Roman"/>
          <w:color w:val="000000"/>
          <w:sz w:val="32"/>
        </w:rPr>
      </w:pPr>
      <w:bookmarkStart w:id="56" w:name="_Toc25214"/>
      <w:bookmarkStart w:id="57" w:name="_Toc1477"/>
      <w:r>
        <w:rPr>
          <w:rFonts w:eastAsia="方正仿宋_GBK" w:cs="Times New Roman"/>
          <w:color w:val="000000"/>
          <w:sz w:val="32"/>
        </w:rPr>
        <w:t>3.重点流域水污染防治</w:t>
      </w:r>
      <w:bookmarkEnd w:id="53"/>
      <w:bookmarkEnd w:id="54"/>
      <w:r>
        <w:rPr>
          <w:rFonts w:eastAsia="方正仿宋_GBK" w:cs="Times New Roman"/>
          <w:color w:val="000000"/>
          <w:sz w:val="32"/>
        </w:rPr>
        <w:t>取得阶段性成效</w:t>
      </w:r>
      <w:bookmarkEnd w:id="55"/>
      <w:bookmarkEnd w:id="56"/>
      <w:bookmarkEnd w:id="57"/>
    </w:p>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加强重点河湖水污染防治，开展黄河流域平罗段重点区域排水沟环境综合整治，通过落实责任、源头治理、管网改造、截流净化、综合整治等措施，扎实推进水污染防治，取得阶段性成效。全面落实河湖长制，设置22个县级河长、45个乡级河长和179个村级河长，建立流域常态化巡查保洁机制。对生活、生产废水及农田退水进行深度治理，实施威镇湖截流净化工程，建设三二支沟平罗段水环境治理人工湿地项目和典农河流域平罗段（三排庄）水环境治理人工湿地项目，有效改善三排、三二支沟水体水质。</w:t>
      </w:r>
      <w:bookmarkStart w:id="58" w:name="_Toc31029"/>
      <w:bookmarkStart w:id="59" w:name="_Toc24254"/>
      <w:bookmarkStart w:id="60" w:name="_Toc28247"/>
    </w:p>
    <w:p>
      <w:pPr>
        <w:pStyle w:val="5"/>
        <w:keepNext w:val="0"/>
        <w:keepLines w:val="0"/>
        <w:spacing w:line="540" w:lineRule="exact"/>
        <w:ind w:firstLine="643" w:firstLineChars="200"/>
        <w:jc w:val="both"/>
        <w:rPr>
          <w:rFonts w:eastAsia="方正仿宋_GBK" w:cs="Times New Roman"/>
          <w:color w:val="000000"/>
          <w:sz w:val="32"/>
        </w:rPr>
      </w:pPr>
      <w:bookmarkStart w:id="61" w:name="_Toc30580"/>
      <w:bookmarkStart w:id="62" w:name="_Toc18959"/>
      <w:r>
        <w:rPr>
          <w:rFonts w:eastAsia="方正仿宋_GBK" w:cs="Times New Roman"/>
          <w:color w:val="000000"/>
          <w:sz w:val="32"/>
        </w:rPr>
        <w:t>4.饮用水水源地保护</w:t>
      </w:r>
      <w:bookmarkEnd w:id="58"/>
      <w:bookmarkEnd w:id="59"/>
      <w:bookmarkEnd w:id="60"/>
      <w:bookmarkEnd w:id="61"/>
      <w:r>
        <w:rPr>
          <w:rFonts w:eastAsia="方正仿宋_GBK" w:cs="Times New Roman"/>
          <w:color w:val="000000"/>
          <w:sz w:val="32"/>
        </w:rPr>
        <w:t>成效显著</w:t>
      </w:r>
      <w:bookmarkEnd w:id="62"/>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开展饮用水水源环境保护，划定大水沟水源地范围，确定边界矢量坐标；开展水源地整治，实施大水沟水源地保护项目，完成大水沟水源地保护围网安装、宣传牌和警示牌设置，清理整治保护区违章建筑，种植适宜于当地生长环境的树种，加强保护区对水源的涵养功能。加强水源地应急能力、环境事故风险防范能力，加大饮用水水源地预警体系建设，避免或防止饮用水源污染，定期开展水源地应急演练，保障居民生活用水安全。</w:t>
      </w:r>
      <w:bookmarkStart w:id="63" w:name="_Toc5534"/>
      <w:bookmarkStart w:id="64" w:name="_Toc20984"/>
      <w:bookmarkStart w:id="65" w:name="_Toc23101"/>
      <w:bookmarkStart w:id="66" w:name="_Toc9425"/>
      <w:bookmarkStart w:id="67" w:name="_Toc28594"/>
    </w:p>
    <w:p>
      <w:pPr>
        <w:pStyle w:val="4"/>
        <w:keepNext w:val="0"/>
        <w:keepLines w:val="0"/>
        <w:spacing w:line="540" w:lineRule="exact"/>
        <w:ind w:firstLine="643" w:firstLineChars="200"/>
        <w:jc w:val="both"/>
        <w:rPr>
          <w:rFonts w:hint="eastAsia" w:ascii="方正楷体_GBK" w:hAnsi="Times New Roman" w:eastAsia="方正楷体_GBK" w:cs="Times New Roman"/>
          <w:color w:val="000000"/>
          <w:sz w:val="32"/>
        </w:rPr>
      </w:pPr>
      <w:bookmarkStart w:id="68" w:name="_Toc10432"/>
      <w:bookmarkStart w:id="69" w:name="_Toc30464"/>
      <w:r>
        <w:rPr>
          <w:rFonts w:hint="eastAsia" w:ascii="方正楷体_GBK" w:hAnsi="Times New Roman" w:eastAsia="方正楷体_GBK" w:cs="Times New Roman"/>
          <w:color w:val="000000"/>
          <w:sz w:val="32"/>
        </w:rPr>
        <w:t>（五）固废及危险废物规范化处置</w:t>
      </w:r>
      <w:bookmarkEnd w:id="63"/>
      <w:bookmarkEnd w:id="64"/>
      <w:bookmarkEnd w:id="65"/>
      <w:bookmarkEnd w:id="66"/>
      <w:bookmarkEnd w:id="67"/>
      <w:bookmarkEnd w:id="68"/>
      <w:bookmarkEnd w:id="69"/>
      <w:bookmarkStart w:id="70" w:name="_Toc31835"/>
      <w:bookmarkStart w:id="71" w:name="_Toc17884"/>
    </w:p>
    <w:p>
      <w:pPr>
        <w:pStyle w:val="5"/>
        <w:keepNext w:val="0"/>
        <w:keepLines w:val="0"/>
        <w:spacing w:line="540" w:lineRule="exact"/>
        <w:ind w:firstLine="643" w:firstLineChars="200"/>
        <w:jc w:val="both"/>
        <w:rPr>
          <w:rFonts w:eastAsia="方正仿宋_GBK" w:cs="Times New Roman"/>
          <w:color w:val="000000"/>
          <w:sz w:val="32"/>
        </w:rPr>
      </w:pPr>
      <w:bookmarkStart w:id="72" w:name="_Toc17028"/>
      <w:bookmarkStart w:id="73" w:name="_Toc19243"/>
      <w:bookmarkStart w:id="74" w:name="_Toc1131"/>
      <w:r>
        <w:rPr>
          <w:rFonts w:eastAsia="方正仿宋_GBK" w:cs="Times New Roman"/>
          <w:color w:val="000000"/>
          <w:sz w:val="32"/>
        </w:rPr>
        <w:t>1.工业固体废物处置利用</w:t>
      </w:r>
      <w:bookmarkEnd w:id="70"/>
      <w:bookmarkEnd w:id="71"/>
      <w:r>
        <w:rPr>
          <w:rFonts w:eastAsia="方正仿宋_GBK" w:cs="Times New Roman"/>
          <w:color w:val="000000"/>
          <w:sz w:val="32"/>
        </w:rPr>
        <w:t>率得到提高</w:t>
      </w:r>
      <w:bookmarkEnd w:id="72"/>
      <w:bookmarkEnd w:id="73"/>
      <w:bookmarkEnd w:id="74"/>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通过强化工业固废台账管理，引导企业优化生产工艺、提高设备自动化程度和原料利用率等方式降低固废产生量，提高固废综合利用率。截至2020年末，全县一般工业固废企业72家，产生固废总计405.87万吨，综合利用一般工业固废企业22家，综合利用固废249.75万吨，利用率为61.53%。</w:t>
      </w:r>
      <w:bookmarkStart w:id="75" w:name="_Toc9200"/>
      <w:bookmarkStart w:id="76" w:name="_Toc18077"/>
      <w:bookmarkStart w:id="77" w:name="_Toc13510"/>
      <w:r>
        <w:rPr>
          <w:rFonts w:eastAsia="方正仿宋_GBK" w:cs="Times New Roman"/>
          <w:color w:val="000000"/>
          <w:sz w:val="32"/>
          <w:szCs w:val="32"/>
        </w:rPr>
        <w:t>依据安全、质量、环保、节能等方面法律法规及产业政策的综合标准，依法依规推动落后产能退出，五年来因退出落后产能减少109.9吨一般工业固废产生。</w:t>
      </w:r>
    </w:p>
    <w:p>
      <w:pPr>
        <w:pStyle w:val="5"/>
        <w:keepNext w:val="0"/>
        <w:keepLines w:val="0"/>
        <w:spacing w:line="540" w:lineRule="exact"/>
        <w:ind w:firstLine="643" w:firstLineChars="200"/>
        <w:jc w:val="both"/>
        <w:rPr>
          <w:rFonts w:eastAsia="方正仿宋_GBK" w:cs="Times New Roman"/>
          <w:color w:val="000000"/>
          <w:sz w:val="32"/>
        </w:rPr>
      </w:pPr>
      <w:bookmarkStart w:id="78" w:name="_Toc27186"/>
      <w:bookmarkStart w:id="79" w:name="_Toc8672"/>
      <w:r>
        <w:rPr>
          <w:rFonts w:eastAsia="方正仿宋_GBK" w:cs="Times New Roman"/>
          <w:color w:val="000000"/>
          <w:sz w:val="32"/>
        </w:rPr>
        <w:t>2.危险废物无害化处置水平</w:t>
      </w:r>
      <w:bookmarkEnd w:id="75"/>
      <w:bookmarkEnd w:id="76"/>
      <w:r>
        <w:rPr>
          <w:rFonts w:eastAsia="方正仿宋_GBK" w:cs="Times New Roman"/>
          <w:color w:val="000000"/>
          <w:sz w:val="32"/>
        </w:rPr>
        <w:t>显著提高</w:t>
      </w:r>
      <w:bookmarkEnd w:id="77"/>
      <w:bookmarkEnd w:id="78"/>
      <w:bookmarkEnd w:id="79"/>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引导企业采取无毒、无害或者低毒的原料替代毒性大、危害严重的原料，减少危险废物的产生。强化危险废物产生、转移、利用、处置的全过程监管，规范危险废物利用处置行为。建立重点危险废物产生单位污染源视频监控系统，规范危险废物产生单位和经营单位管理。到2020年危险废物产生单位和处置单位规范化管理合格率分别稳定保持在90%和95%以上，医疗机构医疗废物集中收集处置覆盖率达到100%，使危险废物减量化、无害化和资源化水平得到显著提高。</w:t>
      </w:r>
      <w:bookmarkStart w:id="80" w:name="_Toc17619"/>
      <w:bookmarkStart w:id="81" w:name="_Toc24609"/>
      <w:bookmarkStart w:id="82" w:name="_Toc6514"/>
    </w:p>
    <w:p>
      <w:pPr>
        <w:pStyle w:val="5"/>
        <w:keepNext w:val="0"/>
        <w:keepLines w:val="0"/>
        <w:spacing w:line="540" w:lineRule="exact"/>
        <w:ind w:firstLine="643" w:firstLineChars="200"/>
        <w:jc w:val="both"/>
        <w:rPr>
          <w:rFonts w:eastAsia="方正仿宋_GBK" w:cs="Times New Roman"/>
          <w:color w:val="000000"/>
          <w:sz w:val="32"/>
        </w:rPr>
      </w:pPr>
      <w:bookmarkStart w:id="83" w:name="_Toc23141"/>
      <w:bookmarkStart w:id="84" w:name="_Toc12559"/>
      <w:r>
        <w:rPr>
          <w:rFonts w:eastAsia="方正仿宋_GBK" w:cs="Times New Roman"/>
          <w:color w:val="000000"/>
          <w:sz w:val="32"/>
        </w:rPr>
        <w:t>3.生活垃圾无害化处置水平</w:t>
      </w:r>
      <w:bookmarkEnd w:id="80"/>
      <w:bookmarkEnd w:id="81"/>
      <w:r>
        <w:rPr>
          <w:rFonts w:eastAsia="方正仿宋_GBK" w:cs="Times New Roman"/>
          <w:color w:val="000000"/>
          <w:sz w:val="32"/>
        </w:rPr>
        <w:t>全面提升</w:t>
      </w:r>
      <w:bookmarkEnd w:id="82"/>
      <w:bookmarkEnd w:id="83"/>
      <w:bookmarkEnd w:id="84"/>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升级改造垃圾收集房、公共卫生间，购置大型市政、环卫作业设备，提高机械化作业水平。建立完善城镇生活垃圾处理监管体系</w:t>
      </w:r>
      <w:bookmarkStart w:id="85" w:name="_Toc23854"/>
      <w:bookmarkStart w:id="86" w:name="_Toc27188"/>
      <w:bookmarkStart w:id="87" w:name="_Toc19551"/>
      <w:r>
        <w:rPr>
          <w:rFonts w:eastAsia="方正仿宋_GBK" w:cs="Times New Roman"/>
          <w:color w:val="000000"/>
          <w:sz w:val="32"/>
          <w:szCs w:val="32"/>
        </w:rPr>
        <w:t>，到2020年底前城市生活垃圾无害化处理率100%。</w:t>
      </w:r>
    </w:p>
    <w:bookmarkEnd w:id="85"/>
    <w:bookmarkEnd w:id="86"/>
    <w:bookmarkEnd w:id="87"/>
    <w:p>
      <w:pPr>
        <w:pStyle w:val="4"/>
        <w:keepNext w:val="0"/>
        <w:keepLines w:val="0"/>
        <w:spacing w:line="540" w:lineRule="exact"/>
        <w:ind w:firstLine="643" w:firstLineChars="200"/>
        <w:jc w:val="both"/>
        <w:rPr>
          <w:rFonts w:hint="eastAsia" w:ascii="方正楷体_GBK" w:hAnsi="Times New Roman" w:eastAsia="方正楷体_GBK" w:cs="Times New Roman"/>
          <w:color w:val="000000"/>
          <w:sz w:val="32"/>
        </w:rPr>
      </w:pPr>
      <w:bookmarkStart w:id="88" w:name="_Toc12758"/>
      <w:bookmarkStart w:id="89" w:name="_Toc30134"/>
      <w:bookmarkStart w:id="90" w:name="_Toc11171"/>
      <w:bookmarkStart w:id="91" w:name="_Toc30497"/>
      <w:bookmarkStart w:id="92" w:name="_Toc23712"/>
      <w:bookmarkStart w:id="93" w:name="_Toc25292"/>
      <w:bookmarkStart w:id="94" w:name="_Toc14829"/>
      <w:r>
        <w:rPr>
          <w:rFonts w:hint="eastAsia" w:ascii="方正楷体_GBK" w:hAnsi="Times New Roman" w:eastAsia="方正楷体_GBK" w:cs="Times New Roman"/>
          <w:color w:val="000000"/>
          <w:sz w:val="32"/>
        </w:rPr>
        <w:t>（六）城市环境问题综合整治</w:t>
      </w:r>
      <w:bookmarkEnd w:id="88"/>
      <w:bookmarkEnd w:id="89"/>
      <w:bookmarkEnd w:id="90"/>
      <w:bookmarkEnd w:id="91"/>
      <w:r>
        <w:rPr>
          <w:rFonts w:hint="eastAsia" w:ascii="方正楷体_GBK" w:hAnsi="Times New Roman" w:eastAsia="方正楷体_GBK" w:cs="Times New Roman"/>
          <w:color w:val="000000"/>
          <w:sz w:val="32"/>
        </w:rPr>
        <w:t>进一步提升</w:t>
      </w:r>
      <w:bookmarkEnd w:id="92"/>
      <w:bookmarkEnd w:id="93"/>
      <w:bookmarkEnd w:id="94"/>
      <w:bookmarkStart w:id="95" w:name="_Toc3372"/>
      <w:bookmarkStart w:id="96" w:name="_Toc28257"/>
      <w:bookmarkStart w:id="97" w:name="_Toc16628"/>
    </w:p>
    <w:p>
      <w:pPr>
        <w:pStyle w:val="5"/>
        <w:keepNext w:val="0"/>
        <w:keepLines w:val="0"/>
        <w:spacing w:line="540" w:lineRule="exact"/>
        <w:ind w:firstLine="643" w:firstLineChars="200"/>
        <w:jc w:val="both"/>
        <w:rPr>
          <w:rFonts w:eastAsia="方正仿宋_GBK" w:cs="Times New Roman"/>
          <w:color w:val="000000"/>
          <w:sz w:val="32"/>
        </w:rPr>
      </w:pPr>
      <w:bookmarkStart w:id="98" w:name="_Toc11751"/>
      <w:bookmarkStart w:id="99" w:name="_Toc29377"/>
      <w:r>
        <w:rPr>
          <w:rFonts w:eastAsia="方正仿宋_GBK" w:cs="Times New Roman"/>
          <w:color w:val="000000"/>
          <w:sz w:val="32"/>
        </w:rPr>
        <w:t>1.城市环境噪声治理</w:t>
      </w:r>
      <w:bookmarkEnd w:id="95"/>
      <w:bookmarkEnd w:id="96"/>
      <w:r>
        <w:rPr>
          <w:rFonts w:eastAsia="方正仿宋_GBK" w:cs="Times New Roman"/>
          <w:color w:val="000000"/>
          <w:sz w:val="32"/>
        </w:rPr>
        <w:t>加强</w:t>
      </w:r>
      <w:bookmarkEnd w:id="97"/>
      <w:bookmarkEnd w:id="98"/>
      <w:bookmarkEnd w:id="99"/>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以县城区主要噪声污染源为重点，加强交通、施工、社会生活、工业企业噪声污染防治。对施工噪声申报管理，实施建筑施工环保公告制度，依法限定施工作业时间，严格限制在敏感区内进行夜间施工产生噪声污染作业。对加工、维修、餐饮、娱乐、健身、超市及其他商业服务业严控噪声，加大敏感区内的文体活动和室内娱乐活动噪声管理力度和措施。</w:t>
      </w:r>
      <w:bookmarkStart w:id="100" w:name="_Toc28518"/>
      <w:bookmarkStart w:id="101" w:name="_Toc20998"/>
      <w:bookmarkStart w:id="102" w:name="_Toc7935"/>
    </w:p>
    <w:p>
      <w:pPr>
        <w:pStyle w:val="5"/>
        <w:keepNext w:val="0"/>
        <w:keepLines w:val="0"/>
        <w:spacing w:line="540" w:lineRule="exact"/>
        <w:ind w:firstLine="643" w:firstLineChars="200"/>
        <w:jc w:val="both"/>
        <w:rPr>
          <w:rFonts w:eastAsia="方正仿宋_GBK" w:cs="Times New Roman"/>
          <w:color w:val="000000"/>
          <w:sz w:val="32"/>
        </w:rPr>
      </w:pPr>
      <w:bookmarkStart w:id="103" w:name="_Toc28943"/>
      <w:bookmarkStart w:id="104" w:name="_Toc12108"/>
      <w:r>
        <w:rPr>
          <w:rFonts w:eastAsia="方正仿宋_GBK" w:cs="Times New Roman"/>
          <w:color w:val="000000"/>
          <w:sz w:val="32"/>
        </w:rPr>
        <w:t>2.城市油烟、异味整治</w:t>
      </w:r>
      <w:bookmarkEnd w:id="100"/>
      <w:bookmarkEnd w:id="101"/>
      <w:r>
        <w:rPr>
          <w:rFonts w:eastAsia="方正仿宋_GBK" w:cs="Times New Roman"/>
          <w:color w:val="000000"/>
          <w:sz w:val="32"/>
        </w:rPr>
        <w:t>加强</w:t>
      </w:r>
      <w:bookmarkEnd w:id="102"/>
      <w:bookmarkEnd w:id="103"/>
      <w:bookmarkEnd w:id="104"/>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推广油烟净化及节能技术，加强油烟净化设施运行管理；推广环保烧烤炉具使用，整治露天烧烤，解决城市餐饮油烟排放问题。加大室内餐饮业经营单位监管力度，严厉查处违法违规及环保投诉的餐饮经营单位，重点对产生异味的污染源开展整治，加大对恶臭气体的监测力度。</w:t>
      </w:r>
      <w:bookmarkStart w:id="105" w:name="_Toc30265"/>
      <w:bookmarkStart w:id="106" w:name="_Toc21979"/>
      <w:bookmarkStart w:id="107" w:name="_Toc16601"/>
    </w:p>
    <w:p>
      <w:pPr>
        <w:pStyle w:val="5"/>
        <w:keepNext w:val="0"/>
        <w:keepLines w:val="0"/>
        <w:spacing w:line="540" w:lineRule="exact"/>
        <w:ind w:firstLine="643" w:firstLineChars="200"/>
        <w:jc w:val="both"/>
        <w:rPr>
          <w:rFonts w:eastAsia="方正仿宋_GBK" w:cs="Times New Roman"/>
          <w:color w:val="000000"/>
          <w:sz w:val="32"/>
        </w:rPr>
      </w:pPr>
      <w:bookmarkStart w:id="108" w:name="_Toc10717"/>
      <w:bookmarkStart w:id="109" w:name="_Toc7507"/>
      <w:r>
        <w:rPr>
          <w:rFonts w:eastAsia="方正仿宋_GBK" w:cs="Times New Roman"/>
          <w:color w:val="000000"/>
          <w:sz w:val="32"/>
        </w:rPr>
        <w:t>3.城镇生态人居体系</w:t>
      </w:r>
      <w:bookmarkEnd w:id="105"/>
      <w:bookmarkEnd w:id="106"/>
      <w:r>
        <w:rPr>
          <w:rFonts w:eastAsia="方正仿宋_GBK" w:cs="Times New Roman"/>
          <w:color w:val="000000"/>
          <w:sz w:val="32"/>
        </w:rPr>
        <w:t>科学建设</w:t>
      </w:r>
      <w:bookmarkEnd w:id="107"/>
      <w:bookmarkEnd w:id="108"/>
      <w:bookmarkEnd w:id="109"/>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城镇规划做到科学分区、合理布局，逐步完善公共服务设施和公共绿地，发展节地、节水、无污染的生态建筑。加强城镇建设与管理，改善城镇生态系统，优化人居环境。加强县域内第三排水沟、第五排水沟河岸带以及天然湖泊湖岸带绿化，达到环境美化功能与护岸、减污、涵养水源等生态功能相结合的目的。</w:t>
      </w:r>
      <w:bookmarkStart w:id="110" w:name="_Toc25868"/>
      <w:bookmarkStart w:id="111" w:name="_Toc4225"/>
      <w:bookmarkStart w:id="112" w:name="_Toc18167"/>
      <w:bookmarkStart w:id="113" w:name="_Toc32164"/>
      <w:bookmarkStart w:id="114" w:name="_Toc17015"/>
      <w:bookmarkStart w:id="115" w:name="_Toc13325"/>
    </w:p>
    <w:p>
      <w:pPr>
        <w:pStyle w:val="4"/>
        <w:keepNext w:val="0"/>
        <w:keepLines w:val="0"/>
        <w:spacing w:line="540" w:lineRule="exact"/>
        <w:ind w:firstLine="643" w:firstLineChars="200"/>
        <w:jc w:val="both"/>
        <w:rPr>
          <w:rFonts w:hint="eastAsia" w:ascii="方正楷体_GBK" w:hAnsi="Times New Roman" w:eastAsia="方正楷体_GBK" w:cs="Times New Roman"/>
          <w:color w:val="000000"/>
          <w:sz w:val="32"/>
        </w:rPr>
      </w:pPr>
      <w:bookmarkStart w:id="116" w:name="_Toc27021"/>
      <w:r>
        <w:rPr>
          <w:rFonts w:hint="eastAsia" w:ascii="方正楷体_GBK" w:hAnsi="Times New Roman" w:eastAsia="方正楷体_GBK" w:cs="Times New Roman"/>
          <w:color w:val="000000"/>
          <w:sz w:val="32"/>
        </w:rPr>
        <w:t>（七）农村环境整治实现全覆盖</w:t>
      </w:r>
      <w:bookmarkEnd w:id="110"/>
      <w:bookmarkEnd w:id="111"/>
      <w:bookmarkEnd w:id="112"/>
      <w:bookmarkEnd w:id="113"/>
      <w:bookmarkEnd w:id="114"/>
      <w:bookmarkEnd w:id="115"/>
      <w:bookmarkEnd w:id="116"/>
      <w:bookmarkStart w:id="117" w:name="_Toc13112"/>
      <w:bookmarkStart w:id="118" w:name="_Toc32035"/>
      <w:bookmarkStart w:id="119" w:name="_Toc4818"/>
      <w:bookmarkStart w:id="120" w:name="_Toc28092"/>
    </w:p>
    <w:p>
      <w:pPr>
        <w:spacing w:line="540" w:lineRule="exact"/>
        <w:ind w:firstLine="643" w:firstLineChars="200"/>
        <w:jc w:val="both"/>
        <w:rPr>
          <w:rFonts w:eastAsia="方正仿宋_GBK" w:cs="Times New Roman"/>
          <w:b/>
          <w:bCs/>
          <w:color w:val="000000"/>
          <w:sz w:val="32"/>
          <w:szCs w:val="32"/>
        </w:rPr>
      </w:pPr>
      <w:r>
        <w:rPr>
          <w:rFonts w:eastAsia="方正仿宋_GBK" w:cs="Times New Roman"/>
          <w:b/>
          <w:bCs/>
          <w:color w:val="000000"/>
          <w:sz w:val="32"/>
          <w:szCs w:val="32"/>
        </w:rPr>
        <w:t>1.农村环境整治管理加强</w:t>
      </w:r>
      <w:bookmarkEnd w:id="117"/>
      <w:bookmarkEnd w:id="118"/>
      <w:bookmarkEnd w:id="119"/>
      <w:bookmarkEnd w:id="120"/>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加强农村生活污水处理设施及生活垃圾处置设施运行监督管理及运行维护机制建设。到2020年，全县农村中心村生活垃圾无害化处置率达到90%，生活污水处理率达到20%。</w:t>
      </w:r>
      <w:bookmarkStart w:id="121" w:name="_Toc32404"/>
      <w:bookmarkStart w:id="122" w:name="_Toc13455"/>
      <w:bookmarkStart w:id="123" w:name="_Toc250"/>
    </w:p>
    <w:p>
      <w:pPr>
        <w:pStyle w:val="5"/>
        <w:keepNext w:val="0"/>
        <w:keepLines w:val="0"/>
        <w:spacing w:line="540" w:lineRule="exact"/>
        <w:ind w:firstLine="643" w:firstLineChars="200"/>
        <w:jc w:val="both"/>
        <w:rPr>
          <w:rFonts w:eastAsia="方正仿宋_GBK" w:cs="Times New Roman"/>
          <w:color w:val="000000"/>
          <w:sz w:val="32"/>
        </w:rPr>
      </w:pPr>
      <w:bookmarkStart w:id="124" w:name="_Toc10523"/>
      <w:bookmarkStart w:id="125" w:name="_Toc22880"/>
      <w:r>
        <w:rPr>
          <w:rFonts w:eastAsia="方正仿宋_GBK" w:cs="Times New Roman"/>
          <w:color w:val="000000"/>
          <w:sz w:val="32"/>
        </w:rPr>
        <w:t>2.农村饮水安全</w:t>
      </w:r>
      <w:bookmarkEnd w:id="121"/>
      <w:bookmarkEnd w:id="122"/>
      <w:r>
        <w:rPr>
          <w:rFonts w:eastAsia="方正仿宋_GBK" w:cs="Times New Roman"/>
          <w:color w:val="000000"/>
          <w:sz w:val="32"/>
        </w:rPr>
        <w:t>得到保障</w:t>
      </w:r>
      <w:bookmarkEnd w:id="123"/>
      <w:bookmarkEnd w:id="124"/>
      <w:bookmarkEnd w:id="125"/>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划定农村饮用水水源保护区范围，实施农村饮用水源地保护工程，开展农村饮用水水源地水质监测。严格农村工业项目环境准入，防止落后产能向农村转移，定期开展农村饮用水水源地环境保护专项执法检查，清理整治水源保护区内的污染源，到2020年农村集中式饮用水源地保护率达到100%。</w:t>
      </w:r>
      <w:bookmarkStart w:id="126" w:name="_Toc16887"/>
      <w:bookmarkStart w:id="127" w:name="_Toc7842"/>
      <w:bookmarkStart w:id="128" w:name="_Toc17038"/>
    </w:p>
    <w:p>
      <w:pPr>
        <w:pStyle w:val="5"/>
        <w:keepNext w:val="0"/>
        <w:keepLines w:val="0"/>
        <w:spacing w:line="540" w:lineRule="exact"/>
        <w:ind w:firstLine="643" w:firstLineChars="200"/>
        <w:jc w:val="both"/>
        <w:rPr>
          <w:rFonts w:eastAsia="方正仿宋_GBK" w:cs="Times New Roman"/>
          <w:color w:val="000000"/>
          <w:sz w:val="32"/>
        </w:rPr>
      </w:pPr>
      <w:bookmarkStart w:id="129" w:name="_Toc15394"/>
      <w:bookmarkStart w:id="130" w:name="_Toc30126"/>
      <w:r>
        <w:rPr>
          <w:rFonts w:eastAsia="方正仿宋_GBK" w:cs="Times New Roman"/>
          <w:color w:val="000000"/>
          <w:sz w:val="32"/>
        </w:rPr>
        <w:t>3.农业面源污染防</w:t>
      </w:r>
      <w:bookmarkEnd w:id="126"/>
      <w:bookmarkEnd w:id="127"/>
      <w:r>
        <w:rPr>
          <w:rFonts w:eastAsia="方正仿宋_GBK" w:cs="Times New Roman"/>
          <w:color w:val="000000"/>
          <w:sz w:val="32"/>
        </w:rPr>
        <w:t>控体系全面建设</w:t>
      </w:r>
      <w:bookmarkEnd w:id="128"/>
      <w:bookmarkEnd w:id="129"/>
      <w:bookmarkEnd w:id="130"/>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大力提高农业污染防治水平，推广普及测土配方施肥技术和缓释肥，推广使用生物农药或高效、低毒、低残留农药，推广病虫草害综合防治、生物防治和精准施药等技术，健全农业面源污染立体防控体系。加强畜禽养殖污染长效治理，划定畜禽禁养区域，优化畜禽养殖业发展布局，发展生态养殖模式。自2016年起，新建、改建、扩建规模化畜禽养殖场（小区）实施雨污分流、粪便污水资源化利用。到2017年底前，依法关闭或搬迁禁养区内的畜禽养殖场（小区）和养殖专业户。散养密集区实行畜禽粪便污水分户收集、集中处理利用。规模化畜禽养殖场配套完善的粪污贮存处理设施比例达到80%，30%的养殖专业户实施粪污集中收集处理和利用。到2020年农村规模化畜禽养殖粪便综合利用率达到90%。</w:t>
      </w:r>
      <w:bookmarkStart w:id="131" w:name="_Toc13030"/>
      <w:bookmarkStart w:id="132" w:name="_Toc24698"/>
      <w:bookmarkStart w:id="133" w:name="_Toc5816"/>
      <w:r>
        <w:rPr>
          <w:rFonts w:eastAsia="方正仿宋_GBK" w:cs="Times New Roman"/>
          <w:color w:val="000000"/>
          <w:sz w:val="32"/>
          <w:szCs w:val="32"/>
        </w:rPr>
        <w:t xml:space="preserve">  </w:t>
      </w:r>
      <w:bookmarkStart w:id="134" w:name="_Toc30488"/>
    </w:p>
    <w:p>
      <w:pPr>
        <w:spacing w:line="540" w:lineRule="exact"/>
        <w:ind w:firstLine="643" w:firstLineChars="200"/>
        <w:jc w:val="both"/>
        <w:rPr>
          <w:rFonts w:eastAsia="方正仿宋_GBK" w:cs="Times New Roman"/>
          <w:b/>
          <w:bCs/>
          <w:color w:val="000000"/>
          <w:sz w:val="32"/>
          <w:szCs w:val="32"/>
        </w:rPr>
      </w:pPr>
      <w:r>
        <w:rPr>
          <w:rFonts w:eastAsia="方正仿宋_GBK" w:cs="Times New Roman"/>
          <w:b/>
          <w:bCs/>
          <w:color w:val="000000"/>
          <w:sz w:val="32"/>
          <w:szCs w:val="32"/>
        </w:rPr>
        <w:t>4.土壤污染防治不断加强</w:t>
      </w:r>
      <w:bookmarkEnd w:id="131"/>
      <w:bookmarkEnd w:id="134"/>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开展农用地土壤污染状况调查，摸清土壤污染类型、分布、范围、程度和污染物种类、来源。加强土壤环境监测能力建设，把土壤环境质量监测纳入环境监测预警体系建设。加大土壤污染整治力度，实施农用地分级管理和建设用地分类管控，对受污染土壤进行修复治理。</w:t>
      </w:r>
      <w:bookmarkEnd w:id="132"/>
      <w:bookmarkEnd w:id="133"/>
      <w:bookmarkStart w:id="135" w:name="_Toc6913"/>
    </w:p>
    <w:p>
      <w:pPr>
        <w:pStyle w:val="4"/>
        <w:keepNext w:val="0"/>
        <w:keepLines w:val="0"/>
        <w:spacing w:line="540" w:lineRule="exact"/>
        <w:ind w:firstLine="643" w:firstLineChars="200"/>
        <w:jc w:val="both"/>
        <w:rPr>
          <w:rFonts w:hint="eastAsia" w:ascii="方正楷体_GBK" w:hAnsi="Times New Roman" w:eastAsia="方正楷体_GBK" w:cs="Times New Roman"/>
          <w:color w:val="000000"/>
          <w:sz w:val="32"/>
        </w:rPr>
      </w:pPr>
      <w:bookmarkStart w:id="136" w:name="_Toc13345"/>
      <w:bookmarkStart w:id="137" w:name="_Toc18694"/>
      <w:r>
        <w:rPr>
          <w:rFonts w:hint="eastAsia" w:ascii="方正楷体_GBK" w:hAnsi="Times New Roman" w:eastAsia="方正楷体_GBK" w:cs="Times New Roman"/>
          <w:color w:val="000000"/>
          <w:sz w:val="32"/>
        </w:rPr>
        <w:t>（八）实施生态治理和修复，强化自然保护区保护</w:t>
      </w:r>
      <w:bookmarkEnd w:id="135"/>
      <w:bookmarkEnd w:id="136"/>
      <w:bookmarkEnd w:id="137"/>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加强对贺兰山国家级自然保护区和沙湖自然保护区的监管，编制完成《平罗县空间规划（2016—2030）》，划定生态空间1037.3平方公里，生态保护红线460.01平方公里。依据遥感监测问题清单，编制《宁夏贺兰山自然保护区平罗县大水沟原西北轴承厂遗址生态环境综合治理工程实施方案》，实施覆土和撒播草籽的生态环境恢复治理。对沙湖自然保护区（沙湖景区区域）内31处实施生态治理和修复，全部完成清理整治恢复。</w:t>
      </w:r>
      <w:bookmarkStart w:id="138" w:name="_Toc12760"/>
      <w:bookmarkStart w:id="139" w:name="_Toc6937"/>
      <w:bookmarkStart w:id="140" w:name="_Toc22726"/>
      <w:bookmarkStart w:id="141" w:name="_Toc19491"/>
      <w:bookmarkStart w:id="142" w:name="_Toc20247"/>
    </w:p>
    <w:p>
      <w:pPr>
        <w:pStyle w:val="4"/>
        <w:keepNext w:val="0"/>
        <w:keepLines w:val="0"/>
        <w:spacing w:line="540" w:lineRule="exact"/>
        <w:ind w:firstLine="643" w:firstLineChars="200"/>
        <w:jc w:val="both"/>
        <w:rPr>
          <w:rFonts w:hint="eastAsia" w:ascii="方正楷体_GBK" w:hAnsi="Times New Roman" w:eastAsia="方正楷体_GBK" w:cs="Times New Roman"/>
          <w:color w:val="000000"/>
          <w:sz w:val="32"/>
        </w:rPr>
      </w:pPr>
      <w:bookmarkStart w:id="143" w:name="_Toc28157"/>
      <w:bookmarkStart w:id="144" w:name="_Toc31390"/>
      <w:r>
        <w:rPr>
          <w:rFonts w:hint="eastAsia" w:ascii="方正楷体_GBK" w:hAnsi="Times New Roman" w:eastAsia="方正楷体_GBK" w:cs="Times New Roman"/>
          <w:color w:val="000000"/>
          <w:sz w:val="32"/>
        </w:rPr>
        <w:t>（九）环境监管能力进一步提升</w:t>
      </w:r>
      <w:bookmarkEnd w:id="138"/>
      <w:bookmarkEnd w:id="139"/>
      <w:bookmarkEnd w:id="140"/>
      <w:bookmarkEnd w:id="141"/>
      <w:bookmarkEnd w:id="142"/>
      <w:bookmarkEnd w:id="143"/>
      <w:bookmarkEnd w:id="144"/>
      <w:bookmarkStart w:id="145" w:name="_Toc14543"/>
      <w:bookmarkStart w:id="146" w:name="_Toc4877"/>
      <w:bookmarkStart w:id="147" w:name="_Toc4073"/>
    </w:p>
    <w:p>
      <w:pPr>
        <w:pStyle w:val="5"/>
        <w:keepNext w:val="0"/>
        <w:keepLines w:val="0"/>
        <w:spacing w:line="540" w:lineRule="exact"/>
        <w:ind w:firstLine="643" w:firstLineChars="200"/>
        <w:jc w:val="both"/>
        <w:rPr>
          <w:rFonts w:eastAsia="方正仿宋_GBK" w:cs="Times New Roman"/>
          <w:color w:val="000000"/>
          <w:sz w:val="32"/>
        </w:rPr>
      </w:pPr>
      <w:bookmarkStart w:id="148" w:name="_Toc11737"/>
      <w:bookmarkStart w:id="149" w:name="_Toc1344"/>
      <w:r>
        <w:rPr>
          <w:rFonts w:eastAsia="方正仿宋_GBK" w:cs="Times New Roman"/>
          <w:color w:val="000000"/>
          <w:sz w:val="32"/>
        </w:rPr>
        <w:t>1.重点领域环境风险管理</w:t>
      </w:r>
      <w:bookmarkEnd w:id="145"/>
      <w:bookmarkEnd w:id="146"/>
      <w:r>
        <w:rPr>
          <w:rFonts w:eastAsia="方正仿宋_GBK" w:cs="Times New Roman"/>
          <w:color w:val="000000"/>
          <w:sz w:val="32"/>
        </w:rPr>
        <w:t>有较大提升</w:t>
      </w:r>
      <w:bookmarkEnd w:id="147"/>
      <w:bookmarkEnd w:id="148"/>
      <w:bookmarkEnd w:id="149"/>
    </w:p>
    <w:p>
      <w:pPr>
        <w:spacing w:line="540" w:lineRule="exact"/>
        <w:ind w:firstLine="640" w:firstLineChars="200"/>
        <w:jc w:val="both"/>
        <w:rPr>
          <w:rFonts w:eastAsia="方正仿宋_GBK" w:cs="Times New Roman"/>
          <w:color w:val="000000"/>
          <w:sz w:val="32"/>
          <w:szCs w:val="32"/>
          <w:lang w:val="zh-CN"/>
        </w:rPr>
      </w:pPr>
      <w:r>
        <w:rPr>
          <w:rFonts w:eastAsia="方正仿宋_GBK" w:cs="Times New Roman"/>
          <w:color w:val="000000"/>
          <w:sz w:val="32"/>
          <w:szCs w:val="32"/>
        </w:rPr>
        <w:t>从调整产业布局和结构入手，对潜在环境危害和区域环境特征选择环境要素进行调查与分析，逐步淘汰高污染、高排放、高毒等高风险生产工艺，降低区域环境风险水平。深入排查排放重金属、持久性有机物、危险废物和生产使用危险化学品等企业，建立环境风险源分类档案和信息数据库，实行动态更新、分类管理。严格控制辖区内新建涉重金属项目，加快推进涉重金属企业工艺改造，坚决淘汰落后产能，强化清洁生产、污染物治理等措施，有效减少重金属污染物排放。开展重点行业环境风险评估，动态评估环境风险等级，实施分级管理。依托固体危险废物动态监管信息平台对企业固废产生、堆存、处置等实施全过程监管。</w:t>
      </w:r>
      <w:bookmarkStart w:id="150" w:name="_Toc24859"/>
    </w:p>
    <w:p>
      <w:pPr>
        <w:pStyle w:val="5"/>
        <w:keepNext w:val="0"/>
        <w:keepLines w:val="0"/>
        <w:spacing w:line="540" w:lineRule="exact"/>
        <w:ind w:firstLine="643" w:firstLineChars="200"/>
        <w:jc w:val="both"/>
        <w:rPr>
          <w:rFonts w:eastAsia="方正仿宋_GBK" w:cs="Times New Roman"/>
          <w:color w:val="000000"/>
          <w:sz w:val="32"/>
        </w:rPr>
      </w:pPr>
      <w:bookmarkStart w:id="151" w:name="_Toc27056"/>
      <w:bookmarkStart w:id="152" w:name="_Toc7047"/>
      <w:r>
        <w:rPr>
          <w:rFonts w:eastAsia="方正仿宋_GBK" w:cs="Times New Roman"/>
          <w:color w:val="000000"/>
          <w:sz w:val="32"/>
        </w:rPr>
        <w:t>2.环境风险防范有序开展</w:t>
      </w:r>
      <w:bookmarkEnd w:id="150"/>
      <w:bookmarkEnd w:id="151"/>
      <w:bookmarkEnd w:id="152"/>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健全完善环境风险预测预警体系，建立突发环境事件应急预案备案制度，督促可能发生重大环境污染事故的企业制定完善环境应急预案。完善环境应急专家库和救援应急联动机制，组织开展环境应急演练，提升突发环境污染事件处置能力。逐步建立环境应急管理队伍，加强处置装备以及应急监测、处置人才队伍等应急保障能力建设，强化环境风险管控与环境应急响应。到2020年，突发环境事件应急预案修编和备案率达到100%，有效防范和遏制重特大环境污染事故发生。</w:t>
      </w:r>
      <w:bookmarkStart w:id="153" w:name="_Toc8271"/>
      <w:bookmarkStart w:id="154" w:name="_Toc983"/>
      <w:bookmarkStart w:id="155" w:name="_Toc29751"/>
      <w:bookmarkStart w:id="156" w:name="_Toc18921"/>
    </w:p>
    <w:p>
      <w:pPr>
        <w:pStyle w:val="4"/>
        <w:keepNext w:val="0"/>
        <w:keepLines w:val="0"/>
        <w:spacing w:line="540" w:lineRule="exact"/>
        <w:ind w:firstLine="643" w:firstLineChars="200"/>
        <w:jc w:val="both"/>
        <w:rPr>
          <w:rFonts w:hint="eastAsia" w:ascii="方正楷体_GBK" w:hAnsi="Times New Roman" w:eastAsia="方正楷体_GBK" w:cs="Times New Roman"/>
          <w:color w:val="000000"/>
          <w:sz w:val="32"/>
        </w:rPr>
      </w:pPr>
      <w:bookmarkStart w:id="157" w:name="_Toc18340"/>
      <w:bookmarkStart w:id="158" w:name="_Toc29153"/>
      <w:bookmarkStart w:id="159" w:name="_Toc10765"/>
      <w:r>
        <w:rPr>
          <w:rFonts w:hint="eastAsia" w:ascii="方正楷体_GBK" w:hAnsi="Times New Roman" w:eastAsia="方正楷体_GBK" w:cs="Times New Roman"/>
          <w:color w:val="000000"/>
          <w:sz w:val="32"/>
        </w:rPr>
        <w:t>（十）</w:t>
      </w:r>
      <w:bookmarkEnd w:id="153"/>
      <w:bookmarkEnd w:id="154"/>
      <w:bookmarkEnd w:id="155"/>
      <w:bookmarkEnd w:id="156"/>
      <w:bookmarkEnd w:id="157"/>
      <w:bookmarkEnd w:id="158"/>
      <w:bookmarkStart w:id="160" w:name="_Toc11823"/>
      <w:bookmarkStart w:id="161" w:name="_Toc27807"/>
      <w:bookmarkStart w:id="162" w:name="_Toc14830"/>
      <w:bookmarkStart w:id="163" w:name="_Toc30418"/>
      <w:bookmarkStart w:id="164" w:name="_Toc349"/>
      <w:bookmarkStart w:id="165" w:name="_Toc8852"/>
      <w:r>
        <w:rPr>
          <w:rFonts w:hint="eastAsia" w:ascii="方正楷体_GBK" w:hAnsi="Times New Roman" w:eastAsia="方正楷体_GBK" w:cs="Times New Roman"/>
          <w:color w:val="000000"/>
          <w:sz w:val="32"/>
        </w:rPr>
        <w:t>公众环保意识逐渐提升</w:t>
      </w:r>
      <w:bookmarkEnd w:id="159"/>
      <w:bookmarkEnd w:id="160"/>
      <w:bookmarkEnd w:id="161"/>
      <w:bookmarkEnd w:id="162"/>
      <w:bookmarkEnd w:id="163"/>
      <w:bookmarkEnd w:id="164"/>
      <w:bookmarkEnd w:id="165"/>
    </w:p>
    <w:p>
      <w:pPr>
        <w:spacing w:line="54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充分利用报刊、电视、广播电台、网络、移动通讯等新闻媒体，广泛开展生态文明和环境意识宣传教育。通过开</w:t>
      </w:r>
      <w:r>
        <w:rPr>
          <w:rFonts w:hint="eastAsia" w:ascii="方正仿宋_GBK" w:eastAsia="方正仿宋_GBK" w:cs="Times New Roman"/>
          <w:color w:val="000000"/>
          <w:sz w:val="32"/>
          <w:szCs w:val="32"/>
        </w:rPr>
        <w:t>展“</w:t>
      </w:r>
      <w:r>
        <w:rPr>
          <w:rFonts w:eastAsia="方正仿宋_GBK" w:cs="Times New Roman"/>
          <w:color w:val="000000"/>
          <w:sz w:val="32"/>
          <w:szCs w:val="32"/>
        </w:rPr>
        <w:t>6.5</w:t>
      </w:r>
      <w:r>
        <w:rPr>
          <w:rFonts w:hint="eastAsia" w:ascii="方正仿宋_GBK" w:eastAsia="方正仿宋_GBK" w:cs="Times New Roman"/>
          <w:color w:val="000000"/>
          <w:sz w:val="32"/>
          <w:szCs w:val="32"/>
        </w:rPr>
        <w:t>”世界环境日、“</w:t>
      </w:r>
      <w:r>
        <w:rPr>
          <w:rFonts w:eastAsia="方正仿宋_GBK" w:cs="Times New Roman"/>
          <w:color w:val="000000"/>
          <w:sz w:val="32"/>
          <w:szCs w:val="32"/>
        </w:rPr>
        <w:t>4.22</w:t>
      </w:r>
      <w:r>
        <w:rPr>
          <w:rFonts w:hint="eastAsia" w:ascii="方正仿宋_GBK" w:eastAsia="方正仿宋_GBK" w:cs="Times New Roman"/>
          <w:color w:val="000000"/>
          <w:sz w:val="32"/>
          <w:szCs w:val="32"/>
        </w:rPr>
        <w:t>”世界地球日、“</w:t>
      </w:r>
      <w:r>
        <w:rPr>
          <w:rFonts w:eastAsia="方正仿宋_GBK" w:cs="Times New Roman"/>
          <w:color w:val="000000"/>
          <w:sz w:val="32"/>
          <w:szCs w:val="32"/>
        </w:rPr>
        <w:t>9.16</w:t>
      </w:r>
      <w:r>
        <w:rPr>
          <w:rFonts w:hint="eastAsia" w:ascii="方正仿宋_GBK" w:eastAsia="方正仿宋_GBK" w:cs="Times New Roman"/>
          <w:color w:val="000000"/>
          <w:sz w:val="32"/>
          <w:szCs w:val="32"/>
        </w:rPr>
        <w:t>”国际保护臭氧层日、“</w:t>
      </w:r>
      <w:r>
        <w:rPr>
          <w:rFonts w:eastAsia="方正仿宋_GBK" w:cs="Times New Roman"/>
          <w:color w:val="000000"/>
          <w:sz w:val="32"/>
          <w:szCs w:val="32"/>
        </w:rPr>
        <w:t>12.4</w:t>
      </w:r>
      <w:r>
        <w:rPr>
          <w:rFonts w:hint="eastAsia" w:ascii="方正仿宋_GBK" w:eastAsia="方正仿宋_GBK" w:cs="Times New Roman"/>
          <w:color w:val="000000"/>
          <w:sz w:val="32"/>
          <w:szCs w:val="32"/>
        </w:rPr>
        <w:t>”</w:t>
      </w:r>
      <w:r>
        <w:rPr>
          <w:rFonts w:eastAsia="方正仿宋_GBK" w:cs="Times New Roman"/>
          <w:color w:val="000000"/>
          <w:sz w:val="32"/>
          <w:szCs w:val="32"/>
        </w:rPr>
        <w:t>法制宣传日等重大节日宣传活动，增强全社会节约资源、保护环境的责任感和紧迫感，引导社会各方力量参与环境保护，使社会公众的环保意识总体上有很大提高。</w:t>
      </w:r>
      <w:bookmarkStart w:id="166" w:name="_Toc1614"/>
      <w:bookmarkStart w:id="167" w:name="_Toc4215"/>
      <w:bookmarkStart w:id="168" w:name="_Toc17073"/>
      <w:bookmarkStart w:id="169" w:name="_Toc3575"/>
      <w:bookmarkStart w:id="170" w:name="_Toc28677"/>
      <w:bookmarkStart w:id="171" w:name="_Toc23919"/>
      <w:bookmarkStart w:id="172" w:name="_Toc6231"/>
      <w:bookmarkStart w:id="173" w:name="_Toc16744"/>
    </w:p>
    <w:p>
      <w:pPr>
        <w:ind w:firstLine="643" w:firstLineChars="200"/>
        <w:jc w:val="both"/>
        <w:rPr>
          <w:rFonts w:hint="eastAsia" w:ascii="仿宋_GB2312" w:hAnsi="仿宋_GB2312" w:eastAsia="仿宋_GB2312"/>
          <w:color w:val="000000"/>
          <w:szCs w:val="32"/>
        </w:rPr>
      </w:pPr>
      <w:r>
        <w:rPr>
          <w:rFonts w:hint="eastAsia" w:ascii="仿宋_GB2312" w:hAnsi="仿宋_GB2312" w:eastAsia="仿宋_GB2312"/>
          <w:b/>
          <w:color w:val="000000"/>
          <w:sz w:val="32"/>
          <w:szCs w:val="32"/>
          <w:lang w:bidi="ar"/>
        </w:rPr>
        <w:br w:type="page"/>
      </w:r>
      <w:r>
        <w:rPr>
          <w:rFonts w:hint="eastAsia" w:ascii="仿宋_GB2312" w:hAnsi="仿宋_GB2312" w:eastAsia="仿宋_GB2312"/>
          <w:b/>
          <w:color w:val="000000"/>
          <w:sz w:val="32"/>
          <w:szCs w:val="32"/>
          <w:lang w:bidi="ar"/>
        </w:rPr>
        <w:t>表1  “十三五”主要环境保护目标指标完成情况</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0"/>
        <w:gridCol w:w="840"/>
        <w:gridCol w:w="585"/>
        <w:gridCol w:w="1676"/>
        <w:gridCol w:w="1753"/>
        <w:gridCol w:w="990"/>
        <w:gridCol w:w="1088"/>
        <w:gridCol w:w="950"/>
        <w:gridCol w:w="1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tblHeader/>
          <w:jc w:val="center"/>
        </w:trPr>
        <w:tc>
          <w:tcPr>
            <w:tcW w:w="1230" w:type="dxa"/>
            <w:gridSpan w:val="2"/>
            <w:tcBorders>
              <w:top w:val="single" w:color="auto" w:sz="12" w:space="0"/>
              <w:left w:val="single" w:color="auto" w:sz="12" w:space="0"/>
              <w:bottom w:val="single" w:color="auto" w:sz="6" w:space="0"/>
              <w:right w:val="single" w:color="auto" w:sz="6" w:space="0"/>
            </w:tcBorders>
            <w:noWrap w:val="0"/>
            <w:vAlign w:val="center"/>
          </w:tcPr>
          <w:p>
            <w:pPr>
              <w:ind w:firstLine="354" w:firstLineChars="147"/>
              <w:rPr>
                <w:rFonts w:hint="eastAsia" w:ascii="仿宋_GB2312" w:hAnsi="仿宋_GB2312" w:eastAsia="仿宋_GB2312"/>
                <w:b/>
                <w:color w:val="000000"/>
                <w:sz w:val="24"/>
                <w:szCs w:val="24"/>
              </w:rPr>
            </w:pPr>
            <w:r>
              <w:rPr>
                <w:rFonts w:hint="eastAsia" w:ascii="仿宋_GB2312" w:hAnsi="仿宋_GB2312" w:eastAsia="仿宋_GB2312"/>
                <w:b/>
                <w:color w:val="000000"/>
                <w:sz w:val="24"/>
                <w:szCs w:val="24"/>
                <w:lang w:bidi="ar"/>
              </w:rPr>
              <w:t>类别</w:t>
            </w:r>
          </w:p>
        </w:tc>
        <w:tc>
          <w:tcPr>
            <w:tcW w:w="585"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b/>
                <w:color w:val="000000"/>
                <w:sz w:val="24"/>
                <w:szCs w:val="24"/>
              </w:rPr>
            </w:pPr>
            <w:r>
              <w:rPr>
                <w:rFonts w:hint="eastAsia" w:ascii="仿宋_GB2312" w:hAnsi="仿宋_GB2312" w:eastAsia="仿宋_GB2312"/>
                <w:b/>
                <w:color w:val="000000"/>
                <w:sz w:val="24"/>
                <w:szCs w:val="24"/>
                <w:lang w:bidi="ar"/>
              </w:rPr>
              <w:t>序号</w:t>
            </w:r>
          </w:p>
        </w:tc>
        <w:tc>
          <w:tcPr>
            <w:tcW w:w="3429"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b/>
                <w:color w:val="000000"/>
                <w:sz w:val="24"/>
                <w:szCs w:val="24"/>
              </w:rPr>
            </w:pPr>
            <w:r>
              <w:rPr>
                <w:rFonts w:hint="eastAsia" w:ascii="仿宋_GB2312" w:hAnsi="仿宋_GB2312" w:eastAsia="仿宋_GB2312"/>
                <w:b/>
                <w:color w:val="000000"/>
                <w:sz w:val="24"/>
                <w:szCs w:val="24"/>
                <w:lang w:bidi="ar"/>
              </w:rPr>
              <w:t>项目</w:t>
            </w:r>
          </w:p>
        </w:tc>
        <w:tc>
          <w:tcPr>
            <w:tcW w:w="990" w:type="dxa"/>
            <w:tcBorders>
              <w:top w:val="single" w:color="auto" w:sz="12"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b/>
                <w:color w:val="000000"/>
                <w:sz w:val="24"/>
                <w:szCs w:val="24"/>
              </w:rPr>
            </w:pPr>
            <w:r>
              <w:rPr>
                <w:rFonts w:hint="eastAsia" w:ascii="仿宋_GB2312" w:hAnsi="仿宋_GB2312" w:eastAsia="仿宋_GB2312"/>
                <w:b/>
                <w:color w:val="000000"/>
                <w:sz w:val="24"/>
                <w:szCs w:val="24"/>
                <w:lang w:bidi="ar"/>
              </w:rPr>
              <w:t>2015年</w:t>
            </w:r>
          </w:p>
        </w:tc>
        <w:tc>
          <w:tcPr>
            <w:tcW w:w="1088"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b/>
                <w:color w:val="000000"/>
                <w:sz w:val="24"/>
                <w:szCs w:val="24"/>
              </w:rPr>
            </w:pPr>
            <w:r>
              <w:rPr>
                <w:rFonts w:hint="eastAsia" w:ascii="仿宋_GB2312" w:hAnsi="仿宋_GB2312" w:eastAsia="仿宋_GB2312"/>
                <w:b/>
                <w:color w:val="000000"/>
                <w:sz w:val="24"/>
                <w:szCs w:val="24"/>
                <w:lang w:bidi="ar"/>
              </w:rPr>
              <w:t>2020年</w:t>
            </w:r>
          </w:p>
        </w:tc>
        <w:tc>
          <w:tcPr>
            <w:tcW w:w="950"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b/>
                <w:color w:val="000000"/>
                <w:sz w:val="24"/>
                <w:szCs w:val="24"/>
                <w:vertAlign w:val="superscript"/>
              </w:rPr>
            </w:pPr>
            <w:r>
              <w:rPr>
                <w:rFonts w:hint="eastAsia" w:ascii="仿宋_GB2312" w:hAnsi="仿宋_GB2312" w:eastAsia="仿宋_GB2312"/>
                <w:b/>
                <w:bCs/>
                <w:color w:val="000000"/>
                <w:sz w:val="24"/>
                <w:szCs w:val="24"/>
              </w:rPr>
              <w:t>[累计]</w:t>
            </w:r>
          </w:p>
        </w:tc>
        <w:tc>
          <w:tcPr>
            <w:tcW w:w="1000" w:type="dxa"/>
            <w:tcBorders>
              <w:top w:val="single" w:color="auto" w:sz="12"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b/>
                <w:color w:val="000000"/>
                <w:sz w:val="24"/>
                <w:szCs w:val="24"/>
                <w:lang w:bidi="ar"/>
              </w:rPr>
            </w:pPr>
            <w:r>
              <w:rPr>
                <w:rFonts w:hint="eastAsia" w:ascii="仿宋_GB2312" w:hAnsi="仿宋_GB2312" w:eastAsia="仿宋_GB2312"/>
                <w:b/>
                <w:color w:val="000000"/>
                <w:sz w:val="24"/>
                <w:szCs w:val="24"/>
                <w:lang w:bidi="ar"/>
              </w:rPr>
              <w:t>指标</w:t>
            </w:r>
          </w:p>
          <w:p>
            <w:pPr>
              <w:jc w:val="center"/>
              <w:rPr>
                <w:rFonts w:hint="eastAsia" w:ascii="仿宋_GB2312" w:hAnsi="仿宋_GB2312" w:eastAsia="仿宋_GB2312"/>
                <w:b/>
                <w:color w:val="000000"/>
                <w:sz w:val="24"/>
                <w:szCs w:val="24"/>
              </w:rPr>
            </w:pPr>
            <w:r>
              <w:rPr>
                <w:rFonts w:hint="eastAsia" w:ascii="仿宋_GB2312" w:hAnsi="仿宋_GB2312" w:eastAsia="仿宋_GB2312"/>
                <w:b/>
                <w:color w:val="000000"/>
                <w:sz w:val="24"/>
                <w:szCs w:val="24"/>
                <w:lang w:bidi="ar"/>
              </w:rPr>
              <w:t>类别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390"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环境质量</w:t>
            </w:r>
          </w:p>
        </w:tc>
        <w:tc>
          <w:tcPr>
            <w:tcW w:w="840" w:type="dxa"/>
            <w:vMerge w:val="restar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空气</w:t>
            </w:r>
          </w:p>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环境</w:t>
            </w:r>
          </w:p>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质量</w:t>
            </w: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1</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城区环境空气优良天数比例（%）</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72.6</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79.7</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+7.1</w:t>
            </w:r>
          </w:p>
        </w:tc>
        <w:tc>
          <w:tcPr>
            <w:tcW w:w="1000" w:type="dxa"/>
            <w:vMerge w:val="restart"/>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i/>
                <w:color w:val="000000"/>
                <w:sz w:val="24"/>
                <w:szCs w:val="24"/>
              </w:rPr>
            </w:pPr>
            <w:r>
              <w:rPr>
                <w:rFonts w:hint="eastAsia" w:ascii="仿宋_GB2312" w:hAnsi="仿宋_GB2312" w:eastAsia="仿宋_GB2312"/>
                <w:color w:val="000000"/>
                <w:sz w:val="24"/>
                <w:szCs w:val="24"/>
                <w:lang w:bidi="ar"/>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2</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城区可吸入颗粒物年均浓度（微克/立方米）</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103</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79</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-24</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3</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ascii="仿宋_GB2312" w:hAnsi="仿宋_GB2312" w:eastAsia="仿宋_GB2312"/>
                <w:color w:val="000000"/>
                <w:sz w:val="24"/>
                <w:szCs w:val="24"/>
                <w:lang w:bidi="ar"/>
              </w:rPr>
            </w:pPr>
            <w:r>
              <w:rPr>
                <w:rFonts w:hint="eastAsia" w:ascii="仿宋_GB2312" w:hAnsi="仿宋_GB2312" w:eastAsia="仿宋_GB2312"/>
                <w:color w:val="000000"/>
                <w:sz w:val="24"/>
                <w:szCs w:val="24"/>
                <w:lang w:bidi="ar"/>
              </w:rPr>
              <w:t>城市细颗粒物年均浓度</w:t>
            </w:r>
          </w:p>
          <w:p>
            <w:pPr>
              <w:spacing w:line="260" w:lineRule="exact"/>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（微克/立方米）</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41</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40</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-1</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restar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水环境质量</w:t>
            </w:r>
          </w:p>
          <w:p>
            <w:pPr>
              <w:jc w:val="both"/>
              <w:rPr>
                <w:rFonts w:hint="eastAsia" w:ascii="仿宋_GB2312" w:hAnsi="仿宋_GB2312" w:eastAsia="仿宋_GB2312"/>
                <w:color w:val="000000"/>
                <w:sz w:val="24"/>
                <w:szCs w:val="24"/>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4</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地表水国控断面水质达到或好于Ⅲ类比例（%）</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i/>
                <w:color w:val="000000"/>
                <w:sz w:val="24"/>
                <w:szCs w:val="24"/>
              </w:rPr>
            </w:pPr>
            <w:r>
              <w:rPr>
                <w:rFonts w:hint="eastAsia" w:ascii="仿宋_GB2312" w:hAnsi="仿宋_GB2312" w:eastAsia="仿宋_GB2312"/>
                <w:iCs/>
                <w:color w:val="000000"/>
                <w:sz w:val="24"/>
                <w:szCs w:val="24"/>
              </w:rPr>
              <w:t>-</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i/>
                <w:color w:val="000000"/>
                <w:sz w:val="24"/>
                <w:szCs w:val="24"/>
              </w:rPr>
            </w:pPr>
            <w:r>
              <w:rPr>
                <w:rFonts w:hint="eastAsia" w:ascii="仿宋_GB2312" w:hAnsi="仿宋_GB2312" w:eastAsia="仿宋_GB2312"/>
                <w:iCs/>
                <w:color w:val="000000"/>
                <w:sz w:val="24"/>
                <w:szCs w:val="24"/>
              </w:rPr>
              <w:t>-</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w:t>
            </w:r>
          </w:p>
        </w:tc>
        <w:tc>
          <w:tcPr>
            <w:tcW w:w="1000" w:type="dxa"/>
            <w:vMerge w:val="restart"/>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5</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地表水国控断面劣Ⅴ类水质比例（%）</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bidi="ar"/>
              </w:rPr>
              <w:t>50</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30</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i/>
                <w:color w:val="000000"/>
                <w:sz w:val="24"/>
                <w:szCs w:val="24"/>
              </w:rPr>
            </w:pPr>
            <w:r>
              <w:rPr>
                <w:rFonts w:hint="eastAsia" w:ascii="仿宋_GB2312" w:hAnsi="仿宋_GB2312" w:eastAsia="仿宋_GB2312"/>
                <w:color w:val="000000"/>
                <w:sz w:val="24"/>
                <w:szCs w:val="24"/>
              </w:rPr>
              <w:t>20</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6</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城区集中式饮用水水源地水质达标率（%）</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100</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100</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7</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城区建成区黑臭水体比例（%）</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lang w:bidi="ar"/>
              </w:rPr>
            </w:pPr>
            <w:r>
              <w:rPr>
                <w:rFonts w:hint="eastAsia" w:ascii="仿宋_GB2312" w:hAnsi="仿宋_GB2312" w:eastAsia="仿宋_GB2312"/>
                <w:color w:val="000000"/>
                <w:sz w:val="24"/>
                <w:szCs w:val="24"/>
                <w:lang w:bidi="ar"/>
              </w:rPr>
              <w:t>基本</w:t>
            </w:r>
          </w:p>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消除</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w:t>
            </w:r>
          </w:p>
        </w:tc>
        <w:tc>
          <w:tcPr>
            <w:tcW w:w="1000" w:type="dxa"/>
            <w:vMerge w:val="restart"/>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8</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地下水质量极差比例（%）</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0</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restar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土壤环境质量</w:t>
            </w: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9</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受污染耕地安全利用率（%）</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90左右</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98</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+8</w:t>
            </w:r>
          </w:p>
        </w:tc>
        <w:tc>
          <w:tcPr>
            <w:tcW w:w="1000" w:type="dxa"/>
            <w:vMerge w:val="restart"/>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390" w:type="dxa"/>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10</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污染地块安全利用率（%）</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90以上</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98</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+8</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230" w:type="dxa"/>
            <w:gridSpan w:val="2"/>
            <w:vMerge w:val="restart"/>
            <w:tcBorders>
              <w:top w:val="single" w:color="auto" w:sz="6" w:space="0"/>
              <w:left w:val="single" w:color="auto" w:sz="12" w:space="0"/>
              <w:bottom w:val="single" w:color="auto" w:sz="6" w:space="0"/>
              <w:right w:val="single" w:color="auto" w:sz="6" w:space="0"/>
            </w:tcBorders>
            <w:noWrap w:val="0"/>
            <w:vAlign w:val="center"/>
          </w:tcPr>
          <w:p>
            <w:pPr>
              <w:jc w:val="both"/>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生态状况</w:t>
            </w: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11</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生态保护红线</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完成目标下达</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230" w:type="dxa"/>
            <w:gridSpan w:val="2"/>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bCs/>
                <w:color w:val="000000"/>
                <w:sz w:val="24"/>
                <w:szCs w:val="24"/>
              </w:rPr>
            </w:pPr>
            <w:r>
              <w:rPr>
                <w:rFonts w:hint="eastAsia" w:ascii="仿宋_GB2312" w:hAnsi="仿宋_GB2312" w:eastAsia="仿宋_GB2312"/>
                <w:color w:val="000000"/>
                <w:sz w:val="24"/>
                <w:szCs w:val="24"/>
                <w:lang w:bidi="ar"/>
              </w:rPr>
              <w:t>12</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重点生态功能区所属县域生态环境状况指数（EI）</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宋体" w:hAnsi="宋体" w:cs="Times New Roman"/>
                <w:color w:val="000000"/>
                <w:sz w:val="21"/>
                <w:szCs w:val="21"/>
              </w:rPr>
              <w:t>41.37</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230" w:type="dxa"/>
            <w:gridSpan w:val="2"/>
            <w:vMerge w:val="restart"/>
            <w:tcBorders>
              <w:top w:val="single" w:color="auto" w:sz="6" w:space="0"/>
              <w:left w:val="single" w:color="auto" w:sz="12" w:space="0"/>
              <w:bottom w:val="single" w:color="auto" w:sz="6" w:space="0"/>
              <w:right w:val="single" w:color="auto" w:sz="6" w:space="0"/>
            </w:tcBorders>
            <w:noWrap w:val="0"/>
            <w:vAlign w:val="center"/>
          </w:tcPr>
          <w:p>
            <w:pPr>
              <w:jc w:val="both"/>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总量控制</w:t>
            </w: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13</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二氧化硫排放量（万吨）</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3.95</w:t>
            </w:r>
          </w:p>
        </w:tc>
        <w:tc>
          <w:tcPr>
            <w:tcW w:w="1088" w:type="dxa"/>
            <w:vMerge w:val="restart"/>
            <w:tcBorders>
              <w:top w:val="single" w:color="auto" w:sz="6" w:space="0"/>
              <w:left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完成自治区下达的任务</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vMerge w:val="restart"/>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230" w:type="dxa"/>
            <w:gridSpan w:val="2"/>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14</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氮氧化物排放量（万吨）</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0.52</w:t>
            </w:r>
          </w:p>
        </w:tc>
        <w:tc>
          <w:tcPr>
            <w:tcW w:w="1088" w:type="dxa"/>
            <w:vMerge w:val="continue"/>
            <w:tcBorders>
              <w:left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230" w:type="dxa"/>
            <w:gridSpan w:val="2"/>
            <w:vMerge w:val="continue"/>
            <w:tcBorders>
              <w:top w:val="single" w:color="auto" w:sz="6" w:space="0"/>
              <w:left w:val="single" w:color="auto" w:sz="12"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15</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化学需氧量排放量（万吨）</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0.74</w:t>
            </w:r>
          </w:p>
        </w:tc>
        <w:tc>
          <w:tcPr>
            <w:tcW w:w="1088" w:type="dxa"/>
            <w:vMerge w:val="continue"/>
            <w:tcBorders>
              <w:left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1230" w:type="dxa"/>
            <w:gridSpan w:val="2"/>
            <w:vMerge w:val="continue"/>
            <w:tcBorders>
              <w:top w:val="single" w:color="auto" w:sz="6" w:space="0"/>
              <w:left w:val="single" w:color="auto" w:sz="12" w:space="0"/>
              <w:bottom w:val="single" w:color="auto" w:sz="4"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16</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氨氮排放量（万吨）</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0.063</w:t>
            </w:r>
          </w:p>
        </w:tc>
        <w:tc>
          <w:tcPr>
            <w:tcW w:w="1088" w:type="dxa"/>
            <w:vMerge w:val="continue"/>
            <w:tcBorders>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230" w:type="dxa"/>
            <w:gridSpan w:val="2"/>
            <w:vMerge w:val="restart"/>
            <w:tcBorders>
              <w:top w:val="single" w:color="auto" w:sz="6" w:space="0"/>
              <w:left w:val="single" w:color="auto" w:sz="12" w:space="0"/>
              <w:right w:val="single" w:color="auto" w:sz="6" w:space="0"/>
            </w:tcBorders>
            <w:noWrap w:val="0"/>
            <w:vAlign w:val="center"/>
          </w:tcPr>
          <w:p>
            <w:pPr>
              <w:rPr>
                <w:rFonts w:eastAsia="Times New Roman" w:cs="Times New Roman"/>
                <w:color w:val="000000"/>
                <w:sz w:val="20"/>
                <w:szCs w:val="20"/>
              </w:rPr>
            </w:pPr>
            <w:r>
              <w:rPr>
                <w:rFonts w:hint="eastAsia" w:ascii="仿宋_GB2312" w:hAnsi="仿宋_GB2312" w:eastAsia="仿宋_GB2312"/>
                <w:color w:val="000000"/>
                <w:sz w:val="24"/>
                <w:szCs w:val="24"/>
              </w:rPr>
              <w:t>污染防治</w:t>
            </w:r>
          </w:p>
        </w:tc>
        <w:tc>
          <w:tcPr>
            <w:tcW w:w="585" w:type="dxa"/>
            <w:tcBorders>
              <w:top w:val="single" w:color="auto" w:sz="6" w:space="0"/>
              <w:left w:val="single" w:color="auto" w:sz="6" w:space="0"/>
              <w:bottom w:val="single" w:color="auto" w:sz="4" w:space="0"/>
              <w:right w:val="single" w:color="auto" w:sz="6" w:space="0"/>
            </w:tcBorders>
            <w:noWrap w:val="0"/>
            <w:vAlign w:val="center"/>
          </w:tcPr>
          <w:p>
            <w:pPr>
              <w:jc w:val="center"/>
              <w:rPr>
                <w:rFonts w:ascii="仿宋_GB2312" w:hAnsi="仿宋_GB2312" w:eastAsia="仿宋_GB2312"/>
                <w:color w:val="000000"/>
                <w:sz w:val="24"/>
                <w:szCs w:val="24"/>
                <w:lang w:bidi="ar"/>
              </w:rPr>
            </w:pPr>
            <w:r>
              <w:rPr>
                <w:rFonts w:hint="eastAsia" w:ascii="仿宋_GB2312" w:hAnsi="仿宋_GB2312" w:eastAsia="仿宋_GB2312"/>
                <w:color w:val="000000"/>
                <w:sz w:val="24"/>
                <w:szCs w:val="24"/>
                <w:lang w:bidi="ar"/>
              </w:rPr>
              <w:t>17</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lang w:bidi="ar"/>
              </w:rPr>
            </w:pPr>
            <w:r>
              <w:rPr>
                <w:rFonts w:hint="eastAsia" w:ascii="仿宋_GB2312" w:hAnsi="仿宋_GB2312" w:eastAsia="仿宋_GB2312"/>
                <w:color w:val="000000"/>
                <w:sz w:val="24"/>
                <w:szCs w:val="24"/>
              </w:rPr>
              <w:t>工业污染源</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88" w:type="dxa"/>
            <w:tcBorders>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全面稳定达</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230" w:type="dxa"/>
            <w:gridSpan w:val="2"/>
            <w:vMerge w:val="continue"/>
            <w:tcBorders>
              <w:left w:val="single" w:color="auto" w:sz="12" w:space="0"/>
              <w:right w:val="single" w:color="auto" w:sz="6" w:space="0"/>
            </w:tcBorders>
            <w:noWrap w:val="0"/>
            <w:vAlign w:val="center"/>
          </w:tcPr>
          <w:p>
            <w:pPr>
              <w:rPr>
                <w:rFonts w:eastAsia="Times New Roman" w:cs="Times New Roman"/>
                <w:color w:val="000000"/>
                <w:sz w:val="20"/>
                <w:szCs w:val="20"/>
              </w:rPr>
            </w:pPr>
          </w:p>
        </w:tc>
        <w:tc>
          <w:tcPr>
            <w:tcW w:w="585" w:type="dxa"/>
            <w:vMerge w:val="restart"/>
            <w:tcBorders>
              <w:top w:val="single" w:color="auto" w:sz="4"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bidi="ar"/>
              </w:rPr>
              <w:t>18</w:t>
            </w:r>
          </w:p>
        </w:tc>
        <w:tc>
          <w:tcPr>
            <w:tcW w:w="1676" w:type="dxa"/>
            <w:vMerge w:val="restar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生活污水</w:t>
            </w:r>
          </w:p>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处理率（%）</w:t>
            </w:r>
          </w:p>
        </w:tc>
        <w:tc>
          <w:tcPr>
            <w:tcW w:w="175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县城</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90</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宋体" w:hAnsi="宋体"/>
                <w:color w:val="000000"/>
                <w:sz w:val="21"/>
                <w:szCs w:val="21"/>
              </w:rPr>
              <w:t>99.83</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+9.83</w:t>
            </w:r>
          </w:p>
        </w:tc>
        <w:tc>
          <w:tcPr>
            <w:tcW w:w="1000" w:type="dxa"/>
            <w:vMerge w:val="restart"/>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230" w:type="dxa"/>
            <w:gridSpan w:val="2"/>
            <w:vMerge w:val="continue"/>
            <w:tcBorders>
              <w:left w:val="single" w:color="auto" w:sz="12" w:space="0"/>
              <w:right w:val="single" w:color="auto" w:sz="6" w:space="0"/>
            </w:tcBorders>
            <w:noWrap w:val="0"/>
            <w:vAlign w:val="center"/>
          </w:tcPr>
          <w:p>
            <w:pPr>
              <w:rPr>
                <w:rFonts w:eastAsia="Times New Roman" w:cs="Times New Roman"/>
                <w:color w:val="000000"/>
                <w:sz w:val="20"/>
                <w:szCs w:val="20"/>
              </w:rPr>
            </w:pPr>
          </w:p>
        </w:tc>
        <w:tc>
          <w:tcPr>
            <w:tcW w:w="58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1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eastAsia="Times New Roman" w:cs="Times New Roman"/>
                <w:color w:val="000000"/>
                <w:sz w:val="20"/>
                <w:szCs w:val="20"/>
              </w:rPr>
            </w:pPr>
          </w:p>
        </w:tc>
        <w:tc>
          <w:tcPr>
            <w:tcW w:w="175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建制镇（乡）</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20</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230" w:type="dxa"/>
            <w:gridSpan w:val="2"/>
            <w:vMerge w:val="continue"/>
            <w:tcBorders>
              <w:left w:val="single" w:color="auto" w:sz="12"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bidi="ar"/>
              </w:rPr>
              <w:t>19</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工业园区污水集中处理率（%）</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100</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vMerge w:val="continue"/>
            <w:tcBorders>
              <w:left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230" w:type="dxa"/>
            <w:gridSpan w:val="2"/>
            <w:vMerge w:val="continue"/>
            <w:tcBorders>
              <w:left w:val="single" w:color="auto" w:sz="12" w:space="0"/>
              <w:bottom w:val="single" w:color="auto" w:sz="4" w:space="0"/>
              <w:right w:val="single" w:color="auto" w:sz="6" w:space="0"/>
            </w:tcBorders>
            <w:noWrap w:val="0"/>
            <w:vAlign w:val="center"/>
          </w:tcPr>
          <w:p>
            <w:pPr>
              <w:rPr>
                <w:rFonts w:eastAsia="Times New Roman" w:cs="Times New Roman"/>
                <w:color w:val="000000"/>
                <w:sz w:val="20"/>
                <w:szCs w:val="20"/>
              </w:rPr>
            </w:pP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bidi="ar"/>
              </w:rPr>
              <w:t>20</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工业固体废物综合利用率（%）</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rPr>
              <w:t>61.53</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vMerge w:val="continue"/>
            <w:tcBorders>
              <w:left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1230" w:type="dxa"/>
            <w:gridSpan w:val="2"/>
            <w:tcBorders>
              <w:top w:val="single" w:color="auto" w:sz="4" w:space="0"/>
              <w:left w:val="single" w:color="auto" w:sz="12"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环境风险</w:t>
            </w:r>
          </w:p>
        </w:tc>
        <w:tc>
          <w:tcPr>
            <w:tcW w:w="585"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rPr>
            </w:pPr>
            <w:r>
              <w:rPr>
                <w:rFonts w:hint="eastAsia" w:ascii="仿宋_GB2312" w:hAnsi="仿宋_GB2312" w:eastAsia="仿宋_GB2312"/>
                <w:color w:val="000000"/>
                <w:sz w:val="24"/>
                <w:szCs w:val="24"/>
                <w:lang w:bidi="ar"/>
              </w:rPr>
              <w:t>21</w:t>
            </w:r>
          </w:p>
        </w:tc>
        <w:tc>
          <w:tcPr>
            <w:tcW w:w="3429"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重点行业的重点重金属排放量</w:t>
            </w:r>
          </w:p>
        </w:tc>
        <w:tc>
          <w:tcPr>
            <w:tcW w:w="99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highlight w:val="yellow"/>
              </w:rPr>
            </w:pPr>
            <w:r>
              <w:rPr>
                <w:rFonts w:hint="eastAsia" w:ascii="仿宋_GB2312" w:hAnsi="仿宋_GB2312" w:eastAsia="仿宋_GB2312"/>
                <w:color w:val="000000"/>
                <w:sz w:val="24"/>
                <w:szCs w:val="24"/>
              </w:rPr>
              <w:t>-</w:t>
            </w:r>
          </w:p>
        </w:tc>
        <w:tc>
          <w:tcPr>
            <w:tcW w:w="108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_GB2312" w:hAnsi="仿宋_GB2312" w:eastAsia="仿宋_GB2312"/>
                <w:color w:val="000000"/>
                <w:sz w:val="24"/>
                <w:szCs w:val="24"/>
                <w:highlight w:val="yellow"/>
              </w:rPr>
            </w:pPr>
            <w:r>
              <w:rPr>
                <w:rFonts w:hint="eastAsia" w:ascii="仿宋_GB2312" w:hAnsi="仿宋_GB2312" w:eastAsia="仿宋_GB2312"/>
                <w:color w:val="000000"/>
                <w:sz w:val="24"/>
                <w:szCs w:val="24"/>
              </w:rPr>
              <w:t>-</w:t>
            </w:r>
          </w:p>
        </w:tc>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w:t>
            </w:r>
          </w:p>
        </w:tc>
        <w:tc>
          <w:tcPr>
            <w:tcW w:w="1000" w:type="dxa"/>
            <w:vMerge w:val="continue"/>
            <w:tcBorders>
              <w:top w:val="single" w:color="auto" w:sz="6" w:space="0"/>
              <w:left w:val="single" w:color="auto" w:sz="6" w:space="0"/>
              <w:bottom w:val="single" w:color="auto" w:sz="6" w:space="0"/>
              <w:right w:val="single" w:color="auto" w:sz="12" w:space="0"/>
            </w:tcBorders>
            <w:noWrap w:val="0"/>
            <w:vAlign w:val="center"/>
          </w:tcPr>
          <w:p>
            <w:pPr>
              <w:rPr>
                <w:rFonts w:eastAsia="Times New Roman" w:cs="Times New Roman"/>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272" w:type="dxa"/>
            <w:gridSpan w:val="9"/>
            <w:tcBorders>
              <w:top w:val="single" w:color="auto" w:sz="6" w:space="0"/>
              <w:left w:val="single" w:color="auto" w:sz="12" w:space="0"/>
              <w:bottom w:val="single" w:color="auto" w:sz="12" w:space="0"/>
              <w:right w:val="single" w:color="auto" w:sz="12" w:space="0"/>
            </w:tcBorders>
            <w:noWrap w:val="0"/>
            <w:vAlign w:val="center"/>
          </w:tcPr>
          <w:p>
            <w:pP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lang w:bidi="ar"/>
              </w:rPr>
              <w:t>注：[累计]为五年内累计数。</w:t>
            </w:r>
          </w:p>
        </w:tc>
      </w:tr>
    </w:tbl>
    <w:p>
      <w:pPr>
        <w:pStyle w:val="3"/>
        <w:spacing w:line="560" w:lineRule="exact"/>
        <w:ind w:firstLine="640" w:firstLineChars="200"/>
        <w:jc w:val="both"/>
        <w:rPr>
          <w:rFonts w:hint="eastAsia" w:ascii="黑体" w:hAnsi="黑体" w:eastAsia="黑体" w:cs="黑体"/>
          <w:b w:val="0"/>
          <w:bCs w:val="0"/>
          <w:color w:val="000000"/>
          <w:szCs w:val="32"/>
        </w:rPr>
        <w:sectPr>
          <w:headerReference r:id="rId3" w:type="default"/>
          <w:footerReference r:id="rId4" w:type="default"/>
          <w:footerReference r:id="rId5" w:type="even"/>
          <w:pgSz w:w="11906" w:h="16838"/>
          <w:pgMar w:top="1928" w:right="1531" w:bottom="1588" w:left="1531" w:header="567" w:footer="1474" w:gutter="0"/>
          <w:pgBorders>
            <w:top w:val="none" w:sz="0" w:space="0"/>
            <w:left w:val="none" w:sz="0" w:space="0"/>
            <w:bottom w:val="none" w:sz="0" w:space="0"/>
            <w:right w:val="none" w:sz="0" w:space="0"/>
          </w:pgBorders>
          <w:cols w:space="720" w:num="1"/>
          <w:docGrid w:type="lines" w:linePitch="312" w:charSpace="0"/>
        </w:sectPr>
      </w:pPr>
      <w:bookmarkStart w:id="174" w:name="_Toc21192"/>
      <w:bookmarkStart w:id="175" w:name="_Toc7258"/>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方正黑体_GBK" w:hAnsi="黑体" w:eastAsia="方正黑体_GBK" w:cs="黑体"/>
          <w:b w:val="0"/>
          <w:bCs w:val="0"/>
          <w:color w:val="000000"/>
          <w:szCs w:val="32"/>
        </w:rPr>
      </w:pPr>
      <w:bookmarkStart w:id="176" w:name="_Toc28344"/>
      <w:r>
        <w:rPr>
          <w:rFonts w:hint="eastAsia" w:ascii="方正黑体_GBK" w:hAnsi="黑体" w:eastAsia="方正黑体_GBK" w:cs="黑体"/>
          <w:b w:val="0"/>
          <w:bCs w:val="0"/>
          <w:color w:val="000000"/>
          <w:szCs w:val="32"/>
        </w:rPr>
        <w:t>二、环境保护面临的形势</w:t>
      </w:r>
      <w:bookmarkEnd w:id="166"/>
      <w:bookmarkEnd w:id="167"/>
      <w:bookmarkEnd w:id="168"/>
      <w:bookmarkEnd w:id="169"/>
      <w:bookmarkEnd w:id="170"/>
      <w:bookmarkEnd w:id="171"/>
      <w:bookmarkEnd w:id="172"/>
      <w:bookmarkEnd w:id="173"/>
      <w:bookmarkEnd w:id="174"/>
      <w:bookmarkEnd w:id="175"/>
      <w:bookmarkEnd w:id="176"/>
    </w:p>
    <w:p>
      <w:pPr>
        <w:pStyle w:val="4"/>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hint="eastAsia" w:ascii="方正楷体_GBK" w:hAnsi="楷体_GB2312" w:eastAsia="方正楷体_GBK" w:cs="楷体_GB2312"/>
          <w:color w:val="000000"/>
          <w:sz w:val="32"/>
        </w:rPr>
      </w:pPr>
      <w:bookmarkStart w:id="177" w:name="_Toc13439"/>
      <w:bookmarkStart w:id="178" w:name="_Toc14521"/>
      <w:bookmarkStart w:id="179" w:name="_Toc11056"/>
      <w:bookmarkStart w:id="180" w:name="_Toc31408"/>
      <w:bookmarkStart w:id="181" w:name="_Toc2122"/>
      <w:bookmarkStart w:id="182" w:name="_Toc4096"/>
      <w:bookmarkStart w:id="183" w:name="_Toc11586"/>
      <w:bookmarkStart w:id="184" w:name="_Toc11129"/>
      <w:bookmarkStart w:id="185" w:name="_Toc2998"/>
      <w:r>
        <w:rPr>
          <w:rFonts w:hint="eastAsia" w:ascii="方正楷体_GBK" w:hAnsi="楷体_GB2312" w:eastAsia="方正楷体_GBK" w:cs="楷体_GB2312"/>
          <w:color w:val="000000"/>
          <w:sz w:val="32"/>
        </w:rPr>
        <w:t>（一）主要问题</w:t>
      </w:r>
      <w:bookmarkEnd w:id="177"/>
      <w:bookmarkEnd w:id="178"/>
      <w:bookmarkEnd w:id="179"/>
      <w:bookmarkEnd w:id="180"/>
      <w:bookmarkEnd w:id="181"/>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虽然“十三五”环境保护工作成效显著，环境质量总体好转，但形势依然严峻，压力继续加大。由于生态系统脆弱、产业结构倚重倚能造成生态</w:t>
      </w:r>
      <w:r>
        <w:rPr>
          <w:rFonts w:hint="eastAsia" w:ascii="方正仿宋_GBK" w:hAnsi="仿宋_GB2312" w:eastAsia="方正仿宋_GBK"/>
          <w:color w:val="000000"/>
          <w:kern w:val="0"/>
          <w:sz w:val="32"/>
          <w:szCs w:val="32"/>
        </w:rPr>
        <w:t>环境约束趋紧</w:t>
      </w:r>
      <w:r>
        <w:rPr>
          <w:rFonts w:hint="eastAsia" w:ascii="方正仿宋_GBK" w:hAnsi="仿宋_GB2312" w:eastAsia="方正仿宋_GBK"/>
          <w:color w:val="000000"/>
          <w:sz w:val="32"/>
          <w:szCs w:val="32"/>
        </w:rPr>
        <w:t>，经济发展与生态环境保护的矛盾仍然突出，生态环境保护及环境质量改善压力将长期存在。</w:t>
      </w:r>
      <w:bookmarkStart w:id="186" w:name="_Toc283754100"/>
      <w:bookmarkStart w:id="187" w:name="_Toc276908426"/>
      <w:bookmarkStart w:id="188" w:name="_Toc276759740"/>
    </w:p>
    <w:p>
      <w:pPr>
        <w:pStyle w:val="5"/>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hint="eastAsia" w:ascii="方正仿宋_GBK" w:hAnsi="仿宋_GB2312" w:eastAsia="方正仿宋_GBK"/>
          <w:color w:val="000000"/>
          <w:sz w:val="32"/>
        </w:rPr>
      </w:pPr>
      <w:bookmarkStart w:id="189" w:name="_Toc528"/>
      <w:bookmarkStart w:id="190" w:name="_Toc26259"/>
      <w:bookmarkStart w:id="191" w:name="_Toc12305"/>
      <w:bookmarkStart w:id="192" w:name="_Toc1231"/>
      <w:r>
        <w:rPr>
          <w:rFonts w:eastAsia="方正仿宋_GBK" w:cs="Times New Roman"/>
          <w:color w:val="000000"/>
          <w:sz w:val="32"/>
        </w:rPr>
        <w:t>1.政策措施</w:t>
      </w:r>
      <w:r>
        <w:rPr>
          <w:rFonts w:hint="eastAsia" w:ascii="方正仿宋_GBK" w:hAnsi="仿宋_GB2312" w:eastAsia="方正仿宋_GBK"/>
          <w:color w:val="000000"/>
          <w:sz w:val="32"/>
        </w:rPr>
        <w:t>贯彻执行还有差距</w:t>
      </w:r>
      <w:bookmarkEnd w:id="189"/>
      <w:bookmarkEnd w:id="190"/>
      <w:bookmarkEnd w:id="191"/>
      <w:bookmarkEnd w:id="192"/>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学习贯彻习近平生态文明思想缺乏全面性、系统性和针对性，在学懂弄通做实上下功夫不够，对蕴含其中的观察问题、分析问题、解决问题的方法掌握不到位，没有深刻认识领会“既要绿水青山，也要金山银山”。在发展经济与环境保护上还存在顾虑，发展与保护、眼前与长远的关系把握得还不到位。</w:t>
      </w:r>
      <w:bookmarkStart w:id="193" w:name="_Toc1424"/>
      <w:bookmarkStart w:id="194" w:name="_Toc19984"/>
    </w:p>
    <w:p>
      <w:pPr>
        <w:pStyle w:val="5"/>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eastAsia="方正仿宋_GBK" w:cs="Times New Roman"/>
          <w:color w:val="000000"/>
          <w:sz w:val="32"/>
        </w:rPr>
      </w:pPr>
      <w:bookmarkStart w:id="195" w:name="_Toc7441"/>
      <w:bookmarkStart w:id="196" w:name="_Toc13938"/>
      <w:bookmarkStart w:id="197" w:name="_Toc32656"/>
      <w:r>
        <w:rPr>
          <w:rFonts w:eastAsia="方正仿宋_GBK" w:cs="Times New Roman"/>
          <w:color w:val="000000"/>
          <w:sz w:val="32"/>
        </w:rPr>
        <w:t>2.产业结构转型升级任重道远</w:t>
      </w:r>
      <w:bookmarkEnd w:id="193"/>
      <w:bookmarkEnd w:id="194"/>
      <w:bookmarkEnd w:id="195"/>
      <w:bookmarkEnd w:id="196"/>
      <w:bookmarkEnd w:id="197"/>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方正仿宋_GBK" w:hAnsi="仿宋_GB2312" w:eastAsia="方正仿宋_GBK"/>
          <w:color w:val="000000"/>
          <w:sz w:val="32"/>
          <w:szCs w:val="32"/>
        </w:rPr>
      </w:pPr>
      <w:r>
        <w:rPr>
          <w:rFonts w:eastAsia="方正仿宋_GBK" w:cs="Times New Roman"/>
          <w:color w:val="000000"/>
          <w:sz w:val="32"/>
          <w:szCs w:val="32"/>
        </w:rPr>
        <w:t>改造提升传统产业任务艰巨，</w:t>
      </w:r>
      <w:r>
        <w:rPr>
          <w:rFonts w:eastAsia="方正仿宋_GBK" w:cs="Times New Roman"/>
          <w:color w:val="000000"/>
          <w:kern w:val="0"/>
          <w:sz w:val="32"/>
          <w:szCs w:val="32"/>
          <w:lang w:bidi="ar"/>
        </w:rPr>
        <w:t>轻重工业结构不均衡，以煤炭、铁合金、化工为主导的高耗能行业占比较大，</w:t>
      </w:r>
      <w:r>
        <w:rPr>
          <w:rFonts w:eastAsia="方正仿宋_GBK" w:cs="Times New Roman"/>
          <w:color w:val="000000"/>
          <w:sz w:val="32"/>
          <w:szCs w:val="32"/>
        </w:rPr>
        <w:t>全县传统产业占工业产值85%以上，特别是电石、铁合金、活性炭、碳化硅等高耗能行业比重占60%，战略性新兴产业占规模以上工业的比重不足10%。</w:t>
      </w:r>
      <w:r>
        <w:rPr>
          <w:rFonts w:hint="eastAsia" w:ascii="方正仿宋_GBK" w:hAnsi="仿宋_GB2312" w:eastAsia="方正仿宋_GBK"/>
          <w:color w:val="000000"/>
          <w:kern w:val="0"/>
          <w:sz w:val="32"/>
          <w:szCs w:val="32"/>
          <w:lang w:bidi="ar"/>
        </w:rPr>
        <w:t>发展方式依然粗放，倚重倚能态势未从根本上改变，低碳产业少，区域性、布局性、结构性环境风险突出，碳减排压力大。</w:t>
      </w:r>
      <w:bookmarkStart w:id="198" w:name="_Toc13449"/>
      <w:bookmarkStart w:id="199" w:name="_Toc23683"/>
    </w:p>
    <w:p>
      <w:pPr>
        <w:pStyle w:val="5"/>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eastAsia="方正仿宋_GBK" w:cs="Times New Roman"/>
          <w:color w:val="000000"/>
          <w:sz w:val="32"/>
        </w:rPr>
      </w:pPr>
      <w:bookmarkStart w:id="200" w:name="_Toc25823"/>
      <w:bookmarkStart w:id="201" w:name="_Toc6750"/>
      <w:bookmarkStart w:id="202" w:name="_Toc22120"/>
      <w:r>
        <w:rPr>
          <w:rFonts w:eastAsia="方正仿宋_GBK" w:cs="Times New Roman"/>
          <w:color w:val="000000"/>
          <w:sz w:val="32"/>
        </w:rPr>
        <w:t>3.环境质量改善</w:t>
      </w:r>
      <w:bookmarkEnd w:id="198"/>
      <w:bookmarkEnd w:id="199"/>
      <w:bookmarkEnd w:id="200"/>
      <w:r>
        <w:rPr>
          <w:rFonts w:eastAsia="方正仿宋_GBK" w:cs="Times New Roman"/>
          <w:color w:val="000000"/>
          <w:sz w:val="32"/>
        </w:rPr>
        <w:t>还不稳定</w:t>
      </w:r>
      <w:bookmarkEnd w:id="201"/>
      <w:bookmarkEnd w:id="202"/>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方正仿宋_GBK" w:eastAsia="方正仿宋_GBK"/>
          <w:color w:val="000000"/>
          <w:sz w:val="32"/>
          <w:szCs w:val="32"/>
        </w:rPr>
      </w:pPr>
      <w:r>
        <w:rPr>
          <w:rFonts w:eastAsia="方正仿宋_GBK" w:cs="Times New Roman"/>
          <w:color w:val="000000"/>
          <w:sz w:val="32"/>
          <w:szCs w:val="32"/>
        </w:rPr>
        <w:t>虽然全力开展大气污染防治攻坚，但环境空气质量尚未稳定达标，部分大气环境因子改善幅度不明显甚至有所反弹，重污染天气时有发生，传统煤烟型污染与臭氧、PM</w:t>
      </w:r>
      <w:r>
        <w:rPr>
          <w:rFonts w:eastAsia="方正仿宋_GBK" w:cs="Times New Roman"/>
          <w:color w:val="000000"/>
          <w:sz w:val="32"/>
          <w:szCs w:val="32"/>
          <w:vertAlign w:val="subscript"/>
        </w:rPr>
        <w:t>2.5</w:t>
      </w:r>
      <w:r>
        <w:rPr>
          <w:rFonts w:eastAsia="方正仿宋_GBK" w:cs="Times New Roman"/>
          <w:color w:val="000000"/>
          <w:sz w:val="32"/>
          <w:szCs w:val="32"/>
        </w:rPr>
        <w:t>、</w:t>
      </w:r>
      <w:r>
        <w:rPr>
          <w:rFonts w:hint="eastAsia" w:ascii="方正仿宋_GBK" w:hAnsi="仿宋_GB2312" w:eastAsia="方正仿宋_GBK"/>
          <w:color w:val="000000"/>
          <w:sz w:val="32"/>
          <w:szCs w:val="32"/>
        </w:rPr>
        <w:t>挥发性有机物等新老环境污染问题交织，解决大气复合型污染将成为当前及今后一段时期面临的首要问题之一。典农河（三排）平罗段位于全区排水沟末端，沿线接纳大量工业、城镇生活污水及农田退水，水体污染因子复杂，稳定</w:t>
      </w:r>
      <w:r>
        <w:rPr>
          <w:rFonts w:hint="eastAsia" w:ascii="方正仿宋_GBK" w:hAnsi="仿宋_GB2312" w:eastAsia="方正仿宋_GBK"/>
          <w:color w:val="000000"/>
          <w:kern w:val="0"/>
          <w:sz w:val="32"/>
          <w:szCs w:val="32"/>
          <w:lang w:bidi="ar"/>
        </w:rPr>
        <w:t>达到Ⅳ类水质难度较大。</w:t>
      </w:r>
    </w:p>
    <w:p>
      <w:pPr>
        <w:pStyle w:val="5"/>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hint="eastAsia" w:ascii="方正仿宋_GBK" w:hAnsi="仿宋_GB2312" w:eastAsia="方正仿宋_GBK"/>
          <w:color w:val="000000"/>
          <w:sz w:val="32"/>
        </w:rPr>
      </w:pPr>
      <w:bookmarkStart w:id="203" w:name="_Toc6970"/>
      <w:bookmarkStart w:id="204" w:name="_Toc27575"/>
      <w:bookmarkStart w:id="205" w:name="_Toc7682"/>
      <w:bookmarkStart w:id="206" w:name="_Toc12686"/>
      <w:bookmarkStart w:id="207" w:name="_Toc755"/>
      <w:r>
        <w:rPr>
          <w:rFonts w:eastAsia="方正仿宋_GBK" w:cs="Times New Roman"/>
          <w:color w:val="000000"/>
          <w:sz w:val="32"/>
        </w:rPr>
        <w:t>4.</w:t>
      </w:r>
      <w:bookmarkEnd w:id="203"/>
      <w:bookmarkEnd w:id="204"/>
      <w:bookmarkEnd w:id="205"/>
      <w:r>
        <w:rPr>
          <w:rFonts w:eastAsia="方正仿宋_GBK" w:cs="Times New Roman"/>
          <w:color w:val="000000"/>
          <w:sz w:val="32"/>
        </w:rPr>
        <w:t>生态环境</w:t>
      </w:r>
      <w:r>
        <w:rPr>
          <w:rFonts w:hint="eastAsia" w:ascii="方正仿宋_GBK" w:hAnsi="仿宋_GB2312" w:eastAsia="方正仿宋_GBK"/>
          <w:color w:val="000000"/>
          <w:sz w:val="32"/>
        </w:rPr>
        <w:t>监管和风险防控能力有待加强</w:t>
      </w:r>
      <w:bookmarkEnd w:id="206"/>
      <w:bookmarkEnd w:id="207"/>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方正仿宋_GBK" w:hAnsi="仿宋_GB2312" w:eastAsia="方正仿宋_GBK"/>
          <w:color w:val="000000"/>
          <w:sz w:val="32"/>
          <w:szCs w:val="32"/>
        </w:rPr>
      </w:pPr>
      <w:bookmarkStart w:id="208" w:name="_Toc599"/>
      <w:bookmarkStart w:id="209" w:name="_Toc15043"/>
      <w:r>
        <w:rPr>
          <w:rFonts w:hint="eastAsia" w:ascii="方正仿宋_GBK" w:hAnsi="仿宋_GB2312" w:eastAsia="方正仿宋_GBK"/>
          <w:color w:val="000000"/>
          <w:kern w:val="0"/>
          <w:sz w:val="32"/>
          <w:szCs w:val="32"/>
          <w:lang w:bidi="ar"/>
        </w:rPr>
        <w:t>我县生态环境部门监测、监管执法力量不足，实现“智慧环保”更好地服务于全县生态安全和精准化监管程度还需要进一步提高。环境风险防控体系和联动机制建设需要进一步完善，环境应急资源储备和应急预案的管理需要进一步加强。</w:t>
      </w:r>
    </w:p>
    <w:bookmarkEnd w:id="186"/>
    <w:bookmarkEnd w:id="187"/>
    <w:bookmarkEnd w:id="188"/>
    <w:bookmarkEnd w:id="208"/>
    <w:bookmarkEnd w:id="209"/>
    <w:p>
      <w:pPr>
        <w:pStyle w:val="4"/>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hint="eastAsia" w:ascii="方正楷体_GBK" w:hAnsi="楷体_GB2312" w:eastAsia="方正楷体_GBK" w:cs="楷体_GB2312"/>
          <w:color w:val="000000"/>
          <w:sz w:val="32"/>
        </w:rPr>
      </w:pPr>
      <w:bookmarkStart w:id="210" w:name="_Toc22042"/>
      <w:bookmarkStart w:id="211" w:name="_Toc17796"/>
      <w:bookmarkStart w:id="212" w:name="_Toc125"/>
      <w:bookmarkStart w:id="213" w:name="_Toc23334"/>
      <w:bookmarkStart w:id="214" w:name="_Toc12304"/>
      <w:bookmarkStart w:id="215" w:name="_Toc32175"/>
      <w:bookmarkStart w:id="216" w:name="_Toc12639"/>
      <w:bookmarkStart w:id="217" w:name="_Toc25338"/>
      <w:bookmarkStart w:id="218" w:name="_Toc20395"/>
      <w:r>
        <w:rPr>
          <w:rFonts w:hint="eastAsia" w:ascii="方正楷体_GBK" w:hAnsi="楷体_GB2312" w:eastAsia="方正楷体_GBK" w:cs="楷体_GB2312"/>
          <w:color w:val="000000"/>
          <w:sz w:val="32"/>
        </w:rPr>
        <w:t>（二）机遇</w:t>
      </w:r>
      <w:bookmarkEnd w:id="210"/>
      <w:bookmarkEnd w:id="211"/>
      <w:bookmarkEnd w:id="212"/>
      <w:bookmarkEnd w:id="213"/>
      <w:bookmarkEnd w:id="214"/>
      <w:bookmarkEnd w:id="215"/>
      <w:bookmarkEnd w:id="216"/>
      <w:bookmarkEnd w:id="217"/>
      <w:bookmarkStart w:id="219" w:name="_Toc26825"/>
      <w:bookmarkStart w:id="220" w:name="_Toc30837"/>
      <w:bookmarkStart w:id="221" w:name="_Toc15107"/>
      <w:bookmarkStart w:id="222" w:name="_Toc21399"/>
      <w:bookmarkStart w:id="223" w:name="_Toc20967"/>
      <w:bookmarkStart w:id="224" w:name="_Toc24528"/>
      <w:bookmarkStart w:id="225" w:name="_Toc2009"/>
      <w:r>
        <w:rPr>
          <w:rFonts w:hint="eastAsia" w:ascii="方正楷体_GBK" w:hAnsi="楷体_GB2312" w:eastAsia="方正楷体_GBK" w:cs="楷体_GB2312"/>
          <w:color w:val="000000"/>
          <w:sz w:val="32"/>
        </w:rPr>
        <w:t>挑战</w:t>
      </w:r>
      <w:bookmarkEnd w:id="218"/>
      <w:r>
        <w:rPr>
          <w:rFonts w:hint="eastAsia" w:ascii="方正楷体_GBK" w:hAnsi="楷体_GB2312" w:eastAsia="方正楷体_GBK" w:cs="楷体_GB2312"/>
          <w:color w:val="000000"/>
          <w:sz w:val="32"/>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方正仿宋_GBK" w:hAnsi="仿宋_GB2312" w:eastAsia="方正仿宋_GBK"/>
          <w:color w:val="000000"/>
          <w:kern w:val="0"/>
          <w:sz w:val="32"/>
          <w:szCs w:val="32"/>
          <w:lang w:bidi="ar"/>
        </w:rPr>
      </w:pPr>
      <w:r>
        <w:rPr>
          <w:rFonts w:hint="eastAsia" w:ascii="方正仿宋_GBK" w:hAnsi="仿宋_GB2312" w:eastAsia="方正仿宋_GBK"/>
          <w:color w:val="000000"/>
          <w:kern w:val="0"/>
          <w:sz w:val="32"/>
          <w:szCs w:val="32"/>
          <w:lang w:bidi="ar"/>
        </w:rPr>
        <w:t>“十四五”时期，是我县争当建设黄河流域生态保护和高质量发展先行区排头兵，</w:t>
      </w:r>
      <w:r>
        <w:rPr>
          <w:rFonts w:hint="eastAsia" w:ascii="方正仿宋_GBK" w:hAnsi="仿宋_GB2312" w:eastAsia="方正仿宋_GBK"/>
          <w:color w:val="000000"/>
          <w:sz w:val="32"/>
          <w:szCs w:val="32"/>
        </w:rPr>
        <w:t>争当绿色发展的排头兵的关键时期</w:t>
      </w:r>
      <w:r>
        <w:rPr>
          <w:rFonts w:hint="eastAsia" w:ascii="方正仿宋_GBK" w:hAnsi="仿宋_GB2312" w:eastAsia="方正仿宋_GBK"/>
          <w:color w:val="000000"/>
          <w:kern w:val="0"/>
          <w:sz w:val="32"/>
          <w:szCs w:val="32"/>
          <w:lang w:bidi="ar"/>
        </w:rPr>
        <w:t>，推进生态环境保护责任重大，任务艰巨。随着国内外环境形势的深刻变化，生态环境保护工作既面临诸多风险挑战，也面临难得的发展机遇。</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方正仿宋_GBK" w:hAnsi="仿宋_GB2312" w:eastAsia="方正仿宋_GBK"/>
          <w:color w:val="000000"/>
          <w:kern w:val="0"/>
          <w:sz w:val="32"/>
          <w:szCs w:val="32"/>
          <w:lang w:bidi="ar"/>
        </w:rPr>
      </w:pPr>
      <w:r>
        <w:rPr>
          <w:rFonts w:hint="eastAsia" w:ascii="方正仿宋_GBK" w:hAnsi="仿宋_GB2312" w:eastAsia="方正仿宋_GBK"/>
          <w:b/>
          <w:bCs/>
          <w:color w:val="000000"/>
          <w:kern w:val="0"/>
          <w:sz w:val="32"/>
          <w:szCs w:val="32"/>
          <w:lang w:bidi="ar"/>
        </w:rPr>
        <w:t>面临机遇：一</w:t>
      </w:r>
      <w:r>
        <w:rPr>
          <w:rFonts w:eastAsia="方正仿宋_GBK" w:cs="Times New Roman"/>
          <w:b/>
          <w:bCs/>
          <w:color w:val="000000"/>
          <w:kern w:val="0"/>
          <w:sz w:val="32"/>
          <w:szCs w:val="32"/>
          <w:lang w:bidi="ar"/>
        </w:rPr>
        <w:t>是</w:t>
      </w:r>
      <w:r>
        <w:rPr>
          <w:rFonts w:eastAsia="方正仿宋_GBK" w:cs="Times New Roman"/>
          <w:color w:val="000000"/>
          <w:kern w:val="0"/>
          <w:sz w:val="32"/>
          <w:szCs w:val="32"/>
          <w:lang w:bidi="ar"/>
        </w:rPr>
        <w:t>2020年6月习近平总</w:t>
      </w:r>
      <w:r>
        <w:rPr>
          <w:rFonts w:hint="eastAsia" w:ascii="方正仿宋_GBK" w:hAnsi="仿宋_GB2312" w:eastAsia="方正仿宋_GBK"/>
          <w:color w:val="000000"/>
          <w:kern w:val="0"/>
          <w:sz w:val="32"/>
          <w:szCs w:val="32"/>
          <w:lang w:bidi="ar"/>
        </w:rPr>
        <w:t>书记亲临宁夏视察、发表重要讲话，赋予宁夏“努力建设黄河流域生态保护和高质量发展先行区”的时代重任，进一步明确了“继续建设经济繁荣、民族团结、环境优美、人民富裕的美丽新宁夏”的奋斗目标，是做好“十四五”生态环境保护工作的最大动力和根本保障。</w:t>
      </w:r>
      <w:r>
        <w:rPr>
          <w:rFonts w:hint="eastAsia" w:ascii="方正仿宋_GBK" w:hAnsi="仿宋_GB2312" w:eastAsia="方正仿宋_GBK"/>
          <w:b/>
          <w:bCs/>
          <w:color w:val="000000"/>
          <w:kern w:val="0"/>
          <w:sz w:val="32"/>
          <w:szCs w:val="32"/>
          <w:lang w:bidi="ar"/>
        </w:rPr>
        <w:t>二是</w:t>
      </w:r>
      <w:r>
        <w:rPr>
          <w:rFonts w:hint="eastAsia" w:ascii="方正仿宋_GBK" w:hAnsi="仿宋_GB2312" w:eastAsia="方正仿宋_GBK"/>
          <w:color w:val="000000"/>
          <w:kern w:val="0"/>
          <w:sz w:val="32"/>
          <w:szCs w:val="32"/>
          <w:lang w:bidi="ar"/>
        </w:rPr>
        <w:t>积极应对气候变化、新时代西部大开发、乡村振兴、《中共中央国务院关于深入打好污染防治攻坚战的意见》等国家战略的实施将加快新发展格局形成，自治区以建设黄河流域生态保护和高质量发展先行区统领美丽新宁夏，引领现代化建设，描绘了更高质量、充满希望的发展愿景，为我县进一步加强生态环境保护和推进绿色转型带来新机遇。</w:t>
      </w:r>
      <w:r>
        <w:rPr>
          <w:rFonts w:hint="eastAsia" w:ascii="方正仿宋_GBK" w:hAnsi="仿宋_GB2312" w:eastAsia="方正仿宋_GBK"/>
          <w:b/>
          <w:bCs/>
          <w:color w:val="000000"/>
          <w:kern w:val="0"/>
          <w:sz w:val="32"/>
          <w:szCs w:val="32"/>
          <w:lang w:bidi="ar"/>
        </w:rPr>
        <w:t>三是</w:t>
      </w:r>
      <w:r>
        <w:rPr>
          <w:rFonts w:hint="eastAsia" w:ascii="方正仿宋_GBK" w:hAnsi="仿宋_GB2312" w:eastAsia="方正仿宋_GBK"/>
          <w:color w:val="000000"/>
          <w:kern w:val="0"/>
          <w:sz w:val="32"/>
          <w:szCs w:val="32"/>
          <w:lang w:bidi="ar"/>
        </w:rPr>
        <w:t xml:space="preserve">“十四五”期间，石嘴山市提出要扎实推进环境治理能力现代化，守好改善生态环境生命线，走出一条高质量发展新路子，争当黄河流域生态保护和高质量发展先行区排头兵，加快建设“创新型山水园林工业城市”的具体目标要求，这为我县努力率先走出一条以生态环境保护优化经济增长、实现国民经济和谐发展的创新之路创造了良好的条件。平罗县生态环境保护工作在这样的大环境中，将获得最大程度的机制保障，从领导重视程度、部门协调程度和工作推进程度上都将得到进一步的有力支持。 </w:t>
      </w:r>
      <w:bookmarkStart w:id="226" w:name="_Toc17357"/>
      <w:bookmarkStart w:id="227" w:name="_Toc15204"/>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面临挑战</w:t>
      </w:r>
      <w:bookmarkEnd w:id="219"/>
      <w:bookmarkEnd w:id="220"/>
      <w:bookmarkEnd w:id="221"/>
      <w:bookmarkEnd w:id="222"/>
      <w:bookmarkEnd w:id="223"/>
      <w:bookmarkEnd w:id="224"/>
      <w:bookmarkEnd w:id="225"/>
      <w:bookmarkEnd w:id="226"/>
      <w:bookmarkEnd w:id="227"/>
      <w:bookmarkStart w:id="228" w:name="_Toc5659"/>
      <w:r>
        <w:rPr>
          <w:rFonts w:hint="eastAsia" w:ascii="方正仿宋_GBK" w:hAnsi="仿宋_GB2312" w:eastAsia="方正仿宋_GBK"/>
          <w:b/>
          <w:bCs/>
          <w:color w:val="000000"/>
          <w:sz w:val="32"/>
          <w:szCs w:val="32"/>
        </w:rPr>
        <w:t>：一是</w:t>
      </w:r>
      <w:r>
        <w:rPr>
          <w:rFonts w:hint="eastAsia" w:ascii="方正仿宋_GBK" w:hAnsi="仿宋_GB2312" w:eastAsia="方正仿宋_GBK"/>
          <w:color w:val="000000"/>
          <w:sz w:val="32"/>
          <w:szCs w:val="32"/>
        </w:rPr>
        <w:t>以高耗能为主导的产业结构调整难度大</w:t>
      </w:r>
      <w:bookmarkEnd w:id="228"/>
      <w:r>
        <w:rPr>
          <w:rFonts w:hint="eastAsia" w:ascii="方正仿宋_GBK" w:hAnsi="仿宋_GB2312" w:eastAsia="方正仿宋_GBK"/>
          <w:color w:val="000000"/>
          <w:sz w:val="32"/>
          <w:szCs w:val="32"/>
        </w:rPr>
        <w:t>。</w:t>
      </w:r>
      <w:r>
        <w:rPr>
          <w:rFonts w:hint="eastAsia" w:ascii="方正仿宋_GBK" w:hAnsi="仿宋_GB2312" w:eastAsia="方正仿宋_GBK"/>
          <w:color w:val="000000"/>
          <w:kern w:val="0"/>
          <w:sz w:val="32"/>
          <w:szCs w:val="32"/>
          <w:lang w:bidi="ar"/>
        </w:rPr>
        <w:t>虽然我县持续推进产业转型升级，产业结构调整取得一定优化，但随着能源结构的低碳化、绿色化发展趋势，煤炭消费强度将进一步降低，总体倚重依能的结构状况仍未改变，减污降碳任务仍然繁重，面临着改善生态环境与优化调整结构的双重挑战</w:t>
      </w:r>
      <w:bookmarkStart w:id="229" w:name="_Toc440"/>
      <w:bookmarkStart w:id="230" w:name="_Toc17324"/>
      <w:bookmarkStart w:id="231" w:name="_Toc11844"/>
      <w:bookmarkStart w:id="232" w:name="_Toc22970"/>
      <w:bookmarkStart w:id="233" w:name="_Toc27692"/>
      <w:r>
        <w:rPr>
          <w:rFonts w:hint="eastAsia" w:ascii="方正仿宋_GBK" w:hAnsi="仿宋_GB2312" w:eastAsia="方正仿宋_GBK"/>
          <w:color w:val="000000"/>
          <w:kern w:val="0"/>
          <w:sz w:val="32"/>
          <w:szCs w:val="32"/>
          <w:lang w:bidi="ar"/>
        </w:rPr>
        <w:t>。</w:t>
      </w:r>
      <w:bookmarkEnd w:id="229"/>
      <w:bookmarkEnd w:id="230"/>
      <w:bookmarkEnd w:id="231"/>
      <w:bookmarkEnd w:id="232"/>
      <w:bookmarkEnd w:id="233"/>
      <w:bookmarkStart w:id="234" w:name="_Toc3740"/>
      <w:r>
        <w:rPr>
          <w:rFonts w:hint="eastAsia" w:ascii="方正仿宋_GBK" w:hAnsi="仿宋_GB2312" w:eastAsia="方正仿宋_GBK"/>
          <w:b/>
          <w:bCs/>
          <w:color w:val="000000"/>
          <w:sz w:val="32"/>
          <w:szCs w:val="32"/>
        </w:rPr>
        <w:t>二是</w:t>
      </w:r>
      <w:r>
        <w:rPr>
          <w:rFonts w:hint="eastAsia" w:ascii="方正仿宋_GBK" w:hAnsi="仿宋_GB2312" w:eastAsia="方正仿宋_GBK"/>
          <w:color w:val="000000"/>
          <w:sz w:val="32"/>
          <w:szCs w:val="32"/>
        </w:rPr>
        <w:t>主要污染物仍然处在高位，治理难度日益加大</w:t>
      </w:r>
      <w:bookmarkEnd w:id="234"/>
      <w:r>
        <w:rPr>
          <w:rFonts w:hint="eastAsia" w:ascii="方正仿宋_GBK" w:hAnsi="仿宋_GB2312" w:eastAsia="方正仿宋_GBK"/>
          <w:color w:val="000000"/>
          <w:sz w:val="32"/>
          <w:szCs w:val="32"/>
        </w:rPr>
        <w:t>。</w:t>
      </w:r>
      <w:r>
        <w:rPr>
          <w:rFonts w:hint="eastAsia" w:ascii="方正仿宋_GBK" w:hAnsi="仿宋_GB2312" w:eastAsia="方正仿宋_GBK"/>
          <w:color w:val="000000"/>
          <w:kern w:val="0"/>
          <w:sz w:val="32"/>
          <w:szCs w:val="32"/>
          <w:lang w:bidi="ar"/>
        </w:rPr>
        <w:t>固定源的大气污染治理已基本触底，城镇和工业园区污水处理厂已全部达到一级 A排放标准，未来五年畜禽养殖规模还将进一步扩大，后续减排空间有限；生态环境保护的形势依然严峻，城市环境空气质量反弹风险高，大气结构型污染压力将继续存在；排水沟水质不稳定，亟需加大整治力度；我县生态环境基础薄弱，干旱少雨，资源环境承载力有限，面临着发展不足与生态脆弱的双重压力。</w:t>
      </w:r>
      <w:r>
        <w:rPr>
          <w:rFonts w:hint="eastAsia" w:ascii="方正仿宋_GBK" w:hAnsi="仿宋_GB2312" w:eastAsia="方正仿宋_GBK"/>
          <w:b/>
          <w:bCs/>
          <w:color w:val="000000"/>
          <w:kern w:val="0"/>
          <w:sz w:val="32"/>
          <w:szCs w:val="32"/>
          <w:lang w:bidi="ar"/>
        </w:rPr>
        <w:t>三是</w:t>
      </w:r>
      <w:bookmarkStart w:id="235" w:name="_Toc19031"/>
      <w:bookmarkStart w:id="236" w:name="_Toc23702"/>
      <w:bookmarkStart w:id="237" w:name="_Toc1607"/>
      <w:bookmarkStart w:id="238" w:name="_Toc26693"/>
      <w:bookmarkStart w:id="239" w:name="_Toc30849"/>
      <w:bookmarkStart w:id="240" w:name="_Toc30106"/>
      <w:bookmarkStart w:id="241" w:name="_Toc32392"/>
      <w:r>
        <w:rPr>
          <w:rFonts w:hint="eastAsia" w:ascii="方正仿宋_GBK" w:hAnsi="仿宋_GB2312" w:eastAsia="方正仿宋_GBK"/>
          <w:color w:val="000000"/>
          <w:sz w:val="32"/>
          <w:szCs w:val="32"/>
        </w:rPr>
        <w:t>污染治理进入精细化阶段，环保投入不足的矛盾日益突出</w:t>
      </w:r>
      <w:bookmarkEnd w:id="235"/>
      <w:bookmarkEnd w:id="236"/>
      <w:bookmarkEnd w:id="237"/>
      <w:bookmarkEnd w:id="238"/>
      <w:bookmarkEnd w:id="239"/>
      <w:bookmarkEnd w:id="240"/>
      <w:bookmarkEnd w:id="241"/>
      <w:r>
        <w:rPr>
          <w:rFonts w:hint="eastAsia" w:ascii="方正仿宋_GBK" w:hAnsi="仿宋_GB2312" w:eastAsia="方正仿宋_GBK"/>
          <w:color w:val="000000"/>
          <w:sz w:val="32"/>
          <w:szCs w:val="32"/>
        </w:rPr>
        <w:t>。随着大气、水、土壤等重大治理项目的先后实施，“十四五”时期我县生态环保治理投入需求将急剧增加，环保投入不足的矛盾将会日益突出。</w:t>
      </w:r>
      <w:bookmarkEnd w:id="14"/>
      <w:bookmarkStart w:id="242" w:name="_Toc28284"/>
      <w:bookmarkStart w:id="243" w:name="_Toc24569"/>
      <w:bookmarkStart w:id="244" w:name="_Toc22043"/>
      <w:bookmarkStart w:id="245" w:name="_Toc28419"/>
      <w:bookmarkStart w:id="246" w:name="_Toc13820"/>
      <w:bookmarkStart w:id="247" w:name="_Toc5917"/>
      <w:bookmarkStart w:id="248" w:name="_Toc14019"/>
      <w:bookmarkStart w:id="249" w:name="_Toc14986"/>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jc w:val="both"/>
        <w:textAlignment w:val="auto"/>
        <w:rPr>
          <w:rFonts w:hint="eastAsia" w:ascii="方正黑体_GBK" w:hAnsi="黑体" w:eastAsia="方正黑体_GBK" w:cs="黑体"/>
          <w:b w:val="0"/>
          <w:bCs w:val="0"/>
          <w:color w:val="000000"/>
          <w:szCs w:val="32"/>
        </w:rPr>
      </w:pPr>
      <w:bookmarkStart w:id="250" w:name="_Toc10718"/>
      <w:bookmarkStart w:id="251" w:name="_Toc23644"/>
      <w:bookmarkStart w:id="252" w:name="_Toc461"/>
      <w:r>
        <w:rPr>
          <w:rFonts w:hint="eastAsia" w:ascii="方正黑体_GBK" w:hAnsi="黑体" w:eastAsia="方正黑体_GBK" w:cs="黑体"/>
          <w:b w:val="0"/>
          <w:bCs w:val="0"/>
          <w:color w:val="000000"/>
          <w:szCs w:val="32"/>
        </w:rPr>
        <w:t>三、“十四五”环境保护指导思想与规划目标指标</w:t>
      </w:r>
      <w:bookmarkEnd w:id="242"/>
      <w:bookmarkEnd w:id="243"/>
      <w:bookmarkEnd w:id="244"/>
      <w:bookmarkEnd w:id="245"/>
      <w:bookmarkEnd w:id="246"/>
      <w:bookmarkEnd w:id="247"/>
      <w:bookmarkEnd w:id="248"/>
      <w:bookmarkEnd w:id="249"/>
      <w:bookmarkEnd w:id="250"/>
      <w:bookmarkEnd w:id="251"/>
      <w:bookmarkEnd w:id="252"/>
      <w:bookmarkStart w:id="253" w:name="_Toc438825706"/>
      <w:bookmarkStart w:id="254" w:name="_Toc29047"/>
      <w:bookmarkStart w:id="255" w:name="_Toc437510720"/>
      <w:bookmarkStart w:id="256" w:name="_Toc437510834"/>
      <w:bookmarkStart w:id="257" w:name="_Toc30690"/>
      <w:bookmarkStart w:id="258" w:name="_Toc11388"/>
      <w:bookmarkStart w:id="259" w:name="_Toc31506"/>
      <w:bookmarkStart w:id="260" w:name="_Toc29336"/>
      <w:bookmarkStart w:id="261" w:name="_Toc18567"/>
      <w:bookmarkStart w:id="262" w:name="_Toc436899736"/>
      <w:bookmarkStart w:id="263" w:name="_Toc11871"/>
    </w:p>
    <w:p>
      <w:pPr>
        <w:pStyle w:val="4"/>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hint="eastAsia" w:ascii="方正楷体_GBK" w:hAnsi="楷体_GB2312" w:eastAsia="方正楷体_GBK" w:cs="楷体_GB2312"/>
          <w:color w:val="000000"/>
          <w:sz w:val="32"/>
        </w:rPr>
      </w:pPr>
      <w:bookmarkStart w:id="264" w:name="_Toc13205"/>
      <w:bookmarkStart w:id="265" w:name="_Toc3030"/>
      <w:bookmarkStart w:id="266" w:name="_Toc24440"/>
      <w:r>
        <w:rPr>
          <w:rFonts w:hint="eastAsia" w:ascii="方正楷体_GBK" w:hAnsi="楷体_GB2312" w:eastAsia="方正楷体_GBK" w:cs="楷体_GB2312"/>
          <w:color w:val="000000"/>
          <w:sz w:val="32"/>
        </w:rPr>
        <w:t>（一）指导思想</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Start w:id="267" w:name="_Toc276908409"/>
      <w:bookmarkStart w:id="268" w:name="_Toc16005"/>
      <w:bookmarkStart w:id="269" w:name="_Toc276759723"/>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方正仿宋_GBK" w:hAnsi="仿宋_GB2312" w:eastAsia="方正仿宋_GBK"/>
          <w:color w:val="000000"/>
          <w:sz w:val="32"/>
          <w:szCs w:val="32"/>
        </w:rPr>
      </w:pPr>
      <w:r>
        <w:rPr>
          <w:rFonts w:hint="eastAsia" w:ascii="方正仿宋_GBK" w:hAnsi="仿宋_GB2312" w:eastAsia="方正仿宋_GBK"/>
          <w:color w:val="000000"/>
          <w:kern w:val="0"/>
          <w:sz w:val="32"/>
          <w:szCs w:val="32"/>
          <w:lang w:bidi="ar"/>
        </w:rPr>
        <w:t xml:space="preserve">以习近平新时代中国特色社会主义思想为指导，全面贯彻党中央、国务院关于生态文明建设和生态环境保护的决策部署，深入践行习近平生态文明思想，认真落实习近平总书记视察宁夏重要讲话和重要指示批示精神，准确把握新发展阶段、深入贯彻新发展理念、加快构建新发展格局，以改善生态环境质量为核心，坚持生态优先、绿色发展，促进经济社会全面绿色转型，把握减污降碳总要求，深入打好污染防治攻坚战，坚决守好改善生态环境生命线，走出一条高质量发展新路子，推动生态环境综合治理、系统治理、源头治理，更加突出精准治污、科学治污、依法治污，加快构建现代环境治理体系，推动全县生态环境质量稳中向好、好中向优，不断满足人民日益增长的优美生态环境需要，为建设黄河流域生态保护和高质量发展先行区排头兵奠定坚实的生态环境基础。 </w:t>
      </w:r>
    </w:p>
    <w:bookmarkEnd w:id="267"/>
    <w:bookmarkEnd w:id="268"/>
    <w:bookmarkEnd w:id="269"/>
    <w:p>
      <w:pPr>
        <w:pStyle w:val="4"/>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hint="eastAsia" w:ascii="方正楷体_GBK" w:hAnsi="楷体_GB2312" w:eastAsia="方正楷体_GBK" w:cs="楷体_GB2312"/>
          <w:color w:val="000000"/>
          <w:sz w:val="32"/>
        </w:rPr>
      </w:pPr>
      <w:bookmarkStart w:id="270" w:name="_Toc23458"/>
      <w:bookmarkStart w:id="271" w:name="_Toc20233"/>
      <w:bookmarkStart w:id="272" w:name="_Toc748"/>
      <w:bookmarkStart w:id="273" w:name="_Toc436899738"/>
      <w:bookmarkStart w:id="274" w:name="_Toc22462"/>
      <w:bookmarkStart w:id="275" w:name="_Toc24371"/>
      <w:bookmarkStart w:id="276" w:name="_Toc437510836"/>
      <w:bookmarkStart w:id="277" w:name="_Toc12267"/>
      <w:bookmarkStart w:id="278" w:name="_Toc21747"/>
      <w:bookmarkStart w:id="279" w:name="_Toc437510722"/>
      <w:bookmarkStart w:id="280" w:name="_Toc276759725"/>
      <w:bookmarkStart w:id="281" w:name="_Toc5543"/>
      <w:bookmarkStart w:id="282" w:name="_Toc276908412"/>
      <w:bookmarkStart w:id="283" w:name="_Toc438825707"/>
      <w:bookmarkStart w:id="284" w:name="_Toc28961"/>
      <w:bookmarkStart w:id="285" w:name="_Toc31287"/>
      <w:bookmarkStart w:id="286" w:name="_Toc45"/>
      <w:r>
        <w:rPr>
          <w:rFonts w:hint="eastAsia" w:ascii="方正楷体_GBK" w:hAnsi="楷体_GB2312" w:eastAsia="方正楷体_GBK" w:cs="楷体_GB2312"/>
          <w:color w:val="000000"/>
          <w:sz w:val="32"/>
        </w:rPr>
        <w:t>（二）总体目标</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Start w:id="287" w:name="_Toc17919"/>
      <w:bookmarkStart w:id="288" w:name="_Toc30320"/>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方正仿宋_GBK" w:hAnsi="仿宋_GB2312" w:eastAsia="方正仿宋_GBK"/>
          <w:color w:val="000000"/>
          <w:kern w:val="0"/>
          <w:sz w:val="32"/>
          <w:szCs w:val="32"/>
          <w:lang w:bidi="ar"/>
        </w:rPr>
      </w:pPr>
      <w:r>
        <w:rPr>
          <w:rFonts w:eastAsia="方正仿宋_GBK" w:cs="Times New Roman"/>
          <w:color w:val="000000"/>
          <w:kern w:val="0"/>
          <w:sz w:val="32"/>
          <w:szCs w:val="32"/>
          <w:lang w:bidi="ar"/>
        </w:rPr>
        <w:t>2025年</w:t>
      </w:r>
      <w:r>
        <w:rPr>
          <w:rFonts w:eastAsia="方正仿宋_GBK" w:cs="Times New Roman"/>
          <w:color w:val="000000"/>
          <w:sz w:val="32"/>
          <w:szCs w:val="32"/>
        </w:rPr>
        <w:t>，全县聚力生态优</w:t>
      </w:r>
      <w:r>
        <w:rPr>
          <w:rFonts w:hint="eastAsia" w:ascii="方正仿宋_GBK" w:hAnsi="仿宋_GB2312" w:eastAsia="方正仿宋_GBK"/>
          <w:color w:val="000000"/>
          <w:sz w:val="32"/>
          <w:szCs w:val="32"/>
        </w:rPr>
        <w:t>先战略，突出难点抓污染治理，突出重点抓生态修复，突出亮点抓环境保护，厚植高质量发展底色，</w:t>
      </w:r>
      <w:r>
        <w:rPr>
          <w:rFonts w:hint="eastAsia" w:ascii="方正仿宋_GBK" w:hAnsi="仿宋_GB2312" w:eastAsia="方正仿宋_GBK"/>
          <w:color w:val="000000"/>
          <w:kern w:val="0"/>
          <w:sz w:val="32"/>
          <w:szCs w:val="32"/>
          <w:lang w:bidi="ar"/>
        </w:rPr>
        <w:t xml:space="preserve">推动生态环境质量稳中向好、好中向优，绿色低碳发展水平和应对气候变化能力显著提高，空气质量明显改善，水环境质量全面提升，水生态恢复取得明显成效，土壤环境安全得到有效保障，环境风险得到全面管控，生态保护和高质量发展先行区建设取得重大战略成果。 </w:t>
      </w:r>
    </w:p>
    <w:p>
      <w:pPr>
        <w:pStyle w:val="5"/>
        <w:keepNext w:val="0"/>
        <w:keepLines w:val="0"/>
        <w:pageBreakBefore w:val="0"/>
        <w:widowControl w:val="0"/>
        <w:kinsoku/>
        <w:wordWrap/>
        <w:overflowPunct/>
        <w:topLinePunct w:val="0"/>
        <w:autoSpaceDE/>
        <w:autoSpaceDN/>
        <w:bidi w:val="0"/>
        <w:adjustRightInd/>
        <w:spacing w:beforeLines="0" w:afterLines="0" w:line="560" w:lineRule="exact"/>
        <w:ind w:firstLine="643" w:firstLineChars="200"/>
        <w:jc w:val="both"/>
        <w:textAlignment w:val="auto"/>
        <w:rPr>
          <w:rFonts w:hint="eastAsia" w:ascii="方正仿宋_GBK" w:hAnsi="仿宋_GB2312" w:eastAsia="方正仿宋_GBK"/>
          <w:color w:val="000000"/>
          <w:sz w:val="32"/>
        </w:rPr>
      </w:pPr>
      <w:bookmarkStart w:id="289" w:name="_Toc10955"/>
      <w:bookmarkStart w:id="290" w:name="_Toc6945"/>
      <w:bookmarkStart w:id="291" w:name="_Toc28773"/>
      <w:r>
        <w:rPr>
          <w:rFonts w:hint="eastAsia" w:ascii="方正仿宋_GBK" w:hAnsi="仿宋_GB2312" w:eastAsia="方正仿宋_GBK"/>
          <w:color w:val="000000"/>
          <w:sz w:val="32"/>
        </w:rPr>
        <w:t>“十四五”时期生态环境保护主要目标</w:t>
      </w:r>
      <w:bookmarkEnd w:id="289"/>
      <w:bookmarkEnd w:id="290"/>
      <w:bookmarkEnd w:id="291"/>
    </w:p>
    <w:p>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——绿色转型成效更加显著。</w:t>
      </w:r>
      <w:r>
        <w:rPr>
          <w:rFonts w:hint="eastAsia" w:ascii="方正仿宋_GBK" w:hAnsi="仿宋_GB2312" w:eastAsia="方正仿宋_GBK"/>
          <w:color w:val="000000"/>
          <w:kern w:val="0"/>
          <w:sz w:val="32"/>
          <w:szCs w:val="32"/>
          <w:lang w:bidi="ar"/>
        </w:rPr>
        <w:t>加快建设黄河生态经济带和平罗县区域绿色发展区，构建绿色高效、优势突出的现代产业体系。国土空间开发保护格局持续优化。能源资源配置更加合理、利用效率大幅提高，单位地区生产总值能源消耗进一步下降。应对气候变化取得积极成效，碳排放强度增长趋势得到有效遏制，绿色生产生活方式加快形成。</w:t>
      </w:r>
    </w:p>
    <w:p>
      <w:pPr>
        <w:spacing w:line="560" w:lineRule="exact"/>
        <w:ind w:firstLine="643" w:firstLineChars="200"/>
        <w:jc w:val="both"/>
        <w:rPr>
          <w:rFonts w:hint="eastAsia" w:ascii="方正仿宋_GBK" w:hAnsi="仿宋_GB2312" w:eastAsia="方正仿宋_GBK"/>
          <w:b/>
          <w:bCs/>
          <w:color w:val="000000"/>
          <w:sz w:val="32"/>
          <w:szCs w:val="32"/>
          <w:u w:val="single"/>
        </w:rPr>
      </w:pPr>
      <w:r>
        <w:rPr>
          <w:rFonts w:hint="eastAsia" w:ascii="方正仿宋_GBK" w:hAnsi="仿宋_GB2312" w:eastAsia="方正仿宋_GBK"/>
          <w:b/>
          <w:bCs/>
          <w:color w:val="000000"/>
          <w:sz w:val="32"/>
          <w:szCs w:val="32"/>
        </w:rPr>
        <w:t>——环境污染防治率先区建设取得明显成效。</w:t>
      </w:r>
      <w:r>
        <w:rPr>
          <w:rFonts w:hint="eastAsia" w:ascii="方正仿宋_GBK" w:hAnsi="仿宋_GB2312" w:eastAsia="方正仿宋_GBK"/>
          <w:color w:val="000000"/>
          <w:kern w:val="0"/>
          <w:sz w:val="32"/>
          <w:szCs w:val="32"/>
          <w:lang w:bidi="ar"/>
        </w:rPr>
        <w:t>主要污染物排放总量持续下降。环境空气质量持续改善，城市空气质量优良天数比率达</w:t>
      </w:r>
      <w:r>
        <w:rPr>
          <w:rFonts w:eastAsia="方正仿宋_GBK" w:cs="Times New Roman"/>
          <w:color w:val="000000"/>
          <w:kern w:val="0"/>
          <w:sz w:val="32"/>
          <w:szCs w:val="32"/>
          <w:lang w:bidi="ar"/>
        </w:rPr>
        <w:t>到81.5%，环境空气质量争取实现达到国家二级标准。水环境质量稳中有升，地表水国考断面水质达到或好于Ⅲ类水体比例达到66%，</w:t>
      </w:r>
      <w:r>
        <w:rPr>
          <w:rFonts w:eastAsia="方正仿宋_GBK" w:cs="Times New Roman"/>
          <w:color w:val="000000"/>
          <w:sz w:val="32"/>
          <w:szCs w:val="32"/>
        </w:rPr>
        <w:t>典农河、第五排水沟稳定达到Ⅳ类水质</w:t>
      </w:r>
      <w:r>
        <w:rPr>
          <w:rFonts w:eastAsia="方正仿宋_GBK" w:cs="Times New Roman"/>
          <w:color w:val="000000"/>
          <w:kern w:val="0"/>
          <w:sz w:val="32"/>
          <w:szCs w:val="32"/>
          <w:lang w:bidi="ar"/>
        </w:rPr>
        <w:t>，</w:t>
      </w:r>
      <w:r>
        <w:rPr>
          <w:rFonts w:eastAsia="方正仿宋_GBK" w:cs="Times New Roman"/>
          <w:color w:val="000000"/>
          <w:sz w:val="32"/>
          <w:szCs w:val="32"/>
        </w:rPr>
        <w:t>再生水回用率达到90%以</w:t>
      </w:r>
      <w:r>
        <w:rPr>
          <w:rFonts w:hint="eastAsia" w:ascii="方正仿宋_GBK" w:hAnsi="仿宋_GB2312" w:eastAsia="方正仿宋_GBK"/>
          <w:color w:val="000000"/>
          <w:sz w:val="32"/>
          <w:szCs w:val="32"/>
        </w:rPr>
        <w:t>上。</w:t>
      </w:r>
      <w:r>
        <w:rPr>
          <w:rFonts w:hint="eastAsia" w:ascii="方正仿宋_GBK" w:hAnsi="仿宋_GB2312" w:eastAsia="方正仿宋_GBK"/>
          <w:color w:val="000000"/>
          <w:kern w:val="0"/>
          <w:sz w:val="32"/>
          <w:szCs w:val="32"/>
          <w:lang w:bidi="ar"/>
        </w:rPr>
        <w:t>农业面源污染得到初步管控，城乡人居环境明显改观</w:t>
      </w:r>
      <w:r>
        <w:rPr>
          <w:rFonts w:hint="eastAsia" w:ascii="方正仿宋_GBK" w:hAnsi="仿宋_GB2312" w:eastAsia="方正仿宋_GBK"/>
          <w:color w:val="000000"/>
          <w:sz w:val="32"/>
          <w:szCs w:val="32"/>
        </w:rPr>
        <w:t>。</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——生态系统功能稳步提升。</w:t>
      </w:r>
      <w:r>
        <w:rPr>
          <w:rFonts w:hint="eastAsia" w:ascii="方正仿宋_GBK" w:hAnsi="仿宋_GB2312" w:eastAsia="方正仿宋_GBK"/>
          <w:color w:val="000000"/>
          <w:kern w:val="0"/>
          <w:sz w:val="32"/>
          <w:szCs w:val="32"/>
          <w:lang w:bidi="ar"/>
        </w:rPr>
        <w:t>贺兰山生态安全屏障更加牢固，生态保护红线面积不减少、功能不降低、性质不改变，生态质量指数稳中向好，加强贺兰山东麓绿道绿廊绿网建设，森林覆盖率达</w:t>
      </w:r>
      <w:r>
        <w:rPr>
          <w:rFonts w:eastAsia="方正仿宋_GBK" w:cs="Times New Roman"/>
          <w:color w:val="000000"/>
          <w:kern w:val="0"/>
          <w:sz w:val="32"/>
          <w:szCs w:val="32"/>
          <w:lang w:bidi="ar"/>
        </w:rPr>
        <w:t>到8.8%，生物多样</w:t>
      </w:r>
      <w:r>
        <w:rPr>
          <w:rFonts w:hint="eastAsia" w:ascii="方正仿宋_GBK" w:hAnsi="仿宋_GB2312" w:eastAsia="方正仿宋_GBK"/>
          <w:color w:val="000000"/>
          <w:kern w:val="0"/>
          <w:sz w:val="32"/>
          <w:szCs w:val="32"/>
          <w:lang w:bidi="ar"/>
        </w:rPr>
        <w:t>性得到有效保护，生物安全管理水平显著提升，生态系统服务功能不断增强。</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——环境安全取得有效保障。</w:t>
      </w:r>
      <w:r>
        <w:rPr>
          <w:rFonts w:hint="eastAsia" w:ascii="方正仿宋_GBK" w:hAnsi="仿宋_GB2312" w:eastAsia="方正仿宋_GBK"/>
          <w:color w:val="000000"/>
          <w:kern w:val="0"/>
          <w:sz w:val="32"/>
          <w:szCs w:val="32"/>
          <w:lang w:bidi="ar"/>
        </w:rPr>
        <w:t>土壤安全利用水平巩固提升，受污染耕地安全利用率完成自治区下达任务，重点建设用地环境安全得到有效保障。固体废物与化学物质环境风险防控能力不断增强，突发环境事件应急能力明显提升，核与辐射安全监管持续加强，环境风险得到有效管控。</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——环境治理效能明显增强。</w:t>
      </w:r>
      <w:r>
        <w:rPr>
          <w:rFonts w:hint="eastAsia" w:ascii="方正仿宋_GBK" w:hAnsi="仿宋_GB2312" w:eastAsia="方正仿宋_GBK"/>
          <w:color w:val="000000"/>
          <w:kern w:val="0"/>
          <w:sz w:val="32"/>
          <w:szCs w:val="32"/>
          <w:lang w:bidi="ar"/>
        </w:rPr>
        <w:t>生态文明体制机制更加健全，领导责任体系、企业责任体系、全民行动体系、监管体系、市场体系、信用体系、法规规章政策体系不断完善，构建现代环境治理体系取得明显进展。</w:t>
      </w:r>
    </w:p>
    <w:p>
      <w:pPr>
        <w:spacing w:line="560" w:lineRule="exact"/>
        <w:ind w:firstLine="643" w:firstLineChars="200"/>
        <w:jc w:val="both"/>
        <w:rPr>
          <w:rFonts w:hint="eastAsia" w:ascii="方正仿宋_GBK" w:hAnsi="仿宋_GB2312" w:eastAsia="方正仿宋_GBK"/>
          <w:color w:val="000000"/>
          <w:sz w:val="32"/>
          <w:szCs w:val="32"/>
        </w:rPr>
      </w:pPr>
      <w:bookmarkStart w:id="292" w:name="_Toc32666"/>
      <w:bookmarkStart w:id="293" w:name="_Toc10052"/>
      <w:bookmarkStart w:id="294" w:name="_Toc16857"/>
      <w:bookmarkStart w:id="295" w:name="_Toc3924"/>
      <w:bookmarkStart w:id="296" w:name="_Toc4822"/>
      <w:bookmarkStart w:id="297" w:name="_Toc21488"/>
      <w:r>
        <w:rPr>
          <w:rFonts w:hint="eastAsia" w:ascii="方正仿宋_GBK" w:hAnsi="仿宋_GB2312" w:eastAsia="方正仿宋_GBK"/>
          <w:b/>
          <w:bCs/>
          <w:color w:val="000000"/>
          <w:kern w:val="0"/>
          <w:sz w:val="32"/>
          <w:szCs w:val="32"/>
          <w:lang w:bidi="ar"/>
        </w:rPr>
        <w:t>指标体系</w:t>
      </w:r>
      <w:bookmarkEnd w:id="292"/>
      <w:bookmarkEnd w:id="293"/>
      <w:bookmarkEnd w:id="294"/>
      <w:bookmarkEnd w:id="295"/>
      <w:bookmarkEnd w:id="296"/>
      <w:bookmarkEnd w:id="297"/>
      <w:r>
        <w:rPr>
          <w:rFonts w:hint="eastAsia" w:ascii="方正仿宋_GBK" w:hAnsi="仿宋_GB2312" w:eastAsia="方正仿宋_GBK"/>
          <w:color w:val="000000"/>
          <w:kern w:val="0"/>
          <w:sz w:val="32"/>
          <w:szCs w:val="32"/>
          <w:lang w:bidi="ar"/>
        </w:rPr>
        <w:t>包括环境质量、应对气候变化、生态环境保护、总量控制、资源节约与利用和环境风</w:t>
      </w:r>
      <w:r>
        <w:rPr>
          <w:rFonts w:eastAsia="方正仿宋_GBK" w:cs="Times New Roman"/>
          <w:color w:val="000000"/>
          <w:kern w:val="0"/>
          <w:sz w:val="32"/>
          <w:szCs w:val="32"/>
          <w:lang w:bidi="ar"/>
        </w:rPr>
        <w:t>险防控等六个方面共25个指标，各类指标中约束性指</w:t>
      </w:r>
      <w:r>
        <w:rPr>
          <w:rFonts w:eastAsia="方正仿宋_GBK" w:cs="Times New Roman"/>
          <w:color w:val="000000"/>
          <w:sz w:val="32"/>
          <w:szCs w:val="32"/>
        </w:rPr>
        <w:t>标18项，预期性指标7项。</w:t>
      </w:r>
    </w:p>
    <w:p>
      <w:pPr>
        <w:pStyle w:val="6"/>
        <w:spacing w:before="102" w:beforeLines="25" w:line="560" w:lineRule="exact"/>
        <w:ind w:left="641" w:firstLine="643" w:firstLineChars="200"/>
        <w:rPr>
          <w:rFonts w:hint="eastAsia" w:ascii="方正仿宋_GBK" w:eastAsia="方正仿宋_GBK"/>
        </w:rPr>
      </w:pPr>
      <w:r>
        <w:rPr>
          <w:rFonts w:ascii="Times New Roman" w:eastAsia="方正仿宋_GBK" w:cs="Times New Roman"/>
        </w:rPr>
        <w:t>表2</w:t>
      </w:r>
      <w:r>
        <w:rPr>
          <w:rFonts w:hint="eastAsia" w:ascii="方正仿宋_GBK" w:eastAsia="方正仿宋_GBK"/>
        </w:rPr>
        <w:t>“十四五”主要生态环境保护指标体系</w:t>
      </w:r>
    </w:p>
    <w:tbl>
      <w:tblPr>
        <w:tblStyle w:val="10"/>
        <w:tblpPr w:leftFromText="180" w:rightFromText="180" w:vertAnchor="text" w:horzAnchor="margin" w:tblpY="49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3"/>
        <w:gridCol w:w="827"/>
        <w:gridCol w:w="524"/>
        <w:gridCol w:w="1891"/>
        <w:gridCol w:w="1814"/>
        <w:gridCol w:w="1279"/>
        <w:gridCol w:w="1260"/>
        <w:gridCol w:w="10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tblHeader/>
        </w:trPr>
        <w:tc>
          <w:tcPr>
            <w:tcW w:w="1260" w:type="dxa"/>
            <w:gridSpan w:val="2"/>
            <w:noWrap w:val="0"/>
            <w:vAlign w:val="center"/>
          </w:tcPr>
          <w:p>
            <w:pPr>
              <w:spacing w:line="280" w:lineRule="exact"/>
              <w:jc w:val="center"/>
              <w:rPr>
                <w:rFonts w:hint="eastAsia" w:ascii="仿宋_GB2312" w:hAnsi="仿宋_GB2312" w:eastAsia="仿宋_GB2312"/>
                <w:b/>
                <w:bCs/>
                <w:color w:val="000000"/>
                <w:sz w:val="24"/>
              </w:rPr>
            </w:pPr>
            <w:r>
              <w:rPr>
                <w:rFonts w:hint="eastAsia" w:ascii="仿宋_GB2312" w:hAnsi="仿宋_GB2312" w:eastAsia="仿宋_GB2312"/>
                <w:color w:val="000000"/>
                <w:sz w:val="32"/>
                <w:szCs w:val="32"/>
              </w:rPr>
              <w:br w:type="page"/>
            </w:r>
            <w:r>
              <w:rPr>
                <w:rFonts w:hint="eastAsia" w:ascii="仿宋_GB2312" w:hAnsi="仿宋_GB2312" w:eastAsia="仿宋_GB2312"/>
                <w:b/>
                <w:bCs/>
                <w:color w:val="000000"/>
                <w:sz w:val="24"/>
              </w:rPr>
              <w:t>类别</w:t>
            </w:r>
          </w:p>
        </w:tc>
        <w:tc>
          <w:tcPr>
            <w:tcW w:w="524" w:type="dxa"/>
            <w:noWrap w:val="0"/>
            <w:vAlign w:val="center"/>
          </w:tcPr>
          <w:p>
            <w:pPr>
              <w:spacing w:line="280" w:lineRule="exact"/>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序号</w:t>
            </w:r>
          </w:p>
        </w:tc>
        <w:tc>
          <w:tcPr>
            <w:tcW w:w="3705" w:type="dxa"/>
            <w:gridSpan w:val="2"/>
            <w:noWrap w:val="0"/>
            <w:vAlign w:val="center"/>
          </w:tcPr>
          <w:p>
            <w:pPr>
              <w:spacing w:line="280" w:lineRule="exact"/>
              <w:ind w:firstLine="422"/>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项目</w:t>
            </w:r>
          </w:p>
        </w:tc>
        <w:tc>
          <w:tcPr>
            <w:tcW w:w="1279" w:type="dxa"/>
            <w:noWrap w:val="0"/>
            <w:vAlign w:val="center"/>
          </w:tcPr>
          <w:p>
            <w:pPr>
              <w:spacing w:line="280" w:lineRule="exact"/>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2020年</w:t>
            </w:r>
          </w:p>
        </w:tc>
        <w:tc>
          <w:tcPr>
            <w:tcW w:w="1260" w:type="dxa"/>
            <w:noWrap w:val="0"/>
            <w:vAlign w:val="center"/>
          </w:tcPr>
          <w:p>
            <w:pPr>
              <w:spacing w:line="280" w:lineRule="exact"/>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2025年</w:t>
            </w:r>
          </w:p>
        </w:tc>
        <w:tc>
          <w:tcPr>
            <w:tcW w:w="1024" w:type="dxa"/>
            <w:noWrap w:val="0"/>
            <w:vAlign w:val="center"/>
          </w:tcPr>
          <w:p>
            <w:pPr>
              <w:spacing w:line="280" w:lineRule="exact"/>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指标</w:t>
            </w:r>
          </w:p>
          <w:p>
            <w:pPr>
              <w:spacing w:line="280" w:lineRule="exact"/>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类别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33" w:type="dxa"/>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环境质量改善</w:t>
            </w:r>
          </w:p>
        </w:tc>
        <w:tc>
          <w:tcPr>
            <w:tcW w:w="827" w:type="dxa"/>
            <w:vMerge w:val="restart"/>
            <w:noWrap w:val="0"/>
            <w:vAlign w:val="center"/>
          </w:tcPr>
          <w:p>
            <w:pPr>
              <w:spacing w:line="280" w:lineRule="exact"/>
              <w:jc w:val="both"/>
              <w:rPr>
                <w:rFonts w:hint="eastAsia" w:ascii="仿宋_GB2312" w:hAnsi="仿宋_GB2312" w:eastAsia="仿宋_GB2312"/>
                <w:color w:val="000000"/>
                <w:sz w:val="24"/>
              </w:rPr>
            </w:pPr>
            <w:r>
              <w:rPr>
                <w:rFonts w:hint="eastAsia" w:ascii="仿宋_GB2312" w:hAnsi="仿宋_GB2312" w:eastAsia="仿宋_GB2312"/>
                <w:color w:val="000000"/>
                <w:sz w:val="24"/>
              </w:rPr>
              <w:t>空气环 境</w:t>
            </w:r>
          </w:p>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质 量</w:t>
            </w: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w:t>
            </w:r>
          </w:p>
        </w:tc>
        <w:tc>
          <w:tcPr>
            <w:tcW w:w="3705" w:type="dxa"/>
            <w:gridSpan w:val="2"/>
            <w:noWrap w:val="0"/>
            <w:vAlign w:val="center"/>
          </w:tcPr>
          <w:p>
            <w:pPr>
              <w:spacing w:line="280" w:lineRule="exact"/>
              <w:ind w:firstLine="480" w:firstLineChars="200"/>
              <w:jc w:val="both"/>
              <w:rPr>
                <w:rFonts w:hint="eastAsia" w:ascii="仿宋_GB2312" w:hAnsi="仿宋_GB2312" w:eastAsia="仿宋_GB2312"/>
                <w:color w:val="000000"/>
                <w:sz w:val="24"/>
              </w:rPr>
            </w:pPr>
            <w:r>
              <w:rPr>
                <w:rFonts w:hint="eastAsia" w:ascii="仿宋_GB2312" w:hAnsi="仿宋_GB2312" w:eastAsia="仿宋_GB2312"/>
                <w:color w:val="000000"/>
                <w:sz w:val="24"/>
              </w:rPr>
              <w:t>环境空气优良天数比例（%）</w:t>
            </w:r>
          </w:p>
        </w:tc>
        <w:tc>
          <w:tcPr>
            <w:tcW w:w="1279"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4"/>
              </w:rPr>
              <w:t>79.7</w:t>
            </w:r>
          </w:p>
        </w:tc>
        <w:tc>
          <w:tcPr>
            <w:tcW w:w="1260"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81.5</w:t>
            </w:r>
          </w:p>
        </w:tc>
        <w:tc>
          <w:tcPr>
            <w:tcW w:w="10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33"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827"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2</w:t>
            </w:r>
          </w:p>
        </w:tc>
        <w:tc>
          <w:tcPr>
            <w:tcW w:w="3705" w:type="dxa"/>
            <w:gridSpan w:val="2"/>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城市可吸入颗粒物年均浓度</w:t>
            </w:r>
          </w:p>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（微克/立方米）</w:t>
            </w:r>
          </w:p>
        </w:tc>
        <w:tc>
          <w:tcPr>
            <w:tcW w:w="1279"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4"/>
              </w:rPr>
              <w:t>90</w:t>
            </w:r>
          </w:p>
        </w:tc>
        <w:tc>
          <w:tcPr>
            <w:tcW w:w="1260"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4"/>
              </w:rPr>
              <w:t>70</w:t>
            </w:r>
          </w:p>
        </w:tc>
        <w:tc>
          <w:tcPr>
            <w:tcW w:w="10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433"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827"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3</w:t>
            </w:r>
          </w:p>
        </w:tc>
        <w:tc>
          <w:tcPr>
            <w:tcW w:w="3705" w:type="dxa"/>
            <w:gridSpan w:val="2"/>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城市细颗粒物年均浓度下降（%）</w:t>
            </w:r>
          </w:p>
        </w:tc>
        <w:tc>
          <w:tcPr>
            <w:tcW w:w="1279"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40</w:t>
            </w:r>
          </w:p>
        </w:tc>
        <w:tc>
          <w:tcPr>
            <w:tcW w:w="1260"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31</w:t>
            </w:r>
          </w:p>
        </w:tc>
        <w:tc>
          <w:tcPr>
            <w:tcW w:w="1024"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433"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827" w:type="dxa"/>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水 环境 质量</w:t>
            </w:r>
          </w:p>
        </w:tc>
        <w:tc>
          <w:tcPr>
            <w:tcW w:w="524" w:type="dxa"/>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4</w:t>
            </w:r>
          </w:p>
        </w:tc>
        <w:tc>
          <w:tcPr>
            <w:tcW w:w="1891" w:type="dxa"/>
            <w:vMerge w:val="restart"/>
            <w:tcBorders>
              <w:right w:val="single" w:color="auto" w:sz="4" w:space="0"/>
            </w:tcBorders>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地表水水质达到或好于Ⅲ类比例（%）</w:t>
            </w:r>
          </w:p>
        </w:tc>
        <w:tc>
          <w:tcPr>
            <w:tcW w:w="1814" w:type="dxa"/>
            <w:tcBorders>
              <w:left w:val="single" w:color="auto" w:sz="4" w:space="0"/>
            </w:tcBorders>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国控断面</w:t>
            </w:r>
          </w:p>
        </w:tc>
        <w:tc>
          <w:tcPr>
            <w:tcW w:w="1279"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4"/>
              </w:rPr>
              <w:t>0</w:t>
            </w:r>
          </w:p>
        </w:tc>
        <w:tc>
          <w:tcPr>
            <w:tcW w:w="1260"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4"/>
              </w:rPr>
              <w:t>66</w:t>
            </w:r>
          </w:p>
        </w:tc>
        <w:tc>
          <w:tcPr>
            <w:tcW w:w="1024" w:type="dxa"/>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trPr>
        <w:tc>
          <w:tcPr>
            <w:tcW w:w="433"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827" w:type="dxa"/>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vMerge w:val="continue"/>
            <w:noWrap w:val="0"/>
            <w:vAlign w:val="center"/>
          </w:tcPr>
          <w:p>
            <w:pPr>
              <w:spacing w:line="280" w:lineRule="exact"/>
              <w:jc w:val="center"/>
              <w:rPr>
                <w:rFonts w:hint="eastAsia" w:ascii="仿宋_GB2312" w:hAnsi="仿宋_GB2312" w:eastAsia="仿宋_GB2312"/>
                <w:color w:val="000000"/>
                <w:sz w:val="24"/>
              </w:rPr>
            </w:pPr>
          </w:p>
        </w:tc>
        <w:tc>
          <w:tcPr>
            <w:tcW w:w="1891" w:type="dxa"/>
            <w:vMerge w:val="continue"/>
            <w:tcBorders>
              <w:right w:val="single" w:color="auto" w:sz="4" w:space="0"/>
            </w:tcBorders>
            <w:noWrap w:val="0"/>
            <w:vAlign w:val="center"/>
          </w:tcPr>
          <w:p>
            <w:pPr>
              <w:spacing w:line="280" w:lineRule="exact"/>
              <w:jc w:val="center"/>
              <w:rPr>
                <w:rFonts w:hint="eastAsia" w:ascii="仿宋_GB2312" w:hAnsi="仿宋_GB2312" w:eastAsia="仿宋_GB2312"/>
                <w:color w:val="000000"/>
                <w:sz w:val="24"/>
              </w:rPr>
            </w:pPr>
          </w:p>
        </w:tc>
        <w:tc>
          <w:tcPr>
            <w:tcW w:w="1814" w:type="dxa"/>
            <w:tcBorders>
              <w:left w:val="single" w:color="auto" w:sz="4" w:space="0"/>
            </w:tcBorders>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区控断面</w:t>
            </w:r>
          </w:p>
        </w:tc>
        <w:tc>
          <w:tcPr>
            <w:tcW w:w="1279"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c>
          <w:tcPr>
            <w:tcW w:w="1260"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c>
          <w:tcPr>
            <w:tcW w:w="1024" w:type="dxa"/>
            <w:vMerge w:val="continue"/>
            <w:noWrap w:val="0"/>
            <w:vAlign w:val="center"/>
          </w:tcPr>
          <w:p>
            <w:pPr>
              <w:spacing w:line="280" w:lineRule="exact"/>
              <w:jc w:val="center"/>
              <w:rPr>
                <w:rFonts w:hint="eastAsia" w:ascii="仿宋_GB2312" w:hAnsi="仿宋_GB2312"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433"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827" w:type="dxa"/>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5</w:t>
            </w:r>
          </w:p>
        </w:tc>
        <w:tc>
          <w:tcPr>
            <w:tcW w:w="1891" w:type="dxa"/>
            <w:vMerge w:val="restart"/>
            <w:tcBorders>
              <w:right w:val="single" w:color="auto" w:sz="4" w:space="0"/>
            </w:tcBorders>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地表水劣Ⅴ类水质比例（%）</w:t>
            </w:r>
          </w:p>
        </w:tc>
        <w:tc>
          <w:tcPr>
            <w:tcW w:w="1814" w:type="dxa"/>
            <w:tcBorders>
              <w:left w:val="single" w:color="auto" w:sz="4" w:space="0"/>
            </w:tcBorders>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国控断面</w:t>
            </w:r>
          </w:p>
        </w:tc>
        <w:tc>
          <w:tcPr>
            <w:tcW w:w="1279"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30</w:t>
            </w:r>
          </w:p>
        </w:tc>
        <w:tc>
          <w:tcPr>
            <w:tcW w:w="1260"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20</w:t>
            </w:r>
          </w:p>
        </w:tc>
        <w:tc>
          <w:tcPr>
            <w:tcW w:w="1024" w:type="dxa"/>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433"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827" w:type="dxa"/>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vMerge w:val="continue"/>
            <w:noWrap w:val="0"/>
            <w:vAlign w:val="center"/>
          </w:tcPr>
          <w:p>
            <w:pPr>
              <w:spacing w:line="280" w:lineRule="exact"/>
              <w:jc w:val="center"/>
              <w:rPr>
                <w:rFonts w:hint="eastAsia" w:ascii="仿宋_GB2312" w:hAnsi="仿宋_GB2312" w:eastAsia="仿宋_GB2312"/>
                <w:color w:val="000000"/>
                <w:sz w:val="24"/>
              </w:rPr>
            </w:pPr>
          </w:p>
        </w:tc>
        <w:tc>
          <w:tcPr>
            <w:tcW w:w="1891" w:type="dxa"/>
            <w:vMerge w:val="continue"/>
            <w:tcBorders>
              <w:right w:val="single" w:color="auto" w:sz="4" w:space="0"/>
            </w:tcBorders>
            <w:noWrap w:val="0"/>
            <w:vAlign w:val="center"/>
          </w:tcPr>
          <w:p>
            <w:pPr>
              <w:spacing w:line="280" w:lineRule="exact"/>
              <w:jc w:val="center"/>
              <w:rPr>
                <w:rFonts w:hint="eastAsia" w:ascii="仿宋_GB2312" w:hAnsi="仿宋_GB2312" w:eastAsia="仿宋_GB2312"/>
                <w:color w:val="000000"/>
                <w:sz w:val="24"/>
              </w:rPr>
            </w:pPr>
          </w:p>
        </w:tc>
        <w:tc>
          <w:tcPr>
            <w:tcW w:w="1814" w:type="dxa"/>
            <w:tcBorders>
              <w:left w:val="single" w:color="auto" w:sz="4" w:space="0"/>
            </w:tcBorders>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区控断面</w:t>
            </w:r>
          </w:p>
        </w:tc>
        <w:tc>
          <w:tcPr>
            <w:tcW w:w="1279"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c>
          <w:tcPr>
            <w:tcW w:w="1260"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c>
          <w:tcPr>
            <w:tcW w:w="1024" w:type="dxa"/>
            <w:vMerge w:val="continue"/>
            <w:noWrap w:val="0"/>
            <w:vAlign w:val="center"/>
          </w:tcPr>
          <w:p>
            <w:pPr>
              <w:spacing w:line="280" w:lineRule="exact"/>
              <w:jc w:val="center"/>
              <w:rPr>
                <w:rFonts w:hint="eastAsia" w:ascii="仿宋_GB2312" w:hAnsi="仿宋_GB2312" w:eastAsia="仿宋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433" w:type="dxa"/>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827" w:type="dxa"/>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6</w:t>
            </w:r>
          </w:p>
        </w:tc>
        <w:tc>
          <w:tcPr>
            <w:tcW w:w="3705" w:type="dxa"/>
            <w:gridSpan w:val="2"/>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县级以上城市建成区黑臭水体</w:t>
            </w:r>
          </w:p>
        </w:tc>
        <w:tc>
          <w:tcPr>
            <w:tcW w:w="1279"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全部</w:t>
            </w:r>
          </w:p>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消除</w:t>
            </w:r>
          </w:p>
        </w:tc>
        <w:tc>
          <w:tcPr>
            <w:tcW w:w="1260"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全部</w:t>
            </w:r>
          </w:p>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消除</w:t>
            </w:r>
          </w:p>
        </w:tc>
        <w:tc>
          <w:tcPr>
            <w:tcW w:w="10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rPr>
        <w:tc>
          <w:tcPr>
            <w:tcW w:w="1260" w:type="dxa"/>
            <w:gridSpan w:val="2"/>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应对气候变化</w:t>
            </w: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8</w:t>
            </w:r>
          </w:p>
        </w:tc>
        <w:tc>
          <w:tcPr>
            <w:tcW w:w="3705" w:type="dxa"/>
            <w:gridSpan w:val="2"/>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单位GDP二氧化碳排放降低（%）</w:t>
            </w:r>
          </w:p>
        </w:tc>
        <w:tc>
          <w:tcPr>
            <w:tcW w:w="1279"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控制在自治区下达指标内</w:t>
            </w:r>
          </w:p>
        </w:tc>
        <w:tc>
          <w:tcPr>
            <w:tcW w:w="1260"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控制在自治区下达指标内</w:t>
            </w:r>
          </w:p>
        </w:tc>
        <w:tc>
          <w:tcPr>
            <w:tcW w:w="10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1260" w:type="dxa"/>
            <w:gridSpan w:val="2"/>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生态环境保护</w:t>
            </w: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9</w:t>
            </w:r>
          </w:p>
        </w:tc>
        <w:tc>
          <w:tcPr>
            <w:tcW w:w="3705" w:type="dxa"/>
            <w:gridSpan w:val="2"/>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生态功能指数</w:t>
            </w:r>
          </w:p>
        </w:tc>
        <w:tc>
          <w:tcPr>
            <w:tcW w:w="1279"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4"/>
              </w:rPr>
              <w:t>41.37</w:t>
            </w:r>
          </w:p>
        </w:tc>
        <w:tc>
          <w:tcPr>
            <w:tcW w:w="1260"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1"/>
                <w:szCs w:val="21"/>
              </w:rPr>
              <w:t>大于</w:t>
            </w:r>
            <w:r>
              <w:rPr>
                <w:rFonts w:hint="eastAsia" w:ascii="仿宋_GB2312" w:hAnsi="仿宋_GB2312" w:eastAsia="仿宋_GB2312"/>
                <w:color w:val="000000"/>
                <w:sz w:val="24"/>
              </w:rPr>
              <w:t>41.37</w:t>
            </w:r>
          </w:p>
        </w:tc>
        <w:tc>
          <w:tcPr>
            <w:tcW w:w="10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10</w:t>
            </w:r>
          </w:p>
        </w:tc>
        <w:tc>
          <w:tcPr>
            <w:tcW w:w="3705" w:type="dxa"/>
            <w:gridSpan w:val="2"/>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森林覆盖率（%）</w:t>
            </w:r>
          </w:p>
        </w:tc>
        <w:tc>
          <w:tcPr>
            <w:tcW w:w="1279"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6.5</w:t>
            </w:r>
          </w:p>
        </w:tc>
        <w:tc>
          <w:tcPr>
            <w:tcW w:w="1260"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13</w:t>
            </w:r>
          </w:p>
        </w:tc>
        <w:tc>
          <w:tcPr>
            <w:tcW w:w="1024"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11</w:t>
            </w:r>
          </w:p>
        </w:tc>
        <w:tc>
          <w:tcPr>
            <w:tcW w:w="3705" w:type="dxa"/>
            <w:gridSpan w:val="2"/>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生态保护红线占国土面积比例（%）</w:t>
            </w:r>
          </w:p>
        </w:tc>
        <w:tc>
          <w:tcPr>
            <w:tcW w:w="1279"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36.88</w:t>
            </w:r>
          </w:p>
        </w:tc>
        <w:tc>
          <w:tcPr>
            <w:tcW w:w="1260"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36.88</w:t>
            </w:r>
          </w:p>
        </w:tc>
        <w:tc>
          <w:tcPr>
            <w:tcW w:w="1024"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1260" w:type="dxa"/>
            <w:gridSpan w:val="2"/>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12</w:t>
            </w:r>
          </w:p>
        </w:tc>
        <w:tc>
          <w:tcPr>
            <w:tcW w:w="3705" w:type="dxa"/>
            <w:gridSpan w:val="2"/>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草原综合植被盖度（%）</w:t>
            </w:r>
          </w:p>
        </w:tc>
        <w:tc>
          <w:tcPr>
            <w:tcW w:w="1279"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4"/>
              </w:rPr>
              <w:t>40.12</w:t>
            </w:r>
          </w:p>
        </w:tc>
        <w:tc>
          <w:tcPr>
            <w:tcW w:w="1260"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1"/>
                <w:szCs w:val="21"/>
              </w:rPr>
              <w:t>大于</w:t>
            </w:r>
            <w:r>
              <w:rPr>
                <w:rFonts w:hint="eastAsia" w:ascii="仿宋_GB2312" w:hAnsi="仿宋_GB2312" w:eastAsia="仿宋_GB2312"/>
                <w:color w:val="000000"/>
                <w:sz w:val="24"/>
              </w:rPr>
              <w:t>40.12</w:t>
            </w:r>
          </w:p>
        </w:tc>
        <w:tc>
          <w:tcPr>
            <w:tcW w:w="10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总量控制</w:t>
            </w: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13</w:t>
            </w:r>
          </w:p>
        </w:tc>
        <w:tc>
          <w:tcPr>
            <w:tcW w:w="3705" w:type="dxa"/>
            <w:gridSpan w:val="2"/>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氮氧化物排放量（万吨）</w:t>
            </w:r>
          </w:p>
        </w:tc>
        <w:tc>
          <w:tcPr>
            <w:tcW w:w="2539" w:type="dxa"/>
            <w:gridSpan w:val="2"/>
            <w:vMerge w:val="restart"/>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控制在自治区下达指标内</w:t>
            </w:r>
          </w:p>
        </w:tc>
        <w:tc>
          <w:tcPr>
            <w:tcW w:w="1024"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14</w:t>
            </w:r>
          </w:p>
        </w:tc>
        <w:tc>
          <w:tcPr>
            <w:tcW w:w="3705" w:type="dxa"/>
            <w:gridSpan w:val="2"/>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挥发性有机物排放量（万吨）</w:t>
            </w:r>
          </w:p>
        </w:tc>
        <w:tc>
          <w:tcPr>
            <w:tcW w:w="2539" w:type="dxa"/>
            <w:gridSpan w:val="2"/>
            <w:vMerge w:val="continue"/>
            <w:noWrap w:val="0"/>
            <w:vAlign w:val="center"/>
          </w:tcPr>
          <w:p>
            <w:pPr>
              <w:spacing w:line="320" w:lineRule="exact"/>
              <w:jc w:val="center"/>
              <w:rPr>
                <w:rFonts w:hint="eastAsia" w:ascii="仿宋_GB2312" w:hAnsi="仿宋_GB2312" w:eastAsia="仿宋_GB2312"/>
                <w:color w:val="000000"/>
                <w:sz w:val="24"/>
              </w:rPr>
            </w:pPr>
          </w:p>
        </w:tc>
        <w:tc>
          <w:tcPr>
            <w:tcW w:w="1024"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15</w:t>
            </w:r>
          </w:p>
        </w:tc>
        <w:tc>
          <w:tcPr>
            <w:tcW w:w="3705" w:type="dxa"/>
            <w:gridSpan w:val="2"/>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化学需氧量排放量（万吨）</w:t>
            </w:r>
          </w:p>
        </w:tc>
        <w:tc>
          <w:tcPr>
            <w:tcW w:w="2539" w:type="dxa"/>
            <w:gridSpan w:val="2"/>
            <w:vMerge w:val="continue"/>
            <w:noWrap w:val="0"/>
            <w:vAlign w:val="center"/>
          </w:tcPr>
          <w:p>
            <w:pPr>
              <w:spacing w:line="320" w:lineRule="exact"/>
              <w:jc w:val="center"/>
              <w:rPr>
                <w:rFonts w:hint="eastAsia" w:ascii="仿宋_GB2312" w:hAnsi="仿宋_GB2312" w:eastAsia="仿宋_GB2312"/>
                <w:color w:val="000000"/>
                <w:sz w:val="24"/>
              </w:rPr>
            </w:pPr>
          </w:p>
        </w:tc>
        <w:tc>
          <w:tcPr>
            <w:tcW w:w="1024"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16</w:t>
            </w:r>
          </w:p>
        </w:tc>
        <w:tc>
          <w:tcPr>
            <w:tcW w:w="3705" w:type="dxa"/>
            <w:gridSpan w:val="2"/>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氨氮排放量（万吨）</w:t>
            </w:r>
          </w:p>
        </w:tc>
        <w:tc>
          <w:tcPr>
            <w:tcW w:w="2539" w:type="dxa"/>
            <w:gridSpan w:val="2"/>
            <w:vMerge w:val="continue"/>
            <w:noWrap w:val="0"/>
            <w:vAlign w:val="center"/>
          </w:tcPr>
          <w:p>
            <w:pPr>
              <w:spacing w:line="320" w:lineRule="exact"/>
              <w:jc w:val="center"/>
              <w:rPr>
                <w:rFonts w:hint="eastAsia" w:ascii="仿宋_GB2312" w:hAnsi="仿宋_GB2312" w:eastAsia="仿宋_GB2312"/>
                <w:color w:val="000000"/>
                <w:sz w:val="24"/>
              </w:rPr>
            </w:pPr>
          </w:p>
        </w:tc>
        <w:tc>
          <w:tcPr>
            <w:tcW w:w="1024"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17</w:t>
            </w:r>
          </w:p>
        </w:tc>
        <w:tc>
          <w:tcPr>
            <w:tcW w:w="3705" w:type="dxa"/>
            <w:gridSpan w:val="2"/>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lang w:eastAsia="en-US"/>
              </w:rPr>
              <w:t>总氮排放量</w:t>
            </w:r>
            <w:r>
              <w:rPr>
                <w:rFonts w:hint="eastAsia" w:ascii="仿宋_GB2312" w:hAnsi="仿宋_GB2312" w:eastAsia="仿宋_GB2312"/>
                <w:color w:val="000000"/>
                <w:sz w:val="24"/>
              </w:rPr>
              <w:t>（</w:t>
            </w:r>
            <w:r>
              <w:rPr>
                <w:rFonts w:hint="eastAsia" w:ascii="仿宋_GB2312" w:hAnsi="仿宋_GB2312" w:eastAsia="仿宋_GB2312"/>
                <w:color w:val="000000"/>
                <w:sz w:val="24"/>
                <w:lang w:eastAsia="en-US"/>
              </w:rPr>
              <w:t>万吨</w:t>
            </w:r>
            <w:r>
              <w:rPr>
                <w:rFonts w:hint="eastAsia" w:ascii="仿宋_GB2312" w:hAnsi="仿宋_GB2312" w:eastAsia="仿宋_GB2312"/>
                <w:color w:val="000000"/>
                <w:sz w:val="24"/>
              </w:rPr>
              <w:t>）</w:t>
            </w:r>
          </w:p>
        </w:tc>
        <w:tc>
          <w:tcPr>
            <w:tcW w:w="2539" w:type="dxa"/>
            <w:gridSpan w:val="2"/>
            <w:vMerge w:val="continue"/>
            <w:noWrap w:val="0"/>
            <w:vAlign w:val="center"/>
          </w:tcPr>
          <w:p>
            <w:pPr>
              <w:spacing w:line="320" w:lineRule="exact"/>
              <w:jc w:val="center"/>
              <w:rPr>
                <w:rFonts w:hint="eastAsia" w:ascii="仿宋_GB2312" w:hAnsi="仿宋_GB2312" w:eastAsia="仿宋_GB2312"/>
                <w:color w:val="000000"/>
                <w:sz w:val="24"/>
              </w:rPr>
            </w:pPr>
          </w:p>
        </w:tc>
        <w:tc>
          <w:tcPr>
            <w:tcW w:w="1024"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18</w:t>
            </w:r>
          </w:p>
        </w:tc>
        <w:tc>
          <w:tcPr>
            <w:tcW w:w="3705" w:type="dxa"/>
            <w:gridSpan w:val="2"/>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lang w:eastAsia="en-US"/>
              </w:rPr>
              <w:t>总磷排放量</w:t>
            </w:r>
            <w:r>
              <w:rPr>
                <w:rFonts w:hint="eastAsia" w:ascii="仿宋_GB2312" w:hAnsi="仿宋_GB2312" w:eastAsia="仿宋_GB2312"/>
                <w:color w:val="000000"/>
                <w:sz w:val="24"/>
              </w:rPr>
              <w:t>（</w:t>
            </w:r>
            <w:r>
              <w:rPr>
                <w:rFonts w:hint="eastAsia" w:ascii="仿宋_GB2312" w:hAnsi="仿宋_GB2312" w:eastAsia="仿宋_GB2312"/>
                <w:color w:val="000000"/>
                <w:sz w:val="24"/>
                <w:lang w:eastAsia="en-US"/>
              </w:rPr>
              <w:t>万吨</w:t>
            </w:r>
            <w:r>
              <w:rPr>
                <w:rFonts w:hint="eastAsia" w:ascii="仿宋_GB2312" w:hAnsi="仿宋_GB2312" w:eastAsia="仿宋_GB2312"/>
                <w:color w:val="000000"/>
                <w:sz w:val="24"/>
              </w:rPr>
              <w:t>）</w:t>
            </w:r>
          </w:p>
        </w:tc>
        <w:tc>
          <w:tcPr>
            <w:tcW w:w="2539" w:type="dxa"/>
            <w:gridSpan w:val="2"/>
            <w:vMerge w:val="continue"/>
            <w:noWrap w:val="0"/>
            <w:vAlign w:val="center"/>
          </w:tcPr>
          <w:p>
            <w:pPr>
              <w:spacing w:line="320" w:lineRule="exact"/>
              <w:jc w:val="center"/>
              <w:rPr>
                <w:rFonts w:hint="eastAsia" w:ascii="仿宋_GB2312" w:hAnsi="仿宋_GB2312" w:eastAsia="仿宋_GB2312"/>
                <w:color w:val="000000"/>
                <w:sz w:val="24"/>
              </w:rPr>
            </w:pPr>
          </w:p>
        </w:tc>
        <w:tc>
          <w:tcPr>
            <w:tcW w:w="1024"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资源节约与利用</w:t>
            </w: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19</w:t>
            </w:r>
          </w:p>
        </w:tc>
        <w:tc>
          <w:tcPr>
            <w:tcW w:w="3705" w:type="dxa"/>
            <w:gridSpan w:val="2"/>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一般工业固体废物综合利用率（%）</w:t>
            </w:r>
          </w:p>
        </w:tc>
        <w:tc>
          <w:tcPr>
            <w:tcW w:w="1279" w:type="dxa"/>
            <w:noWrap w:val="0"/>
            <w:vAlign w:val="center"/>
          </w:tcPr>
          <w:p>
            <w:pPr>
              <w:spacing w:line="320" w:lineRule="exact"/>
              <w:jc w:val="center"/>
              <w:rPr>
                <w:rFonts w:ascii="仿宋_GB2312" w:hAnsi="仿宋_GB2312" w:eastAsia="仿宋_GB2312"/>
                <w:color w:val="000000"/>
                <w:sz w:val="24"/>
              </w:rPr>
            </w:pPr>
            <w:r>
              <w:rPr>
                <w:rFonts w:hint="eastAsia" w:ascii="仿宋_GB2312" w:hAnsi="仿宋_GB2312" w:eastAsia="仿宋_GB2312"/>
                <w:color w:val="000000"/>
                <w:sz w:val="24"/>
              </w:rPr>
              <w:t>61.53</w:t>
            </w:r>
          </w:p>
        </w:tc>
        <w:tc>
          <w:tcPr>
            <w:tcW w:w="1260" w:type="dxa"/>
            <w:noWrap w:val="0"/>
            <w:vAlign w:val="center"/>
          </w:tcPr>
          <w:p>
            <w:pPr>
              <w:spacing w:line="320" w:lineRule="exact"/>
              <w:jc w:val="center"/>
              <w:rPr>
                <w:rFonts w:ascii="仿宋_GB2312" w:hAnsi="仿宋_GB2312" w:eastAsia="仿宋_GB2312"/>
                <w:color w:val="000000"/>
                <w:sz w:val="24"/>
              </w:rPr>
            </w:pPr>
            <w:r>
              <w:rPr>
                <w:rFonts w:hint="eastAsia" w:ascii="仿宋_GB2312" w:hAnsi="仿宋_GB2312" w:eastAsia="仿宋_GB2312"/>
                <w:color w:val="000000"/>
                <w:sz w:val="24"/>
              </w:rPr>
              <w:t>70</w:t>
            </w:r>
          </w:p>
        </w:tc>
        <w:tc>
          <w:tcPr>
            <w:tcW w:w="1024"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20</w:t>
            </w:r>
          </w:p>
        </w:tc>
        <w:tc>
          <w:tcPr>
            <w:tcW w:w="3705" w:type="dxa"/>
            <w:gridSpan w:val="2"/>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畜禽粪污综合利用率（%）</w:t>
            </w:r>
          </w:p>
        </w:tc>
        <w:tc>
          <w:tcPr>
            <w:tcW w:w="1279" w:type="dxa"/>
            <w:noWrap w:val="0"/>
            <w:vAlign w:val="center"/>
          </w:tcPr>
          <w:p>
            <w:pPr>
              <w:spacing w:line="320" w:lineRule="exact"/>
              <w:jc w:val="center"/>
              <w:rPr>
                <w:rFonts w:ascii="仿宋_GB2312" w:hAnsi="仿宋_GB2312" w:eastAsia="仿宋_GB2312"/>
                <w:color w:val="000000"/>
                <w:sz w:val="24"/>
              </w:rPr>
            </w:pPr>
            <w:r>
              <w:rPr>
                <w:rFonts w:hint="eastAsia" w:ascii="仿宋_GB2312" w:hAnsi="仿宋_GB2312" w:eastAsia="仿宋_GB2312"/>
                <w:color w:val="000000"/>
                <w:sz w:val="24"/>
              </w:rPr>
              <w:t>80</w:t>
            </w:r>
          </w:p>
        </w:tc>
        <w:tc>
          <w:tcPr>
            <w:tcW w:w="1260"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90</w:t>
            </w:r>
          </w:p>
        </w:tc>
        <w:tc>
          <w:tcPr>
            <w:tcW w:w="1024" w:type="dxa"/>
            <w:noWrap w:val="0"/>
            <w:vAlign w:val="center"/>
          </w:tcPr>
          <w:p>
            <w:pPr>
              <w:spacing w:line="32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1260" w:type="dxa"/>
            <w:gridSpan w:val="2"/>
            <w:vMerge w:val="restart"/>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环境风险防范</w:t>
            </w: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21</w:t>
            </w:r>
          </w:p>
        </w:tc>
        <w:tc>
          <w:tcPr>
            <w:tcW w:w="3705" w:type="dxa"/>
            <w:gridSpan w:val="2"/>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城市集中式饮用水水源地水质</w:t>
            </w:r>
          </w:p>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达标率（%）</w:t>
            </w:r>
          </w:p>
        </w:tc>
        <w:tc>
          <w:tcPr>
            <w:tcW w:w="1279" w:type="dxa"/>
            <w:noWrap w:val="0"/>
            <w:vAlign w:val="center"/>
          </w:tcPr>
          <w:p>
            <w:pPr>
              <w:spacing w:line="280" w:lineRule="exact"/>
              <w:jc w:val="center"/>
              <w:rPr>
                <w:rFonts w:ascii="仿宋_GB2312" w:hAnsi="仿宋_GB2312" w:eastAsia="仿宋_GB2312"/>
                <w:color w:val="000000"/>
                <w:sz w:val="24"/>
              </w:rPr>
            </w:pPr>
            <w:r>
              <w:rPr>
                <w:rFonts w:hint="eastAsia" w:ascii="仿宋_GB2312" w:hAnsi="仿宋_GB2312" w:eastAsia="仿宋_GB2312"/>
                <w:color w:val="000000"/>
                <w:sz w:val="24"/>
              </w:rPr>
              <w:t>100</w:t>
            </w:r>
          </w:p>
        </w:tc>
        <w:tc>
          <w:tcPr>
            <w:tcW w:w="1260"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100</w:t>
            </w:r>
          </w:p>
        </w:tc>
        <w:tc>
          <w:tcPr>
            <w:tcW w:w="10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22</w:t>
            </w:r>
          </w:p>
        </w:tc>
        <w:tc>
          <w:tcPr>
            <w:tcW w:w="3705" w:type="dxa"/>
            <w:gridSpan w:val="2"/>
            <w:noWrap w:val="0"/>
            <w:vAlign w:val="center"/>
          </w:tcPr>
          <w:p>
            <w:pPr>
              <w:spacing w:line="340" w:lineRule="exact"/>
              <w:jc w:val="center"/>
              <w:rPr>
                <w:rFonts w:hint="eastAsia" w:ascii="仿宋_GB2312" w:hAnsi="仿宋_GB2312" w:eastAsia="仿宋_GB2312"/>
                <w:color w:val="000000"/>
                <w:sz w:val="24"/>
                <w:vertAlign w:val="superscript"/>
              </w:rPr>
            </w:pPr>
            <w:r>
              <w:rPr>
                <w:rFonts w:hint="eastAsia" w:ascii="仿宋_GB2312" w:hAnsi="仿宋_GB2312" w:eastAsia="仿宋_GB2312"/>
                <w:color w:val="000000"/>
                <w:sz w:val="24"/>
              </w:rPr>
              <w:t>地下水质量极差比例（%）</w:t>
            </w:r>
          </w:p>
        </w:tc>
        <w:tc>
          <w:tcPr>
            <w:tcW w:w="1279"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0</w:t>
            </w:r>
          </w:p>
        </w:tc>
        <w:tc>
          <w:tcPr>
            <w:tcW w:w="1260"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0</w:t>
            </w:r>
          </w:p>
        </w:tc>
        <w:tc>
          <w:tcPr>
            <w:tcW w:w="1024"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260" w:type="dxa"/>
            <w:gridSpan w:val="2"/>
            <w:vMerge w:val="continue"/>
            <w:noWrap w:val="0"/>
            <w:vAlign w:val="center"/>
          </w:tcPr>
          <w:p>
            <w:pPr>
              <w:spacing w:line="280" w:lineRule="exact"/>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23</w:t>
            </w:r>
          </w:p>
        </w:tc>
        <w:tc>
          <w:tcPr>
            <w:tcW w:w="3705" w:type="dxa"/>
            <w:gridSpan w:val="2"/>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污染耕地安全利用率（%）</w:t>
            </w:r>
          </w:p>
        </w:tc>
        <w:tc>
          <w:tcPr>
            <w:tcW w:w="1279"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100</w:t>
            </w:r>
          </w:p>
        </w:tc>
        <w:tc>
          <w:tcPr>
            <w:tcW w:w="1260"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100</w:t>
            </w:r>
          </w:p>
        </w:tc>
        <w:tc>
          <w:tcPr>
            <w:tcW w:w="1024"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24</w:t>
            </w:r>
          </w:p>
        </w:tc>
        <w:tc>
          <w:tcPr>
            <w:tcW w:w="3705" w:type="dxa"/>
            <w:gridSpan w:val="2"/>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污染地块安全利用率（%）</w:t>
            </w:r>
          </w:p>
        </w:tc>
        <w:tc>
          <w:tcPr>
            <w:tcW w:w="1279"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100</w:t>
            </w:r>
          </w:p>
        </w:tc>
        <w:tc>
          <w:tcPr>
            <w:tcW w:w="1260"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100</w:t>
            </w:r>
          </w:p>
        </w:tc>
        <w:tc>
          <w:tcPr>
            <w:tcW w:w="1024"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约束性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trPr>
        <w:tc>
          <w:tcPr>
            <w:tcW w:w="1260" w:type="dxa"/>
            <w:gridSpan w:val="2"/>
            <w:vMerge w:val="continue"/>
            <w:noWrap w:val="0"/>
            <w:vAlign w:val="center"/>
          </w:tcPr>
          <w:p>
            <w:pPr>
              <w:spacing w:line="280" w:lineRule="exact"/>
              <w:ind w:firstLine="420"/>
              <w:jc w:val="center"/>
              <w:rPr>
                <w:rFonts w:hint="eastAsia" w:ascii="仿宋_GB2312" w:hAnsi="仿宋_GB2312" w:eastAsia="仿宋_GB2312"/>
                <w:color w:val="000000"/>
                <w:sz w:val="24"/>
              </w:rPr>
            </w:pPr>
          </w:p>
        </w:tc>
        <w:tc>
          <w:tcPr>
            <w:tcW w:w="524" w:type="dxa"/>
            <w:noWrap w:val="0"/>
            <w:vAlign w:val="center"/>
          </w:tcPr>
          <w:p>
            <w:pPr>
              <w:spacing w:line="28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25</w:t>
            </w:r>
          </w:p>
        </w:tc>
        <w:tc>
          <w:tcPr>
            <w:tcW w:w="3705" w:type="dxa"/>
            <w:gridSpan w:val="2"/>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工业危险废物利用处置率（%）</w:t>
            </w:r>
          </w:p>
        </w:tc>
        <w:tc>
          <w:tcPr>
            <w:tcW w:w="1279" w:type="dxa"/>
            <w:noWrap w:val="0"/>
            <w:vAlign w:val="center"/>
          </w:tcPr>
          <w:p>
            <w:pPr>
              <w:spacing w:line="340" w:lineRule="exact"/>
              <w:jc w:val="center"/>
              <w:rPr>
                <w:rFonts w:ascii="仿宋_GB2312" w:hAnsi="仿宋_GB2312" w:eastAsia="仿宋_GB2312"/>
                <w:color w:val="000000"/>
                <w:sz w:val="24"/>
              </w:rPr>
            </w:pPr>
            <w:r>
              <w:rPr>
                <w:rFonts w:hint="eastAsia" w:ascii="仿宋_GB2312" w:hAnsi="仿宋_GB2312" w:eastAsia="仿宋_GB2312"/>
                <w:color w:val="000000"/>
                <w:sz w:val="24"/>
              </w:rPr>
              <w:t>100</w:t>
            </w:r>
          </w:p>
        </w:tc>
        <w:tc>
          <w:tcPr>
            <w:tcW w:w="1260"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100</w:t>
            </w:r>
          </w:p>
        </w:tc>
        <w:tc>
          <w:tcPr>
            <w:tcW w:w="1024" w:type="dxa"/>
            <w:noWrap w:val="0"/>
            <w:vAlign w:val="center"/>
          </w:tcPr>
          <w:p>
            <w:pPr>
              <w:spacing w:line="340" w:lineRule="exact"/>
              <w:jc w:val="center"/>
              <w:rPr>
                <w:rFonts w:hint="eastAsia" w:ascii="仿宋_GB2312" w:hAnsi="仿宋_GB2312" w:eastAsia="仿宋_GB2312"/>
                <w:color w:val="000000"/>
                <w:sz w:val="24"/>
              </w:rPr>
            </w:pPr>
            <w:r>
              <w:rPr>
                <w:rFonts w:hint="eastAsia" w:ascii="仿宋_GB2312" w:hAnsi="仿宋_GB2312" w:eastAsia="仿宋_GB2312"/>
                <w:color w:val="000000"/>
                <w:sz w:val="24"/>
              </w:rPr>
              <w:t>预期性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7" w:hRule="atLeast"/>
        </w:trPr>
        <w:tc>
          <w:tcPr>
            <w:tcW w:w="9052" w:type="dxa"/>
            <w:gridSpan w:val="8"/>
            <w:noWrap w:val="0"/>
            <w:vAlign w:val="center"/>
          </w:tcPr>
          <w:p>
            <w:pPr>
              <w:widowControl/>
              <w:rPr>
                <w:rFonts w:hint="eastAsia" w:ascii="仿宋_GB2312" w:hAnsi="仿宋_GB2312" w:eastAsia="仿宋_GB2312"/>
                <w:color w:val="000000"/>
                <w:sz w:val="24"/>
              </w:rPr>
            </w:pPr>
            <w:r>
              <w:rPr>
                <w:rFonts w:hint="eastAsia" w:ascii="仿宋_GB2312" w:hAnsi="仿宋_GB2312" w:eastAsia="仿宋_GB2312"/>
                <w:color w:val="000000"/>
                <w:sz w:val="24"/>
              </w:rPr>
              <w:t>备注：1.</w:t>
            </w:r>
            <w:r>
              <w:rPr>
                <w:rFonts w:hint="eastAsia" w:ascii="仿宋_GB2312" w:hAnsi="仿宋_GB2312" w:eastAsia="仿宋_GB2312"/>
                <w:color w:val="000000"/>
                <w:kern w:val="0"/>
                <w:sz w:val="24"/>
                <w:szCs w:val="24"/>
                <w:lang w:bidi="ar"/>
              </w:rPr>
              <w:t>完成质量数据为剔除沙尘天气影响</w:t>
            </w:r>
            <w:r>
              <w:rPr>
                <w:rFonts w:hint="eastAsia" w:ascii="仿宋_GB2312" w:hAnsi="仿宋_GB2312" w:eastAsia="仿宋_GB2312"/>
                <w:color w:val="000000"/>
                <w:sz w:val="24"/>
                <w:szCs w:val="24"/>
              </w:rPr>
              <w:t>。</w:t>
            </w:r>
          </w:p>
          <w:p>
            <w:pPr>
              <w:spacing w:line="280" w:lineRule="exact"/>
              <w:ind w:firstLine="720" w:firstLineChars="300"/>
              <w:rPr>
                <w:rFonts w:hint="eastAsia" w:ascii="仿宋_GB2312" w:hAnsi="仿宋_GB2312" w:eastAsia="仿宋_GB2312"/>
                <w:color w:val="000000"/>
                <w:sz w:val="24"/>
              </w:rPr>
            </w:pPr>
            <w:r>
              <w:rPr>
                <w:rFonts w:hint="eastAsia" w:ascii="仿宋_GB2312" w:hAnsi="仿宋_GB2312" w:eastAsia="仿宋_GB2312"/>
                <w:color w:val="000000"/>
                <w:sz w:val="24"/>
              </w:rPr>
              <w:t>2.“十三五”国控断面0个，“十四五”按照自治区流域单元重新划分成果，增加了都斯兔河控制断面，国控断面为1个。</w:t>
            </w:r>
          </w:p>
        </w:tc>
      </w:tr>
      <w:bookmarkEnd w:id="287"/>
      <w:bookmarkEnd w:id="288"/>
    </w:tbl>
    <w:p>
      <w:pPr>
        <w:pStyle w:val="3"/>
        <w:keepNext w:val="0"/>
        <w:keepLines w:val="0"/>
        <w:spacing w:line="540" w:lineRule="exact"/>
        <w:ind w:firstLine="640" w:firstLineChars="200"/>
        <w:jc w:val="both"/>
        <w:rPr>
          <w:rFonts w:hint="eastAsia" w:ascii="方正黑体_GBK" w:eastAsia="方正黑体_GBK" w:cs="Times New Roman"/>
          <w:b w:val="0"/>
          <w:bCs w:val="0"/>
          <w:color w:val="000000"/>
          <w:szCs w:val="32"/>
        </w:rPr>
      </w:pPr>
      <w:bookmarkStart w:id="298" w:name="_Toc6246"/>
      <w:bookmarkStart w:id="299" w:name="_Toc11932"/>
      <w:bookmarkStart w:id="300" w:name="_Toc20928"/>
      <w:bookmarkStart w:id="301" w:name="_Toc7631"/>
      <w:bookmarkStart w:id="302" w:name="_Toc19293"/>
      <w:bookmarkStart w:id="303" w:name="_Toc10229"/>
      <w:bookmarkStart w:id="304" w:name="_Toc18414"/>
      <w:bookmarkStart w:id="305" w:name="_Toc6056"/>
      <w:bookmarkStart w:id="306" w:name="_Toc25517"/>
      <w:bookmarkStart w:id="307" w:name="_Toc574"/>
      <w:bookmarkStart w:id="308" w:name="_Toc18771"/>
      <w:r>
        <w:rPr>
          <w:rFonts w:hint="eastAsia" w:ascii="方正黑体_GBK" w:eastAsia="方正黑体_GBK" w:cs="Times New Roman"/>
          <w:b w:val="0"/>
          <w:bCs w:val="0"/>
          <w:color w:val="000000"/>
          <w:szCs w:val="32"/>
        </w:rPr>
        <w:t>四、“十四五”期间主要工作任务</w:t>
      </w:r>
      <w:bookmarkEnd w:id="298"/>
      <w:bookmarkEnd w:id="299"/>
      <w:bookmarkEnd w:id="300"/>
      <w:bookmarkEnd w:id="301"/>
      <w:bookmarkEnd w:id="302"/>
      <w:bookmarkEnd w:id="303"/>
      <w:bookmarkEnd w:id="304"/>
      <w:bookmarkEnd w:id="305"/>
      <w:bookmarkEnd w:id="306"/>
      <w:bookmarkEnd w:id="307"/>
      <w:bookmarkEnd w:id="308"/>
    </w:p>
    <w:p>
      <w:pPr>
        <w:spacing w:line="540" w:lineRule="exact"/>
        <w:ind w:firstLine="640" w:firstLineChars="200"/>
        <w:jc w:val="both"/>
        <w:rPr>
          <w:rFonts w:eastAsia="方正仿宋_GBK" w:cs="Times New Roman"/>
          <w:color w:val="000000"/>
          <w:sz w:val="32"/>
          <w:szCs w:val="32"/>
        </w:rPr>
      </w:pPr>
      <w:bookmarkStart w:id="309" w:name="_Toc29269"/>
      <w:bookmarkStart w:id="310" w:name="_Toc276908455"/>
      <w:bookmarkStart w:id="311" w:name="_Toc276759772"/>
      <w:r>
        <w:rPr>
          <w:rFonts w:eastAsia="方正仿宋_GBK" w:cs="Times New Roman"/>
          <w:color w:val="000000"/>
          <w:sz w:val="32"/>
          <w:szCs w:val="32"/>
        </w:rPr>
        <w:t>通过</w:t>
      </w:r>
      <w:r>
        <w:rPr>
          <w:rFonts w:hint="eastAsia" w:ascii="方正仿宋_GBK" w:eastAsia="方正仿宋_GBK" w:cs="Times New Roman"/>
          <w:color w:val="000000"/>
          <w:sz w:val="32"/>
          <w:szCs w:val="32"/>
        </w:rPr>
        <w:t>对 “十四五”期间平罗县经济社会发展趋势、生态环境发展趋势以及生态环境保护所面临的形势综合分析，结合国家和宁夏环境保护“十四五”规划、石嘴山市环境保护“十四五”规划以及平罗县国民经济和社会发展第十四个五年规划纲要基本思路、“十四五”环境质量考核目标，把持续打好生态环境保护战役作为改善环境质量的基础性工程和突破口，坚决抓好中央环保督察及“回头看”和自治区党委生态环保督察反馈意见整改落实，巩固污染防治成果，实现生态环境持续改善。“十四五”期间</w:t>
      </w:r>
      <w:r>
        <w:rPr>
          <w:rFonts w:eastAsia="方正仿宋_GBK" w:cs="Times New Roman"/>
          <w:color w:val="000000"/>
          <w:sz w:val="32"/>
          <w:szCs w:val="32"/>
        </w:rPr>
        <w:t>，平罗县生态环境保护重点任务包括以下九个方面：</w:t>
      </w:r>
    </w:p>
    <w:p>
      <w:pPr>
        <w:pStyle w:val="4"/>
        <w:keepNext w:val="0"/>
        <w:keepLines w:val="0"/>
        <w:spacing w:line="560" w:lineRule="exact"/>
        <w:ind w:firstLine="643" w:firstLineChars="200"/>
        <w:jc w:val="both"/>
        <w:rPr>
          <w:rFonts w:hint="eastAsia" w:ascii="方正楷体_GBK" w:hAnsi="Times New Roman" w:eastAsia="方正楷体_GBK" w:cs="Times New Roman"/>
          <w:color w:val="000000"/>
          <w:sz w:val="32"/>
        </w:rPr>
      </w:pPr>
      <w:bookmarkStart w:id="312" w:name="_Toc22817"/>
      <w:bookmarkStart w:id="313" w:name="_Toc16552"/>
      <w:bookmarkStart w:id="314" w:name="_Toc18125"/>
      <w:bookmarkStart w:id="315" w:name="_Toc2030"/>
      <w:bookmarkStart w:id="316" w:name="_Toc10375"/>
      <w:r>
        <w:rPr>
          <w:rFonts w:hint="eastAsia" w:ascii="方正楷体_GBK" w:hAnsi="Times New Roman" w:eastAsia="方正楷体_GBK" w:cs="Times New Roman"/>
          <w:color w:val="000000"/>
          <w:sz w:val="32"/>
        </w:rPr>
        <w:t>（一）协同控制，持续改善大气环境质量</w:t>
      </w:r>
      <w:bookmarkEnd w:id="312"/>
      <w:bookmarkEnd w:id="313"/>
      <w:bookmarkEnd w:id="314"/>
      <w:bookmarkEnd w:id="315"/>
      <w:bookmarkEnd w:id="316"/>
    </w:p>
    <w:p>
      <w:pPr>
        <w:spacing w:line="560" w:lineRule="exact"/>
        <w:ind w:firstLine="640" w:firstLineChars="200"/>
        <w:jc w:val="both"/>
        <w:rPr>
          <w:rFonts w:eastAsia="方正仿宋_GBK" w:cs="Times New Roman"/>
          <w:color w:val="000000"/>
          <w:sz w:val="32"/>
          <w:szCs w:val="32"/>
          <w:u w:val="single"/>
        </w:rPr>
      </w:pPr>
      <w:r>
        <w:rPr>
          <w:rFonts w:eastAsia="方正仿宋_GBK" w:cs="Times New Roman"/>
          <w:color w:val="000000"/>
          <w:sz w:val="32"/>
          <w:szCs w:val="32"/>
        </w:rPr>
        <w:t>深化大气污染防治，持续打好蓝天保卫战，全面深化区域大气污染联防联控，全地域全时段全过程推进扬尘、煤尘、汽尘、烟</w:t>
      </w:r>
      <w:r>
        <w:rPr>
          <w:rFonts w:hint="eastAsia" w:ascii="方正仿宋_GBK" w:eastAsia="方正仿宋_GBK" w:cs="Times New Roman"/>
          <w:color w:val="000000"/>
          <w:sz w:val="32"/>
          <w:szCs w:val="32"/>
        </w:rPr>
        <w:t>尘“四尘同治”，基</w:t>
      </w:r>
      <w:r>
        <w:rPr>
          <w:rFonts w:eastAsia="方正仿宋_GBK" w:cs="Times New Roman"/>
          <w:color w:val="000000"/>
          <w:sz w:val="32"/>
          <w:szCs w:val="32"/>
        </w:rPr>
        <w:t>本消除重度污染天气，环境空气质量优良天数比例达到或好于80%。</w:t>
      </w:r>
    </w:p>
    <w:p>
      <w:pPr>
        <w:pStyle w:val="5"/>
        <w:keepNext w:val="0"/>
        <w:keepLines w:val="0"/>
        <w:spacing w:line="560" w:lineRule="exact"/>
        <w:ind w:firstLine="643" w:firstLineChars="200"/>
        <w:jc w:val="both"/>
        <w:rPr>
          <w:rFonts w:eastAsia="方正仿宋_GBK" w:cs="Times New Roman"/>
          <w:color w:val="000000"/>
          <w:sz w:val="32"/>
        </w:rPr>
      </w:pPr>
      <w:bookmarkStart w:id="317" w:name="_Toc28509"/>
      <w:bookmarkStart w:id="318" w:name="_Toc17461"/>
      <w:bookmarkStart w:id="319" w:name="_Toc24876"/>
      <w:bookmarkStart w:id="320" w:name="_Toc12532"/>
      <w:r>
        <w:rPr>
          <w:rFonts w:eastAsia="方正仿宋_GBK" w:cs="Times New Roman"/>
          <w:color w:val="000000"/>
          <w:sz w:val="32"/>
        </w:rPr>
        <w:t>1.深化工业源污染治理</w:t>
      </w:r>
      <w:bookmarkEnd w:id="317"/>
      <w:bookmarkEnd w:id="318"/>
      <w:bookmarkEnd w:id="319"/>
      <w:bookmarkEnd w:id="320"/>
    </w:p>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全面深化区域大气污染联防联控，统筹防治臭氧和细颗粒物（PM</w:t>
      </w:r>
      <w:r>
        <w:rPr>
          <w:rFonts w:eastAsia="方正仿宋_GBK" w:cs="Times New Roman"/>
          <w:color w:val="000000"/>
          <w:sz w:val="32"/>
          <w:szCs w:val="32"/>
          <w:vertAlign w:val="subscript"/>
        </w:rPr>
        <w:t>2.5</w:t>
      </w:r>
      <w:r>
        <w:rPr>
          <w:rFonts w:eastAsia="方正仿宋_GBK" w:cs="Times New Roman"/>
          <w:color w:val="000000"/>
          <w:sz w:val="32"/>
          <w:szCs w:val="32"/>
        </w:rPr>
        <w:t>）污染，重点加大对工业锅炉和窑炉的整治力度，强化机动车排气污染防治，系统推进挥发性有机物、氮氧化物和烟粉尘多污染物协同减排。</w:t>
      </w:r>
    </w:p>
    <w:p>
      <w:pPr>
        <w:pStyle w:val="5"/>
        <w:keepNext w:val="0"/>
        <w:keepLines w:val="0"/>
        <w:spacing w:line="560" w:lineRule="exact"/>
        <w:ind w:firstLine="643" w:firstLineChars="200"/>
        <w:jc w:val="both"/>
        <w:rPr>
          <w:rFonts w:eastAsia="方正仿宋_GBK" w:cs="Times New Roman"/>
          <w:color w:val="000000"/>
          <w:sz w:val="32"/>
        </w:rPr>
      </w:pPr>
      <w:bookmarkStart w:id="321" w:name="_Toc11924"/>
      <w:bookmarkStart w:id="322" w:name="_Toc17078"/>
      <w:bookmarkStart w:id="323" w:name="_Toc23918"/>
      <w:bookmarkStart w:id="324" w:name="_Toc4914"/>
      <w:r>
        <w:rPr>
          <w:rFonts w:eastAsia="方正仿宋_GBK" w:cs="Times New Roman"/>
          <w:color w:val="000000"/>
          <w:sz w:val="32"/>
        </w:rPr>
        <w:t>2.大力控制重点行业挥发性有机物（VOCs）排放</w:t>
      </w:r>
      <w:bookmarkEnd w:id="321"/>
      <w:bookmarkEnd w:id="322"/>
      <w:bookmarkEnd w:id="323"/>
      <w:bookmarkEnd w:id="324"/>
    </w:p>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实施VOCs排放总量控制，制定VOCs专项整治方案，明确VOCs控制目标、实施路径和重点项目。针对臭氧超标和污染升高趋势情况，严格控制新建VOCs排放量大的项目，实施VOCs排放减量替代，落实新建项目VOCs排放总量指标来源。强化VOCs污染源头控制，推动实施原料替代工程，VOCs排放建设项目应使用低毒、低臭、低挥发性的原辅材料，加快水性涂料推广应用，选用先进的清洁生产和密闭化工艺，实现设备、装置、管线等密闭化。完成重点行业VOCs综合治理，纳入重点监管名录的企业应在处理设施排放口同时配置VOCs在线监测系统。建立精细化VOCs排放清单，对苯系物、烯烃、醛酮类、卤代烃等对环境和健康影响较大的重点控制物质探索制定控制目标。建立工业源VOCs排放信息综合管理系统，对重点企业的VOCs污染排放和污染治理设施运行情况实施统一监管，确保VOCs污染物稳定达标排放。</w:t>
      </w:r>
    </w:p>
    <w:tbl>
      <w:tblPr>
        <w:tblStyle w:val="10"/>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b/>
                <w:color w:val="000000"/>
                <w:sz w:val="24"/>
              </w:rPr>
            </w:pPr>
            <w:r>
              <w:rPr>
                <w:rFonts w:hint="eastAsia" w:ascii="仿宋_GB2312" w:hAnsi="仿宋_GB2312" w:eastAsia="仿宋_GB2312"/>
                <w:b/>
                <w:color w:val="000000"/>
                <w:sz w:val="24"/>
                <w:lang w:val="zh-CN"/>
              </w:rPr>
              <w:t>专栏  重点行业VOCs整治要求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ind w:firstLine="482" w:firstLineChars="200"/>
              <w:jc w:val="both"/>
              <w:rPr>
                <w:rFonts w:eastAsia="方正仿宋_GBK" w:cs="Times New Roman"/>
                <w:b/>
                <w:color w:val="000000"/>
                <w:sz w:val="24"/>
              </w:rPr>
            </w:pPr>
            <w:r>
              <w:rPr>
                <w:rFonts w:eastAsia="方正仿宋_GBK" w:cs="Times New Roman"/>
                <w:b/>
                <w:color w:val="000000"/>
                <w:sz w:val="24"/>
              </w:rPr>
              <w:t>（一）石化行业</w:t>
            </w:r>
          </w:p>
          <w:p>
            <w:pPr>
              <w:adjustRightInd w:val="0"/>
              <w:snapToGrid w:val="0"/>
              <w:spacing w:line="360" w:lineRule="exact"/>
              <w:ind w:firstLine="480" w:firstLineChars="200"/>
              <w:jc w:val="both"/>
              <w:rPr>
                <w:rFonts w:eastAsia="方正仿宋_GBK" w:cs="Times New Roman"/>
                <w:color w:val="000000"/>
                <w:sz w:val="24"/>
              </w:rPr>
            </w:pPr>
            <w:r>
              <w:rPr>
                <w:rFonts w:eastAsia="方正仿宋_GBK" w:cs="Times New Roman"/>
                <w:color w:val="000000"/>
                <w:sz w:val="24"/>
              </w:rPr>
              <w:t>采用压力罐、低温罐、高效密封的浮顶罐或安装顶空联通置换油气回收装置的拱顶罐，针对苯、甲苯、二甲苯等危险化学品，应在内浮顶罐基础上安装油气回收装置。挥发性有机液体装卸采取全密闭、液下装载等方式，汽油、石脑油、煤油等高挥发性有机液体和苯、甲苯、二甲苯等危险化学品装卸过程优先采用高效油气回收措施。</w:t>
            </w:r>
          </w:p>
          <w:p>
            <w:pPr>
              <w:adjustRightInd w:val="0"/>
              <w:snapToGrid w:val="0"/>
              <w:spacing w:line="360" w:lineRule="exact"/>
              <w:ind w:firstLine="482" w:firstLineChars="200"/>
              <w:jc w:val="both"/>
              <w:rPr>
                <w:rFonts w:eastAsia="方正仿宋_GBK" w:cs="Times New Roman"/>
                <w:b/>
                <w:color w:val="000000"/>
                <w:sz w:val="24"/>
              </w:rPr>
            </w:pPr>
            <w:r>
              <w:rPr>
                <w:rFonts w:eastAsia="方正仿宋_GBK" w:cs="Times New Roman"/>
                <w:b/>
                <w:color w:val="000000"/>
                <w:sz w:val="24"/>
              </w:rPr>
              <w:t>（二）化学原料和化学制品制造业</w:t>
            </w:r>
          </w:p>
          <w:p>
            <w:pPr>
              <w:adjustRightInd w:val="0"/>
              <w:snapToGrid w:val="0"/>
              <w:spacing w:line="360" w:lineRule="exact"/>
              <w:ind w:firstLine="480" w:firstLineChars="200"/>
              <w:jc w:val="both"/>
              <w:rPr>
                <w:rFonts w:eastAsia="方正仿宋_GBK" w:cs="Times New Roman"/>
                <w:color w:val="000000"/>
                <w:sz w:val="24"/>
              </w:rPr>
            </w:pPr>
            <w:r>
              <w:rPr>
                <w:rFonts w:eastAsia="方正仿宋_GBK" w:cs="Times New Roman"/>
                <w:color w:val="000000"/>
                <w:sz w:val="24"/>
              </w:rPr>
              <w:t>采用密闭一体化生产技术，生产全过程实施有机废气集中收集和净化处理，净化率大于90%。液体有机物料应密闭储存，沸点较低的有机物料储罐应设置保温并配置氮封装置，体积较大的贮罐应采用高效密封的内（外）浮顶罐，大型贮罐应采用高效密封的浮顶罐及氮封装置。</w:t>
            </w:r>
          </w:p>
          <w:p>
            <w:pPr>
              <w:adjustRightInd w:val="0"/>
              <w:snapToGrid w:val="0"/>
              <w:spacing w:line="360" w:lineRule="exact"/>
              <w:ind w:firstLine="482" w:firstLineChars="200"/>
              <w:jc w:val="both"/>
              <w:rPr>
                <w:rFonts w:eastAsia="方正仿宋_GBK" w:cs="Times New Roman"/>
                <w:b/>
                <w:color w:val="000000"/>
                <w:sz w:val="24"/>
              </w:rPr>
            </w:pPr>
            <w:r>
              <w:rPr>
                <w:rFonts w:eastAsia="方正仿宋_GBK" w:cs="Times New Roman"/>
                <w:b/>
                <w:color w:val="000000"/>
                <w:sz w:val="24"/>
              </w:rPr>
              <w:t>（三）化学药品原料药制造行业</w:t>
            </w:r>
          </w:p>
          <w:p>
            <w:pPr>
              <w:adjustRightInd w:val="0"/>
              <w:snapToGrid w:val="0"/>
              <w:spacing w:line="360" w:lineRule="exact"/>
              <w:ind w:firstLine="480" w:firstLineChars="200"/>
              <w:jc w:val="both"/>
              <w:rPr>
                <w:rFonts w:eastAsia="方正仿宋_GBK" w:cs="Times New Roman"/>
                <w:color w:val="000000"/>
                <w:sz w:val="24"/>
              </w:rPr>
            </w:pPr>
            <w:r>
              <w:rPr>
                <w:rFonts w:eastAsia="方正仿宋_GBK" w:cs="Times New Roman"/>
                <w:color w:val="000000"/>
                <w:sz w:val="24"/>
              </w:rPr>
              <w:t xml:space="preserve">逐步使用非卤化和非芳香性溶剂等无毒、无害或低毒、低害的原辅材料，提高生产操作的密闭水平，投料宜采用放料、泵料或压料技术，真空尾气应冷凝回收物料，鼓励泵前、后安装缓冲罐并设置冷凝装置。各生产工艺和反应器清洗过程废气应接入有机废气控制系统，进行溶剂回收和净化处理，净化率大于90%。 </w:t>
            </w:r>
          </w:p>
          <w:p>
            <w:pPr>
              <w:adjustRightInd w:val="0"/>
              <w:snapToGrid w:val="0"/>
              <w:spacing w:line="360" w:lineRule="exact"/>
              <w:ind w:firstLine="482" w:firstLineChars="200"/>
              <w:jc w:val="both"/>
              <w:rPr>
                <w:rFonts w:eastAsia="方正仿宋_GBK" w:cs="Times New Roman"/>
                <w:b/>
                <w:color w:val="000000"/>
                <w:sz w:val="24"/>
              </w:rPr>
            </w:pPr>
            <w:r>
              <w:rPr>
                <w:rFonts w:eastAsia="方正仿宋_GBK" w:cs="Times New Roman"/>
                <w:b/>
                <w:color w:val="000000"/>
                <w:sz w:val="24"/>
              </w:rPr>
              <w:t>（四）印刷行业</w:t>
            </w:r>
          </w:p>
          <w:p>
            <w:pPr>
              <w:adjustRightInd w:val="0"/>
              <w:snapToGrid w:val="0"/>
              <w:spacing w:line="360" w:lineRule="exact"/>
              <w:ind w:firstLine="480" w:firstLineChars="200"/>
              <w:jc w:val="both"/>
              <w:rPr>
                <w:rFonts w:eastAsia="方正仿宋_GBK" w:cs="Times New Roman"/>
                <w:color w:val="000000"/>
                <w:sz w:val="24"/>
              </w:rPr>
            </w:pPr>
            <w:r>
              <w:rPr>
                <w:rFonts w:eastAsia="方正仿宋_GBK" w:cs="Times New Roman"/>
                <w:color w:val="000000"/>
                <w:sz w:val="24"/>
              </w:rPr>
              <w:t>推广环保型油墨、胶粘剂的使用。油墨、粘胶剂、有机溶剂等挥发性原辅材料应密封贮藏，沸点较低的有机物料应配置氮封装置。强化VOCs排放达标治理工作，烘干车间必须安装吸附装置对有机溶剂进行回收。清洗用溶剂应进行回收。</w:t>
            </w:r>
          </w:p>
          <w:p>
            <w:pPr>
              <w:adjustRightInd w:val="0"/>
              <w:snapToGrid w:val="0"/>
              <w:spacing w:line="360" w:lineRule="exact"/>
              <w:ind w:firstLine="482" w:firstLineChars="200"/>
              <w:jc w:val="both"/>
              <w:rPr>
                <w:rFonts w:eastAsia="方正仿宋_GBK" w:cs="Times New Roman"/>
                <w:b/>
                <w:color w:val="000000"/>
                <w:sz w:val="24"/>
              </w:rPr>
            </w:pPr>
            <w:r>
              <w:rPr>
                <w:rFonts w:eastAsia="方正仿宋_GBK" w:cs="Times New Roman"/>
                <w:b/>
                <w:color w:val="000000"/>
                <w:sz w:val="24"/>
              </w:rPr>
              <w:t>（五）塑料制造及塑料制品行业</w:t>
            </w:r>
          </w:p>
          <w:p>
            <w:pPr>
              <w:adjustRightInd w:val="0"/>
              <w:snapToGrid w:val="0"/>
              <w:spacing w:line="360" w:lineRule="exact"/>
              <w:ind w:firstLine="480" w:firstLineChars="200"/>
              <w:jc w:val="both"/>
              <w:rPr>
                <w:rFonts w:eastAsia="方正仿宋_GBK" w:cs="Times New Roman"/>
                <w:color w:val="000000"/>
                <w:sz w:val="24"/>
              </w:rPr>
            </w:pPr>
            <w:r>
              <w:rPr>
                <w:rFonts w:eastAsia="方正仿宋_GBK" w:cs="Times New Roman"/>
                <w:color w:val="000000"/>
                <w:sz w:val="24"/>
              </w:rPr>
              <w:t>大力推进清洁生产。根据聚乙烯、聚丙烯、聚氯乙烯、聚苯乙烯、酚醛、氨基塑料等各类型产品生产过程的有机溶剂挥发与高分子化合物热解所排放的VOCs特征，选择适宜的回收、净化处理技术，废气净化率达到90%。</w:t>
            </w:r>
          </w:p>
          <w:p>
            <w:pPr>
              <w:adjustRightInd w:val="0"/>
              <w:snapToGrid w:val="0"/>
              <w:spacing w:line="360" w:lineRule="exact"/>
              <w:ind w:firstLine="482" w:firstLineChars="200"/>
              <w:jc w:val="both"/>
              <w:rPr>
                <w:rFonts w:eastAsia="方正仿宋_GBK" w:cs="Times New Roman"/>
                <w:b/>
                <w:color w:val="000000"/>
                <w:sz w:val="24"/>
              </w:rPr>
            </w:pPr>
            <w:r>
              <w:rPr>
                <w:rFonts w:eastAsia="方正仿宋_GBK" w:cs="Times New Roman"/>
                <w:b/>
                <w:color w:val="000000"/>
                <w:sz w:val="24"/>
              </w:rPr>
              <w:t>（六）生活服务业</w:t>
            </w:r>
          </w:p>
          <w:p>
            <w:pPr>
              <w:adjustRightInd w:val="0"/>
              <w:snapToGrid w:val="0"/>
              <w:spacing w:line="360" w:lineRule="exact"/>
              <w:ind w:firstLine="480" w:firstLineChars="200"/>
              <w:jc w:val="both"/>
              <w:rPr>
                <w:rFonts w:hint="eastAsia" w:ascii="仿宋_GB2312" w:hAnsi="仿宋_GB2312" w:eastAsia="仿宋_GB2312"/>
                <w:color w:val="000000"/>
                <w:sz w:val="24"/>
              </w:rPr>
            </w:pPr>
            <w:r>
              <w:rPr>
                <w:rFonts w:eastAsia="方正仿宋_GBK" w:cs="Times New Roman"/>
                <w:color w:val="000000"/>
                <w:sz w:val="24"/>
              </w:rPr>
              <w:t>在建筑装饰装修行业推广使用符合环保要求的建筑涂料、木器漆和胶粘剂。积极推进商用及家用溶剂产品VOCs污染控制，服装干洗行业应淘汰开启式干洗机，提高干洗用溶剂冷凝回收率。干洗溶剂储存、使用、回收场所应具备防渗漏条件，并由有资质单位回收处理。强化餐饮服务业油烟污染治理。城市建成区内所有排放油烟的餐饮企业和单位食堂全部安装高效油烟净化设施，实现达标排放，设施正常使用率不低于95%。加强油品储存、运输和销售过程VOCs排放治理。加油站、储油库、油罐车按要求建设油气回收治理在线监控设施并与环保部门联网。</w:t>
            </w:r>
          </w:p>
        </w:tc>
      </w:tr>
    </w:tbl>
    <w:p>
      <w:pPr>
        <w:pStyle w:val="5"/>
        <w:keepNext w:val="0"/>
        <w:keepLines w:val="0"/>
        <w:spacing w:line="560" w:lineRule="exact"/>
        <w:ind w:firstLine="643" w:firstLineChars="200"/>
        <w:jc w:val="both"/>
        <w:rPr>
          <w:rFonts w:eastAsia="方正仿宋_GBK" w:cs="Times New Roman"/>
          <w:color w:val="000000"/>
          <w:sz w:val="32"/>
        </w:rPr>
      </w:pPr>
      <w:bookmarkStart w:id="325" w:name="_Toc12958"/>
      <w:bookmarkStart w:id="326" w:name="_Toc17751"/>
      <w:r>
        <w:rPr>
          <w:rFonts w:eastAsia="方正仿宋_GBK" w:cs="Times New Roman"/>
          <w:color w:val="000000"/>
          <w:sz w:val="32"/>
        </w:rPr>
        <w:t>3.深化重点污染源除尘脱硫脱硝</w:t>
      </w:r>
      <w:bookmarkEnd w:id="325"/>
      <w:bookmarkEnd w:id="326"/>
      <w:bookmarkStart w:id="327" w:name="_Toc7034"/>
      <w:bookmarkStart w:id="328" w:name="_Toc990"/>
    </w:p>
    <w:p>
      <w:pPr>
        <w:spacing w:line="560" w:lineRule="exact"/>
        <w:ind w:firstLine="640" w:firstLineChars="200"/>
        <w:jc w:val="both"/>
        <w:rPr>
          <w:rFonts w:hint="eastAsia" w:ascii="方正仿宋_GBK" w:hAnsi="仿宋_GB2312" w:eastAsia="方正仿宋_GBK"/>
          <w:color w:val="000000"/>
          <w:sz w:val="32"/>
          <w:szCs w:val="32"/>
        </w:rPr>
      </w:pPr>
      <w:r>
        <w:rPr>
          <w:rFonts w:eastAsia="方正仿宋_GBK" w:cs="Times New Roman"/>
          <w:color w:val="000000"/>
          <w:sz w:val="32"/>
          <w:szCs w:val="32"/>
        </w:rPr>
        <w:t>冶金、砖瓦、焦化、烧结工艺全部建成脱硫装置，按要求达到特别排放限值。全面取缔炉膛直径3米以下的燃料类煤气发生炉。重点做好水泥、碳素等行业烟粉尘治理设施改造，开展重点企业烟粉尘减排，加大电石、铁合金等行业无组织逸散烟气治理力度，推广使用高效除尘设施。不能稳定达标排放的企业，对现有环保设施进行升级改造。开展20蒸吨及以上燃煤锅炉除尘、脱硫、脱硝等烟气提标治理，严格执行新发布的《锅炉大气污染物排放标准》；进一步扩大城市热电联产、集中供热，淘汰城市建成区35蒸吨以下燃煤锅炉，禁止新建35蒸吨以下</w:t>
      </w:r>
      <w:r>
        <w:rPr>
          <w:rFonts w:hint="eastAsia" w:ascii="方正仿宋_GBK" w:hAnsi="仿宋_GB2312" w:eastAsia="方正仿宋_GBK"/>
          <w:color w:val="000000"/>
          <w:sz w:val="32"/>
          <w:szCs w:val="32"/>
        </w:rPr>
        <w:t>燃煤锅炉。加快“煤改气、煤改电”进程，推进工业园区建设热电联产机组，实施园区集中供热、供汽。</w:t>
      </w:r>
    </w:p>
    <w:bookmarkEnd w:id="327"/>
    <w:bookmarkEnd w:id="328"/>
    <w:p>
      <w:pPr>
        <w:pStyle w:val="5"/>
        <w:keepNext w:val="0"/>
        <w:keepLines w:val="0"/>
        <w:spacing w:line="560" w:lineRule="exact"/>
        <w:ind w:firstLine="643" w:firstLineChars="200"/>
        <w:jc w:val="both"/>
        <w:rPr>
          <w:rFonts w:eastAsia="方正仿宋_GBK" w:cs="Times New Roman"/>
          <w:color w:val="000000"/>
          <w:sz w:val="32"/>
        </w:rPr>
      </w:pPr>
      <w:bookmarkStart w:id="329" w:name="_Toc27151"/>
      <w:bookmarkStart w:id="330" w:name="_Toc15540"/>
      <w:bookmarkStart w:id="331" w:name="_Toc28992"/>
      <w:bookmarkStart w:id="332" w:name="_Toc9786"/>
      <w:r>
        <w:rPr>
          <w:rFonts w:eastAsia="方正仿宋_GBK" w:cs="Times New Roman"/>
          <w:color w:val="000000"/>
          <w:sz w:val="32"/>
        </w:rPr>
        <w:t>4.继续强化机动车污染防治</w:t>
      </w:r>
      <w:bookmarkEnd w:id="329"/>
      <w:bookmarkEnd w:id="330"/>
      <w:bookmarkEnd w:id="331"/>
      <w:bookmarkEnd w:id="332"/>
    </w:p>
    <w:p>
      <w:pPr>
        <w:spacing w:line="560" w:lineRule="exact"/>
        <w:ind w:firstLine="640" w:firstLineChars="200"/>
        <w:jc w:val="both"/>
        <w:rPr>
          <w:rFonts w:hint="eastAsia" w:ascii="方正仿宋_GBK" w:hAnsi="仿宋_GB2312" w:eastAsia="方正仿宋_GBK"/>
          <w:color w:val="000000"/>
          <w:sz w:val="32"/>
          <w:szCs w:val="32"/>
        </w:rPr>
      </w:pPr>
      <w:r>
        <w:rPr>
          <w:rFonts w:eastAsia="方正仿宋_GBK" w:cs="Times New Roman"/>
          <w:color w:val="000000"/>
          <w:sz w:val="32"/>
          <w:szCs w:val="32"/>
        </w:rPr>
        <w:t>完成自治区</w:t>
      </w:r>
      <w:r>
        <w:rPr>
          <w:rFonts w:hint="eastAsia" w:ascii="方正仿宋_GBK" w:hAnsi="仿宋_GB2312" w:eastAsia="方正仿宋_GBK"/>
          <w:color w:val="000000"/>
          <w:sz w:val="32"/>
          <w:szCs w:val="32"/>
        </w:rPr>
        <w:t>下达的国Ⅲ及以下排放标准营运中型和重型柴油货车淘汰任务，综合运用现场抽检和遥感监测等手段强化机动车排气路检，以大中型客车、重中型货车为重点，加大机动车集中停放地、维修地的尾气排放监督抽检力度。严格车用汽、柴油质量监管。严格新车排放标准，全面实施机动车国六排放标准。</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333" w:name="_Toc16637"/>
      <w:bookmarkStart w:id="334" w:name="_Toc24391"/>
      <w:bookmarkStart w:id="335" w:name="_Toc29027"/>
      <w:bookmarkStart w:id="336" w:name="_Toc15450"/>
      <w:r>
        <w:rPr>
          <w:rFonts w:eastAsia="方正仿宋_GBK" w:cs="Times New Roman"/>
          <w:color w:val="000000"/>
          <w:sz w:val="32"/>
        </w:rPr>
        <w:t>5.积极控</w:t>
      </w:r>
      <w:r>
        <w:rPr>
          <w:rFonts w:hint="eastAsia" w:ascii="方正仿宋_GBK" w:hAnsi="仿宋" w:eastAsia="方正仿宋_GBK" w:cs="仿宋"/>
          <w:color w:val="000000"/>
          <w:sz w:val="32"/>
        </w:rPr>
        <w:t>制面源污染</w:t>
      </w:r>
      <w:bookmarkEnd w:id="333"/>
      <w:bookmarkEnd w:id="334"/>
      <w:bookmarkEnd w:id="335"/>
      <w:bookmarkEnd w:id="336"/>
    </w:p>
    <w:p>
      <w:pPr>
        <w:spacing w:line="560" w:lineRule="exact"/>
        <w:ind w:firstLine="640" w:firstLineChars="200"/>
        <w:jc w:val="both"/>
        <w:rPr>
          <w:rFonts w:eastAsia="方正仿宋_GBK" w:cs="Times New Roman"/>
          <w:color w:val="000000"/>
          <w:sz w:val="32"/>
          <w:szCs w:val="32"/>
        </w:rPr>
      </w:pPr>
      <w:r>
        <w:rPr>
          <w:rFonts w:hint="eastAsia" w:ascii="方正仿宋_GBK" w:hAnsi="仿宋_GB2312" w:eastAsia="方正仿宋_GBK"/>
          <w:color w:val="000000"/>
          <w:sz w:val="32"/>
          <w:szCs w:val="32"/>
        </w:rPr>
        <w:t>落实扬尘污染控制属地责任，建立和完善扬尘污染综合防治的长效机制，全面落实“</w:t>
      </w:r>
      <w:r>
        <w:rPr>
          <w:rFonts w:eastAsia="方正仿宋_GBK" w:cs="Times New Roman"/>
          <w:color w:val="000000"/>
          <w:sz w:val="32"/>
          <w:szCs w:val="32"/>
        </w:rPr>
        <w:t>六个100%</w:t>
      </w:r>
      <w:r>
        <w:rPr>
          <w:rFonts w:hint="eastAsia" w:ascii="方正仿宋_GBK" w:hAnsi="仿宋_GB2312" w:eastAsia="方正仿宋_GBK"/>
          <w:color w:val="000000"/>
          <w:sz w:val="32"/>
          <w:szCs w:val="32"/>
        </w:rPr>
        <w:t>”扬尘防控措施，实施重大扬尘源在线监控管理。实行工业企业堆场规范化全封闭管理，巩固露天开采矿山整治成果。推行绿色文明施工，重点做好施工场地围闭、地面硬化绿化、裸露地表抑尘、物料堆放遮盖、进出车辆冲洗等环节扬尘管控措施，县城建成区内施工工地渣土和粉状物料实现全面封闭运输，并在运输车辆配备卫星定位装</w:t>
      </w:r>
      <w:r>
        <w:rPr>
          <w:rFonts w:eastAsia="方正仿宋_GBK" w:cs="Times New Roman"/>
          <w:color w:val="000000"/>
          <w:sz w:val="32"/>
          <w:szCs w:val="32"/>
        </w:rPr>
        <w:t>置（GPS），施工工地规范安装视频监控设备。加大对城市建筑垃圾、土石方和工业原辅材料运输车辆抛洒整治力度，采用密封式运输车辆或实施车斗严密遮盖，运输车辆应按规定时间和线路进行运输。改进道路清扫方式，推行城市道路清扫标准化作业，提高城市道路机械化清扫率和洒水保洁水平，县城机械化清扫率分别达到60%以上。</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337" w:name="_Toc27901"/>
      <w:bookmarkStart w:id="338" w:name="_Toc7590"/>
      <w:bookmarkStart w:id="339" w:name="_Toc7910"/>
      <w:bookmarkStart w:id="340" w:name="_Toc18157"/>
      <w:r>
        <w:rPr>
          <w:rFonts w:eastAsia="方正仿宋_GBK" w:cs="Times New Roman"/>
          <w:color w:val="000000"/>
          <w:sz w:val="32"/>
        </w:rPr>
        <w:t>6.加强秸秆和</w:t>
      </w:r>
      <w:r>
        <w:rPr>
          <w:rFonts w:hint="eastAsia" w:ascii="方正仿宋_GBK" w:hAnsi="仿宋" w:eastAsia="方正仿宋_GBK" w:cs="仿宋"/>
          <w:color w:val="000000"/>
          <w:sz w:val="32"/>
        </w:rPr>
        <w:t>氨排放控制</w:t>
      </w:r>
      <w:bookmarkEnd w:id="337"/>
      <w:bookmarkEnd w:id="338"/>
      <w:bookmarkEnd w:id="339"/>
      <w:bookmarkEnd w:id="340"/>
    </w:p>
    <w:p>
      <w:pPr>
        <w:tabs>
          <w:tab w:val="left" w:pos="540"/>
        </w:tabs>
        <w:spacing w:line="560" w:lineRule="exact"/>
        <w:ind w:firstLine="640" w:firstLineChars="200"/>
        <w:jc w:val="both"/>
        <w:rPr>
          <w:rFonts w:eastAsia="方正仿宋_GBK" w:cs="Times New Roman"/>
          <w:color w:val="000000"/>
          <w:sz w:val="32"/>
          <w:szCs w:val="32"/>
        </w:rPr>
      </w:pPr>
      <w:r>
        <w:rPr>
          <w:rFonts w:hint="eastAsia" w:ascii="方正仿宋_GBK" w:hAnsi="仿宋_GB2312" w:eastAsia="方正仿宋_GBK"/>
          <w:color w:val="000000"/>
          <w:sz w:val="32"/>
          <w:szCs w:val="32"/>
        </w:rPr>
        <w:t>全面加强秸秆禁烧监管，强化乡镇政府秸秆禁烧主体责任，按照网格化监管要求，建立辖区内秸秆焚烧易发多发区域清单，落实县包乡（镇）、乡包村、村包组、组包地块的分片包干工作责任制，对秸秆焚烧行为加强宣传教育，保持常态化监督检查，依法查处秸秆焚烧行为，建立秸秆禁烧长效监管机制，对出现着火点的县乡（镇）进行通报，并问责相关责任人。减少化肥农药使用量，增加有机肥使用量，提高化肥利用率</w:t>
      </w:r>
      <w:r>
        <w:rPr>
          <w:rFonts w:eastAsia="方正仿宋_GBK" w:cs="Times New Roman"/>
          <w:color w:val="000000"/>
          <w:sz w:val="32"/>
          <w:szCs w:val="32"/>
        </w:rPr>
        <w:t xml:space="preserve">，到2025年，全县化肥利用率达到45%。 </w:t>
      </w:r>
    </w:p>
    <w:p>
      <w:pPr>
        <w:pStyle w:val="5"/>
        <w:keepNext w:val="0"/>
        <w:keepLines w:val="0"/>
        <w:spacing w:line="560" w:lineRule="exact"/>
        <w:ind w:firstLine="643" w:firstLineChars="200"/>
        <w:jc w:val="both"/>
        <w:rPr>
          <w:rFonts w:eastAsia="方正仿宋_GBK" w:cs="Times New Roman"/>
          <w:color w:val="000000"/>
          <w:sz w:val="32"/>
        </w:rPr>
      </w:pPr>
      <w:bookmarkStart w:id="341" w:name="_Toc4418"/>
      <w:bookmarkStart w:id="342" w:name="_Toc31655"/>
      <w:bookmarkStart w:id="343" w:name="_Toc557"/>
      <w:bookmarkStart w:id="344" w:name="_Toc19322"/>
      <w:r>
        <w:rPr>
          <w:rFonts w:eastAsia="方正仿宋_GBK" w:cs="Times New Roman"/>
          <w:color w:val="000000"/>
          <w:sz w:val="32"/>
        </w:rPr>
        <w:t>7.强化重污染天气应对</w:t>
      </w:r>
      <w:bookmarkEnd w:id="341"/>
      <w:bookmarkEnd w:id="342"/>
      <w:bookmarkEnd w:id="343"/>
      <w:bookmarkEnd w:id="344"/>
    </w:p>
    <w:p>
      <w:pPr>
        <w:spacing w:line="560" w:lineRule="exact"/>
        <w:ind w:firstLine="640" w:firstLineChars="200"/>
        <w:jc w:val="both"/>
        <w:rPr>
          <w:rFonts w:hint="eastAsia" w:ascii="方正仿宋_GBK" w:hAnsi="仿宋_GB2312" w:eastAsia="方正仿宋_GBK"/>
          <w:color w:val="000000"/>
          <w:sz w:val="32"/>
          <w:szCs w:val="32"/>
        </w:rPr>
      </w:pPr>
      <w:r>
        <w:rPr>
          <w:rFonts w:eastAsia="方正仿宋_GBK" w:cs="Times New Roman"/>
          <w:color w:val="000000"/>
          <w:sz w:val="32"/>
          <w:szCs w:val="32"/>
        </w:rPr>
        <w:t>进一步强化部门及</w:t>
      </w:r>
      <w:r>
        <w:rPr>
          <w:rFonts w:hint="eastAsia" w:ascii="方正仿宋_GBK" w:hAnsi="仿宋_GB2312" w:eastAsia="方正仿宋_GBK"/>
          <w:color w:val="000000"/>
          <w:sz w:val="32"/>
          <w:szCs w:val="32"/>
        </w:rPr>
        <w:t>企业的应急责任，建立统一监测、统一预警、统一防治的联防联控体系，实行限排、限产、停产、交通管制等应急减排措施，完善应急预案，细化应急减排措施，落实到相关企业各工艺环节，实施“一厂一策”清单化管理。开展秋冬季攻坚行动，实施重点行业错峰生产，实行交叉联合执法、驻地督办，确保秋冬季大气污染防治各项措施落实到位。</w:t>
      </w:r>
    </w:p>
    <w:p>
      <w:pPr>
        <w:pStyle w:val="4"/>
        <w:keepNext w:val="0"/>
        <w:keepLines w:val="0"/>
        <w:spacing w:line="560" w:lineRule="exact"/>
        <w:ind w:firstLine="643" w:firstLineChars="200"/>
        <w:jc w:val="both"/>
        <w:rPr>
          <w:rFonts w:hint="eastAsia" w:ascii="方正楷体_GBK" w:hAnsi="楷体" w:eastAsia="方正楷体_GBK" w:cs="楷体"/>
          <w:color w:val="000000"/>
          <w:sz w:val="32"/>
        </w:rPr>
      </w:pPr>
      <w:bookmarkStart w:id="345" w:name="_Toc31857"/>
      <w:bookmarkStart w:id="346" w:name="_Toc16060"/>
      <w:bookmarkStart w:id="347" w:name="_Toc22585"/>
      <w:bookmarkStart w:id="348" w:name="_Toc20101"/>
      <w:bookmarkStart w:id="349" w:name="_Toc20437"/>
      <w:bookmarkStart w:id="350" w:name="_Toc30340"/>
      <w:bookmarkStart w:id="351" w:name="_Toc15756"/>
      <w:bookmarkStart w:id="352" w:name="_Toc3185"/>
      <w:bookmarkStart w:id="353" w:name="_Toc13243"/>
      <w:r>
        <w:rPr>
          <w:rFonts w:hint="eastAsia" w:ascii="方正楷体_GBK" w:hAnsi="楷体" w:eastAsia="方正楷体_GBK" w:cs="楷体"/>
          <w:color w:val="000000"/>
          <w:sz w:val="32"/>
        </w:rPr>
        <w:t>（二）“三水统筹、六水共治”，提升水生态环境质量</w:t>
      </w:r>
      <w:bookmarkEnd w:id="345"/>
      <w:bookmarkEnd w:id="346"/>
      <w:bookmarkEnd w:id="347"/>
      <w:bookmarkEnd w:id="348"/>
      <w:bookmarkEnd w:id="349"/>
      <w:bookmarkEnd w:id="350"/>
      <w:bookmarkEnd w:id="351"/>
      <w:bookmarkEnd w:id="352"/>
      <w:bookmarkEnd w:id="353"/>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lang w:val="zh-CN"/>
        </w:rPr>
        <w:t>按照“有河有水、有鱼有草、</w:t>
      </w:r>
      <w:r>
        <w:rPr>
          <w:rFonts w:hint="eastAsia" w:ascii="方正仿宋_GBK" w:hAnsi="仿宋_GB2312" w:eastAsia="方正仿宋_GBK"/>
          <w:color w:val="000000"/>
          <w:sz w:val="32"/>
          <w:szCs w:val="32"/>
        </w:rPr>
        <w:t>蛙鸣鸟叫</w:t>
      </w:r>
      <w:r>
        <w:rPr>
          <w:rFonts w:hint="eastAsia" w:ascii="方正仿宋_GBK" w:hAnsi="仿宋_GB2312" w:eastAsia="方正仿宋_GBK"/>
          <w:color w:val="000000"/>
          <w:sz w:val="32"/>
          <w:szCs w:val="32"/>
          <w:lang w:val="zh-CN"/>
        </w:rPr>
        <w:t>、人水和谐”的要求，统筹水资源、水环境、水生态</w:t>
      </w:r>
      <w:r>
        <w:rPr>
          <w:rFonts w:hint="eastAsia" w:ascii="方正仿宋_GBK" w:hAnsi="仿宋_GB2312" w:eastAsia="方正仿宋_GBK"/>
          <w:color w:val="000000"/>
          <w:sz w:val="32"/>
          <w:szCs w:val="32"/>
        </w:rPr>
        <w:t>，</w:t>
      </w:r>
      <w:r>
        <w:rPr>
          <w:rFonts w:hint="eastAsia" w:ascii="方正仿宋_GBK" w:hAnsi="仿宋_GB2312" w:eastAsia="方正仿宋_GBK"/>
          <w:color w:val="000000"/>
          <w:sz w:val="32"/>
          <w:szCs w:val="32"/>
          <w:lang w:val="zh-CN"/>
        </w:rPr>
        <w:t>分流域、分区域、分年度合理确定阶段目标值，确保目标落地，水环境质量持续改善，水生态系统功能初步恢复， 水资源、水生态、水环境统筹推进格局基本形成。</w:t>
      </w:r>
      <w:r>
        <w:rPr>
          <w:rFonts w:hint="eastAsia" w:ascii="方正仿宋_GBK" w:hAnsi="仿宋_GB2312" w:eastAsia="方正仿宋_GBK"/>
          <w:color w:val="000000"/>
          <w:sz w:val="32"/>
          <w:szCs w:val="32"/>
        </w:rPr>
        <w:t>持续打好碧水保卫战，严格落实河湖长制，以源头治理为重点，统筹饮用水源、工业废水、城乡污水、农业退水、畜禽养殖、渔业养殖废水“六水共治”，实现建成区管网全覆盖，工业和城镇污水处理厂全部优于一级A排放标准，建立健全地下水污染防治管理体系，实施“互联网+城乡供水”提质增效项目，确保饮用水水源安全，开展重点河湖治理，保持国控断面水质稳定达标。</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354" w:name="_Toc25939"/>
      <w:bookmarkStart w:id="355" w:name="_Toc30198"/>
      <w:bookmarkStart w:id="356" w:name="_Toc32513"/>
      <w:bookmarkStart w:id="357" w:name="_Toc29378"/>
      <w:bookmarkStart w:id="358" w:name="_Toc13678"/>
      <w:bookmarkStart w:id="359" w:name="_Toc16955"/>
      <w:bookmarkStart w:id="360" w:name="_Toc9443"/>
      <w:bookmarkStart w:id="361" w:name="_Toc308534362"/>
      <w:bookmarkStart w:id="362" w:name="_Toc297791896"/>
      <w:bookmarkStart w:id="363" w:name="_Toc297550354"/>
      <w:bookmarkStart w:id="364" w:name="_Toc297885359"/>
      <w:bookmarkStart w:id="365" w:name="_Toc311033686"/>
      <w:bookmarkStart w:id="366" w:name="_Toc308534230"/>
      <w:bookmarkStart w:id="367" w:name="_Toc297550433"/>
      <w:r>
        <w:rPr>
          <w:rFonts w:eastAsia="方正仿宋_GBK" w:cs="Times New Roman"/>
          <w:color w:val="000000"/>
          <w:sz w:val="32"/>
        </w:rPr>
        <w:t>1.保障饮水安</w:t>
      </w:r>
      <w:r>
        <w:rPr>
          <w:rFonts w:hint="eastAsia" w:ascii="方正仿宋_GBK" w:hAnsi="仿宋" w:eastAsia="方正仿宋_GBK" w:cs="仿宋"/>
          <w:color w:val="000000"/>
          <w:sz w:val="32"/>
        </w:rPr>
        <w:t>全</w:t>
      </w:r>
      <w:bookmarkEnd w:id="354"/>
      <w:bookmarkEnd w:id="355"/>
      <w:bookmarkEnd w:id="356"/>
      <w:bookmarkEnd w:id="357"/>
      <w:bookmarkEnd w:id="358"/>
      <w:bookmarkEnd w:id="359"/>
      <w:bookmarkEnd w:id="360"/>
    </w:p>
    <w:p>
      <w:pPr>
        <w:spacing w:line="560" w:lineRule="exact"/>
        <w:ind w:firstLine="643" w:firstLineChars="200"/>
        <w:jc w:val="both"/>
        <w:rPr>
          <w:rFonts w:eastAsia="方正仿宋_GBK" w:cs="Times New Roman"/>
          <w:color w:val="000000"/>
          <w:sz w:val="32"/>
          <w:szCs w:val="32"/>
        </w:rPr>
      </w:pPr>
      <w:r>
        <w:rPr>
          <w:rFonts w:hint="eastAsia" w:ascii="方正仿宋_GBK" w:hAnsi="仿宋_GB2312" w:eastAsia="方正仿宋_GBK"/>
          <w:b/>
          <w:bCs/>
          <w:color w:val="000000"/>
          <w:sz w:val="32"/>
          <w:szCs w:val="32"/>
        </w:rPr>
        <w:t>严格保护饮用水源</w:t>
      </w:r>
      <w:bookmarkEnd w:id="361"/>
      <w:bookmarkEnd w:id="362"/>
      <w:bookmarkEnd w:id="363"/>
      <w:bookmarkEnd w:id="364"/>
      <w:bookmarkEnd w:id="365"/>
      <w:bookmarkEnd w:id="366"/>
      <w:bookmarkEnd w:id="367"/>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严禁在饮用水源保护区内进行法律法规禁止的各种开发活动和排污行为，严厉打击破坏饮用水源的违法行为。开展饮用水源地环境风险排查和环境整治，消除威胁饮用水源的安全隐患。加强城镇水源地水质全分析，开展工业固体废物、垃圾填埋场地、石油化工行业生产场地周边地下水水环境监测，加强重金属、持久性有机污染物等有毒有害物质的监控，全面提高监测预警能力。以银川都市圈城乡西线供水工程石嘴山支线建设为重点，形成以黄河水、地下水联合调配的供水体系，制定地下水水源井的应急供水方案，保障城乡居民用水。加快备用水源和供水应急机制建设，完善应急预案，加强应急演练，提高突发水源污染事件应急能力。</w:t>
      </w:r>
      <w:r>
        <w:rPr>
          <w:rFonts w:eastAsia="方正仿宋_GBK" w:cs="Times New Roman"/>
          <w:color w:val="000000"/>
          <w:sz w:val="32"/>
          <w:szCs w:val="32"/>
        </w:rPr>
        <w:t>到2025年，城镇集中式饮用水水源地水质稳定达到功能要求，水质达标的饮用水水源比例达到100%。</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加强农村集中式饮用水源地保护。</w:t>
      </w:r>
      <w:r>
        <w:rPr>
          <w:rFonts w:hint="eastAsia" w:ascii="方正仿宋_GBK" w:hAnsi="仿宋_GB2312" w:eastAsia="方正仿宋_GBK"/>
          <w:color w:val="000000"/>
          <w:sz w:val="32"/>
          <w:szCs w:val="32"/>
        </w:rPr>
        <w:t>通过启动“千吨万人”集中式饮用水水源地环境保护专项整治工作，对农村水源地一级保护区开展规范化建设工程，严格落实水源地保护区的各项环境管理制度，切实保障饮用水水源地水质安全。加强农村饮用水源地的污染防治、水源涵养、水土保持等工程建设，</w:t>
      </w:r>
      <w:r>
        <w:rPr>
          <w:rFonts w:eastAsia="方正仿宋_GBK" w:cs="Times New Roman"/>
          <w:color w:val="000000"/>
          <w:sz w:val="32"/>
          <w:szCs w:val="32"/>
        </w:rPr>
        <w:t>到2025年，</w:t>
      </w:r>
      <w:r>
        <w:rPr>
          <w:rFonts w:hint="eastAsia" w:ascii="方正仿宋_GBK" w:hAnsi="仿宋_GB2312" w:eastAsia="方正仿宋_GBK"/>
          <w:color w:val="000000"/>
          <w:sz w:val="32"/>
          <w:szCs w:val="32"/>
        </w:rPr>
        <w:t>农村饮用水水源地保护水平得到大幅提升。</w:t>
      </w:r>
    </w:p>
    <w:p>
      <w:pPr>
        <w:pStyle w:val="5"/>
        <w:keepNext w:val="0"/>
        <w:keepLines w:val="0"/>
        <w:spacing w:line="560" w:lineRule="exact"/>
        <w:ind w:firstLine="643" w:firstLineChars="200"/>
        <w:jc w:val="both"/>
        <w:rPr>
          <w:rFonts w:eastAsia="方正仿宋_GBK" w:cs="Times New Roman"/>
          <w:color w:val="000000"/>
          <w:sz w:val="32"/>
        </w:rPr>
      </w:pPr>
      <w:bookmarkStart w:id="368" w:name="_Toc8100"/>
      <w:bookmarkStart w:id="369" w:name="_Toc6374"/>
      <w:bookmarkStart w:id="370" w:name="_Toc29159"/>
      <w:bookmarkStart w:id="371" w:name="_Toc22415"/>
      <w:bookmarkStart w:id="372" w:name="_Toc1865"/>
      <w:bookmarkStart w:id="373" w:name="_Toc16697"/>
      <w:bookmarkStart w:id="374" w:name="_Toc9217"/>
      <w:r>
        <w:rPr>
          <w:rFonts w:eastAsia="方正仿宋_GBK" w:cs="Times New Roman"/>
          <w:color w:val="000000"/>
          <w:sz w:val="32"/>
        </w:rPr>
        <w:t>2.水资源保障</w:t>
      </w:r>
      <w:bookmarkEnd w:id="368"/>
      <w:bookmarkEnd w:id="369"/>
      <w:bookmarkEnd w:id="370"/>
      <w:bookmarkEnd w:id="371"/>
      <w:bookmarkEnd w:id="372"/>
      <w:bookmarkEnd w:id="373"/>
      <w:bookmarkEnd w:id="374"/>
    </w:p>
    <w:p>
      <w:pPr>
        <w:spacing w:line="560" w:lineRule="exact"/>
        <w:ind w:firstLine="640" w:firstLineChars="200"/>
        <w:jc w:val="both"/>
        <w:rPr>
          <w:rFonts w:hint="eastAsia" w:ascii="方正仿宋_GBK" w:hAnsi="仿宋_GB2312" w:eastAsia="方正仿宋_GBK"/>
          <w:color w:val="000000"/>
          <w:sz w:val="32"/>
          <w:szCs w:val="32"/>
        </w:rPr>
      </w:pPr>
      <w:r>
        <w:rPr>
          <w:rFonts w:eastAsia="方正仿宋_GBK" w:cs="Times New Roman"/>
          <w:color w:val="000000"/>
          <w:sz w:val="32"/>
          <w:szCs w:val="32"/>
        </w:rPr>
        <w:t>把水资源作为最大刚性约束，农业方面按年度制定农业种植结构调整指导方案，控制灌溉面积增长，优化种植结构，减少水稻、小麦等高耗水作物种植面积，因地制宜发展高效农业。到2025年，建立农业用水精准补贴和节水奖励机制，全面完成农业水价综合改革任务。工业方面持续开展节水型企业达标建设，积极推广应用节水工艺和技术，完善供用水计量设施。在工业园区和年用水量10万立方米以上企业积极推行水务经理管理，严格执行《宁夏工业水务经理管理制度》。在火电、化工等行业大力推广循环用水技术，新建火电机组全面采用空冷技术。到2025年，火电、化工等行业工业用水重复利用率达到98%以上。</w:t>
      </w:r>
      <w:r>
        <w:rPr>
          <w:rFonts w:hint="eastAsia" w:ascii="方正仿宋_GBK" w:hAnsi="仿宋_GB2312" w:eastAsia="方正仿宋_GBK"/>
          <w:color w:val="000000"/>
          <w:sz w:val="32"/>
          <w:szCs w:val="32"/>
        </w:rPr>
        <w:t>新改扩建的取水项目，严格落实节水设施“三同时”制度。新上能源、化工项目用水效率必须达到国际先进水平。城镇生活方面拓宽生活节水途径，加快县域节水型社会达标建设，深入开展公共领域节水，大力推进“互联网+城乡供水”示范省（区）建设，城镇居民用水全面实行阶梯水价。</w:t>
      </w:r>
      <w:r>
        <w:rPr>
          <w:rFonts w:eastAsia="方正仿宋_GBK" w:cs="Times New Roman"/>
          <w:color w:val="000000"/>
          <w:sz w:val="32"/>
          <w:szCs w:val="32"/>
        </w:rPr>
        <w:t>到2025年，县级行政区基本达到节水型社会标准，县级以上公共机构节水型单位建成率达到95%。</w:t>
      </w:r>
    </w:p>
    <w:p>
      <w:pPr>
        <w:spacing w:line="560" w:lineRule="exact"/>
        <w:ind w:firstLine="643" w:firstLineChars="200"/>
        <w:jc w:val="both"/>
        <w:rPr>
          <w:rFonts w:eastAsia="方正仿宋_GBK" w:cs="Times New Roman"/>
          <w:color w:val="000000"/>
          <w:sz w:val="32"/>
          <w:szCs w:val="32"/>
        </w:rPr>
      </w:pPr>
      <w:r>
        <w:rPr>
          <w:rFonts w:hint="eastAsia" w:ascii="方正仿宋_GBK" w:hAnsi="仿宋_GB2312" w:eastAsia="方正仿宋_GBK"/>
          <w:b/>
          <w:bCs/>
          <w:color w:val="000000"/>
          <w:sz w:val="32"/>
          <w:szCs w:val="32"/>
        </w:rPr>
        <w:t>农业节水措施。</w:t>
      </w:r>
      <w:r>
        <w:rPr>
          <w:rFonts w:hint="eastAsia" w:ascii="方正仿宋_GBK" w:hAnsi="仿宋_GB2312" w:eastAsia="方正仿宋_GBK"/>
          <w:color w:val="000000"/>
          <w:sz w:val="32"/>
          <w:szCs w:val="32"/>
        </w:rPr>
        <w:t>落实最严格水资源管理制度，建立农业灌溉用水量控制和定额管理制度。加大农田建设力度，稳定基本农田，改造中低产田，建设高标准田，发展高效节水灌溉，不断提高农田质量和水平。加强农田保护修复，实行少耕免耕等保护性耕作措施，发展紫花苜蓿等农作物，提升农田保水保肥能力。加快种植结构调整，适度压减水稻、小麦、籽粒玉米等低效作物种植面积，适度扩大果蔬、枸杞、酿酒葡萄、青贮玉米等高效作物种植面积，构建更好适应生态建设和农业现代化的种植结构。进一步完善农田灌排设施，加快配套与节水设施改造，开展盐渍化治理和劣质水利用研究， 解决区域水资源短缺和盐渍化问题；建立以引、提结合， 灌、排并重的灌溉体系，充分利用水资源，降低和控制地下水位 ，防治土壤盐渍化， 解决农田洗盐、排盐的问题。开展节水农业示范，改善田间节水设施设备，积极推广抗旱节水品种和喷灌滴灌、水肥一体化、深耕深松等技术。</w:t>
      </w:r>
      <w:r>
        <w:rPr>
          <w:rFonts w:hint="eastAsia" w:ascii="方正仿宋_GBK" w:hAnsi="仿宋_GB2312" w:eastAsia="方正仿宋_GBK"/>
          <w:color w:val="000000"/>
          <w:sz w:val="32"/>
          <w:szCs w:val="32"/>
          <w:shd w:val="clear" w:color="auto" w:fill="FFFFFF"/>
        </w:rPr>
        <w:t>推进灌区农业计划用水，分解年度计划用水量到乡、村和直开口，落实超计划用水累进加价制度。</w:t>
      </w:r>
      <w:r>
        <w:rPr>
          <w:rFonts w:eastAsia="方正仿宋_GBK" w:cs="Times New Roman"/>
          <w:color w:val="000000"/>
          <w:sz w:val="32"/>
          <w:szCs w:val="32"/>
        </w:rPr>
        <w:t>到2025年，农田灌溉水利用系数达到0.60以上，</w:t>
      </w:r>
      <w:r>
        <w:rPr>
          <w:rFonts w:eastAsia="方正仿宋_GBK" w:cs="Times New Roman"/>
          <w:color w:val="000000"/>
          <w:sz w:val="32"/>
          <w:szCs w:val="32"/>
          <w:shd w:val="clear" w:color="auto" w:fill="FFFFFF"/>
        </w:rPr>
        <w:t>高效节灌率提高至55%。</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工业节水措施。</w:t>
      </w:r>
      <w:r>
        <w:rPr>
          <w:rFonts w:hint="eastAsia" w:ascii="方正仿宋_GBK" w:hAnsi="仿宋_GB2312" w:eastAsia="方正仿宋_GBK"/>
          <w:color w:val="000000"/>
          <w:sz w:val="32"/>
          <w:szCs w:val="32"/>
        </w:rPr>
        <w:t>以水定产，继续严格控制石化、化工、医药等高耗水行业新增产能。围绕过程循环和末端回用，实施循环水回用、水梯级利用、废水处理再利用、用水智慧管理、供排水管网智慧检漏等技术改造，提升企业各环节用水效率和重复利用率。加快工业产业结构调整与用水工艺提升改造，同时建立节水长效激励机制，</w:t>
      </w:r>
      <w:r>
        <w:rPr>
          <w:rFonts w:hint="eastAsia" w:ascii="方正仿宋_GBK" w:hAnsi="仿宋_GB2312" w:eastAsia="方正仿宋_GBK"/>
          <w:color w:val="000000"/>
          <w:sz w:val="32"/>
          <w:szCs w:val="32"/>
          <w:shd w:val="clear" w:color="auto" w:fill="FFFFFF"/>
        </w:rPr>
        <w:t>严格执行《宁夏工业水务经理管理制度》</w:t>
      </w:r>
      <w:r>
        <w:rPr>
          <w:rFonts w:hint="eastAsia" w:ascii="方正仿宋_GBK" w:hAnsi="仿宋_GB2312" w:eastAsia="方正仿宋_GBK"/>
          <w:color w:val="000000"/>
          <w:sz w:val="32"/>
          <w:szCs w:val="32"/>
        </w:rPr>
        <w:t>。实行计划用水，对现有高耗水、低效益的工业项目进行淘汰、调整、转产或技术改造。</w:t>
      </w:r>
      <w:r>
        <w:rPr>
          <w:rFonts w:eastAsia="方正仿宋_GBK" w:cs="Times New Roman"/>
          <w:color w:val="000000"/>
          <w:sz w:val="32"/>
          <w:szCs w:val="32"/>
          <w:shd w:val="clear" w:color="auto" w:fill="FFFFFF"/>
        </w:rPr>
        <w:t>到2025年，火电、化工等行业工业用水重复利用率达到98%以上。</w:t>
      </w:r>
      <w:r>
        <w:rPr>
          <w:rFonts w:hint="eastAsia" w:ascii="方正仿宋_GBK" w:hAnsi="仿宋_GB2312" w:eastAsia="方正仿宋_GBK"/>
          <w:color w:val="000000"/>
          <w:sz w:val="32"/>
          <w:szCs w:val="32"/>
          <w:shd w:val="clear" w:color="auto" w:fill="FFFFFF"/>
        </w:rPr>
        <w:t>新上能源、化工项目用水效率必须达到国际先进水平。</w:t>
      </w:r>
    </w:p>
    <w:p>
      <w:pPr>
        <w:spacing w:line="560" w:lineRule="exact"/>
        <w:ind w:right="-14" w:firstLine="643" w:firstLineChars="200"/>
        <w:jc w:val="both"/>
        <w:rPr>
          <w:rFonts w:eastAsia="方正仿宋_GBK" w:cs="Times New Roman"/>
          <w:b/>
          <w:bCs/>
          <w:color w:val="000000"/>
          <w:sz w:val="32"/>
          <w:szCs w:val="32"/>
        </w:rPr>
      </w:pPr>
      <w:r>
        <w:rPr>
          <w:rFonts w:hint="eastAsia" w:ascii="方正仿宋_GBK" w:hAnsi="仿宋_GB2312" w:eastAsia="方正仿宋_GBK"/>
          <w:b/>
          <w:bCs/>
          <w:color w:val="000000"/>
          <w:sz w:val="32"/>
          <w:szCs w:val="32"/>
        </w:rPr>
        <w:t>城镇生活节水措施。</w:t>
      </w:r>
      <w:r>
        <w:rPr>
          <w:rFonts w:hint="eastAsia" w:ascii="方正仿宋_GBK" w:hAnsi="仿宋_GB2312" w:eastAsia="方正仿宋_GBK"/>
          <w:color w:val="000000"/>
          <w:sz w:val="32"/>
          <w:szCs w:val="32"/>
        </w:rPr>
        <w:t>大力发展城市中水回用工程，提高污水资源化进程，解决生态绿化用水不足问题，同时减少对黄河水的排放污染。</w:t>
      </w:r>
      <w:r>
        <w:rPr>
          <w:rFonts w:hint="eastAsia" w:ascii="方正仿宋_GBK" w:hAnsi="仿宋_GB2312" w:eastAsia="方正仿宋_GBK"/>
          <w:color w:val="000000"/>
          <w:sz w:val="32"/>
          <w:szCs w:val="32"/>
          <w:shd w:val="clear" w:color="auto" w:fill="FFFFFF"/>
        </w:rPr>
        <w:t>大力推进“互联网+城乡供水”建设，</w:t>
      </w:r>
      <w:r>
        <w:rPr>
          <w:rFonts w:hint="eastAsia" w:ascii="方正仿宋_GBK" w:hAnsi="仿宋_GB2312" w:eastAsia="方正仿宋_GBK"/>
          <w:color w:val="000000"/>
          <w:sz w:val="32"/>
          <w:szCs w:val="32"/>
        </w:rPr>
        <w:t>改造供水体系和改善城镇供水管网，降低管网漏失率，城镇管网漏损率控制在</w:t>
      </w:r>
      <w:r>
        <w:rPr>
          <w:rFonts w:eastAsia="方正仿宋_GBK" w:cs="Times New Roman"/>
          <w:color w:val="000000"/>
          <w:sz w:val="32"/>
          <w:szCs w:val="32"/>
        </w:rPr>
        <w:t>8%以内。全面推广节水器具，新建民用建筑和城镇公共设施的节水器具普及率达到100%。</w:t>
      </w:r>
      <w:r>
        <w:rPr>
          <w:rFonts w:eastAsia="方正仿宋_GBK" w:cs="Times New Roman"/>
          <w:color w:val="000000"/>
          <w:sz w:val="32"/>
          <w:szCs w:val="32"/>
          <w:shd w:val="clear" w:color="auto" w:fill="FFFFFF"/>
        </w:rPr>
        <w:t>到2025年，县级行政区基本达到节水型社会标准，县级以上公共机构节水型单位建成率达到95%。</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实施水系循环连通工程。</w:t>
      </w:r>
      <w:r>
        <w:rPr>
          <w:rFonts w:hint="eastAsia" w:ascii="方正仿宋_GBK" w:hAnsi="仿宋_GB2312" w:eastAsia="方正仿宋_GBK"/>
          <w:color w:val="000000"/>
          <w:sz w:val="32"/>
          <w:szCs w:val="32"/>
        </w:rPr>
        <w:t>通过实施境内水系连通、增大湖库调蓄能力、增强生态湿地水质净化能力、优化水资源时空分配，实现区域内“蓄”“净”“补”“用”的水资源调配功能，即蓄好水、净污水、补基流、用中水。</w:t>
      </w:r>
      <w:bookmarkStart w:id="375" w:name="_Toc21435"/>
    </w:p>
    <w:p>
      <w:pPr>
        <w:spacing w:line="560" w:lineRule="exact"/>
        <w:ind w:firstLine="643" w:firstLineChars="200"/>
        <w:jc w:val="both"/>
        <w:rPr>
          <w:rFonts w:eastAsia="方正仿宋_GBK" w:cs="Times New Roman"/>
          <w:color w:val="000000"/>
          <w:sz w:val="32"/>
          <w:szCs w:val="32"/>
        </w:rPr>
      </w:pPr>
      <w:r>
        <w:rPr>
          <w:rFonts w:hint="eastAsia" w:ascii="方正仿宋_GBK" w:hAnsi="仿宋_GB2312" w:eastAsia="方正仿宋_GBK"/>
          <w:b/>
          <w:bCs/>
          <w:color w:val="000000"/>
          <w:sz w:val="32"/>
          <w:szCs w:val="32"/>
        </w:rPr>
        <w:t>加强非常规水源</w:t>
      </w:r>
      <w:r>
        <w:rPr>
          <w:rFonts w:hint="eastAsia" w:ascii="方正仿宋_GBK" w:hAnsi="仿宋_GB2312" w:eastAsia="方正仿宋_GBK"/>
          <w:b/>
          <w:bCs/>
          <w:color w:val="000000"/>
          <w:sz w:val="32"/>
          <w:szCs w:val="32"/>
          <w:lang w:val="zh-CN"/>
        </w:rPr>
        <w:t>利用，</w:t>
      </w:r>
      <w:r>
        <w:rPr>
          <w:rFonts w:hint="eastAsia" w:ascii="方正仿宋_GBK" w:hAnsi="仿宋_GB2312" w:eastAsia="方正仿宋_GBK"/>
          <w:b/>
          <w:bCs/>
          <w:color w:val="000000"/>
          <w:sz w:val="32"/>
          <w:szCs w:val="32"/>
        </w:rPr>
        <w:t>提高中水回用率</w:t>
      </w:r>
      <w:bookmarkEnd w:id="375"/>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充分利用降雨、山洪水，使雨洪水资源化，以满足农业和生态用水需要。制定优惠政策，按照集中处理与企业处理相结合的原则，引导鼓励城镇非生活饮用水使用再生水，支持矿产资源开采企业处理回用矿井疏干水。重点实施平罗县工业园区循环经济试验区中水及工业园区内中水配水管线、</w:t>
      </w:r>
      <w:r>
        <w:rPr>
          <w:rFonts w:hint="eastAsia" w:ascii="方正仿宋_GBK" w:hAnsi="仿宋_GB2312" w:eastAsia="方正仿宋_GBK"/>
          <w:color w:val="000000"/>
          <w:sz w:val="32"/>
          <w:szCs w:val="32"/>
          <w:lang w:val="zh-CN"/>
        </w:rPr>
        <w:t>平罗工业园区（红崖子园）</w:t>
      </w:r>
      <w:r>
        <w:rPr>
          <w:rFonts w:hint="eastAsia" w:ascii="方正仿宋_GBK" w:hAnsi="仿宋_GB2312" w:eastAsia="方正仿宋_GBK"/>
          <w:color w:val="000000"/>
          <w:sz w:val="32"/>
          <w:szCs w:val="32"/>
        </w:rPr>
        <w:t>中水回用系统等中水回用工程，为工业园区企业进行供水。</w:t>
      </w:r>
      <w:r>
        <w:rPr>
          <w:rFonts w:eastAsia="方正仿宋_GBK" w:cs="Times New Roman"/>
          <w:color w:val="000000"/>
          <w:sz w:val="32"/>
          <w:szCs w:val="32"/>
        </w:rPr>
        <w:t>到2025年，再生水回用率达到50%以上。</w:t>
      </w:r>
    </w:p>
    <w:p>
      <w:pPr>
        <w:spacing w:line="560" w:lineRule="exact"/>
        <w:ind w:firstLine="643" w:firstLineChars="200"/>
        <w:jc w:val="both"/>
        <w:rPr>
          <w:rFonts w:hint="eastAsia" w:ascii="方正仿宋_GBK" w:hAnsi="仿宋_GB2312" w:eastAsia="方正仿宋_GBK"/>
          <w:color w:val="000000"/>
          <w:sz w:val="32"/>
          <w:szCs w:val="32"/>
        </w:rPr>
      </w:pPr>
      <w:bookmarkStart w:id="376" w:name="_Toc26987"/>
      <w:r>
        <w:rPr>
          <w:rFonts w:hint="eastAsia" w:ascii="方正仿宋_GBK" w:hAnsi="仿宋_GB2312" w:eastAsia="方正仿宋_GBK"/>
          <w:b/>
          <w:bCs/>
          <w:color w:val="000000"/>
          <w:sz w:val="32"/>
          <w:szCs w:val="32"/>
        </w:rPr>
        <w:t>加强地下水超采区和盐碱地治理</w:t>
      </w:r>
      <w:bookmarkEnd w:id="376"/>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强化超采区地下水开发利用监督管理，严格取水许可制度；加快超采区的水源置换工程建设，逐步将城市用水替换为黄河水。结合地区水资源配置和高效节水灌溉发展，改变现有的粗放灌溉方式，控制引水量；采取井渠结合、以灌代排降低灌区地下水位，把地下水位控制在生态合理的范围内。</w:t>
      </w:r>
    </w:p>
    <w:p>
      <w:pPr>
        <w:pStyle w:val="5"/>
        <w:keepNext w:val="0"/>
        <w:keepLines w:val="0"/>
        <w:spacing w:line="560" w:lineRule="exact"/>
        <w:ind w:firstLine="643" w:firstLineChars="200"/>
        <w:jc w:val="both"/>
        <w:rPr>
          <w:rFonts w:eastAsia="方正仿宋_GBK" w:cs="Times New Roman"/>
          <w:color w:val="000000"/>
          <w:sz w:val="32"/>
        </w:rPr>
      </w:pPr>
      <w:bookmarkStart w:id="377" w:name="_Toc5655"/>
      <w:bookmarkStart w:id="378" w:name="_Toc28605"/>
      <w:bookmarkStart w:id="379" w:name="_Toc9058"/>
      <w:bookmarkStart w:id="380" w:name="_Toc10998"/>
      <w:bookmarkStart w:id="381" w:name="_Toc31900"/>
      <w:bookmarkStart w:id="382" w:name="_Toc991"/>
      <w:bookmarkStart w:id="383" w:name="_Toc10016"/>
      <w:r>
        <w:rPr>
          <w:rFonts w:eastAsia="方正仿宋_GBK" w:cs="Times New Roman"/>
          <w:color w:val="000000"/>
          <w:sz w:val="32"/>
        </w:rPr>
        <w:t>3.水污染减排</w:t>
      </w:r>
      <w:bookmarkEnd w:id="377"/>
      <w:bookmarkEnd w:id="378"/>
      <w:bookmarkEnd w:id="379"/>
      <w:bookmarkEnd w:id="380"/>
      <w:bookmarkEnd w:id="381"/>
      <w:bookmarkEnd w:id="382"/>
      <w:bookmarkEnd w:id="383"/>
    </w:p>
    <w:p>
      <w:pPr>
        <w:spacing w:line="560" w:lineRule="exact"/>
        <w:ind w:firstLine="640" w:firstLineChars="200"/>
        <w:jc w:val="both"/>
        <w:rPr>
          <w:rFonts w:eastAsia="方正仿宋_GBK" w:cs="Times New Roman"/>
          <w:color w:val="000000"/>
          <w:spacing w:val="-2"/>
          <w:sz w:val="32"/>
          <w:szCs w:val="32"/>
        </w:rPr>
      </w:pPr>
      <w:r>
        <w:rPr>
          <w:rFonts w:eastAsia="方正仿宋_GBK" w:cs="Times New Roman"/>
          <w:color w:val="000000"/>
          <w:sz w:val="32"/>
          <w:szCs w:val="32"/>
        </w:rPr>
        <w:t>以典农河、三二支沟平罗段水污染治理为重点，统筹黄河平罗段干支流、第五排水沟，坚持污染减排与生态增容两线同步推进，实现全县地表水考核断面到2025年全部消除劣Ⅴ类。</w:t>
      </w:r>
    </w:p>
    <w:p>
      <w:pPr>
        <w:spacing w:line="560" w:lineRule="exact"/>
        <w:ind w:firstLine="643" w:firstLineChars="200"/>
        <w:jc w:val="both"/>
        <w:rPr>
          <w:rFonts w:hint="eastAsia" w:ascii="方正仿宋_GBK" w:hAnsi="仿宋_GB2312" w:eastAsia="方正仿宋_GBK"/>
          <w:color w:val="000000"/>
          <w:sz w:val="32"/>
          <w:szCs w:val="32"/>
        </w:rPr>
      </w:pPr>
      <w:bookmarkStart w:id="384" w:name="_Toc3127"/>
      <w:r>
        <w:rPr>
          <w:rFonts w:hint="eastAsia" w:ascii="方正仿宋_GBK" w:hAnsi="仿宋_GB2312" w:eastAsia="方正仿宋_GBK"/>
          <w:b/>
          <w:bCs/>
          <w:color w:val="000000"/>
          <w:sz w:val="32"/>
          <w:szCs w:val="32"/>
        </w:rPr>
        <w:t>全面治理水体污染</w:t>
      </w:r>
      <w:bookmarkEnd w:id="384"/>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加强工业废水治理，严格落实</w:t>
      </w:r>
      <w:r>
        <w:rPr>
          <w:rFonts w:hint="eastAsia" w:ascii="方正仿宋_GBK" w:hAnsi="仿宋_GB2312" w:eastAsia="方正仿宋_GBK"/>
          <w:color w:val="000000"/>
          <w:sz w:val="32"/>
          <w:szCs w:val="32"/>
          <w:lang w:val="zh-CN"/>
        </w:rPr>
        <w:t>“三线</w:t>
      </w:r>
      <w:r>
        <w:rPr>
          <w:rFonts w:hint="eastAsia" w:ascii="方正仿宋_GBK" w:hAnsi="仿宋_GB2312" w:eastAsia="方正仿宋_GBK"/>
          <w:color w:val="000000"/>
          <w:sz w:val="32"/>
          <w:szCs w:val="32"/>
        </w:rPr>
        <w:t>一单”，推动重点行业强制性清洁生产，从严落实工业排污许可制度，清理整顿黄河岸线内列入负面清单的产业和项目，推动沿黄</w:t>
      </w:r>
      <w:r>
        <w:rPr>
          <w:rFonts w:eastAsia="方正仿宋_GBK" w:cs="Times New Roman"/>
          <w:color w:val="000000"/>
          <w:sz w:val="32"/>
          <w:szCs w:val="32"/>
        </w:rPr>
        <w:t>1公里范围内高耗水、高污染企业迁入合规园区，严禁在黄河干流及主要支流临岸1公</w:t>
      </w:r>
      <w:r>
        <w:rPr>
          <w:rFonts w:hint="eastAsia" w:ascii="方正仿宋_GBK" w:hAnsi="仿宋_GB2312" w:eastAsia="方正仿宋_GBK"/>
          <w:color w:val="000000"/>
          <w:sz w:val="32"/>
          <w:szCs w:val="32"/>
        </w:rPr>
        <w:t>里范围内新建</w:t>
      </w:r>
      <w:r>
        <w:rPr>
          <w:rFonts w:hint="eastAsia" w:ascii="方正仿宋_GBK" w:hAnsi="仿宋_GB2312" w:eastAsia="方正仿宋_GBK"/>
          <w:color w:val="000000"/>
          <w:sz w:val="32"/>
          <w:szCs w:val="32"/>
          <w:lang w:val="zh-CN"/>
        </w:rPr>
        <w:t>“两</w:t>
      </w:r>
      <w:r>
        <w:rPr>
          <w:rFonts w:hint="eastAsia" w:ascii="方正仿宋_GBK" w:hAnsi="仿宋_GB2312" w:eastAsia="方正仿宋_GBK"/>
          <w:color w:val="000000"/>
          <w:sz w:val="32"/>
          <w:szCs w:val="32"/>
        </w:rPr>
        <w:t>高一资”项目及相关产业园区。综合整治入黄排水沟，确保典农河与五排平罗段汇合入黄口水质持续稳定达</w:t>
      </w:r>
      <w:r>
        <w:rPr>
          <w:rFonts w:eastAsia="方正仿宋_GBK" w:cs="Times New Roman"/>
          <w:color w:val="000000"/>
          <w:sz w:val="32"/>
          <w:szCs w:val="32"/>
        </w:rPr>
        <w:t>到Ⅳ类。加强农</w:t>
      </w:r>
      <w:r>
        <w:rPr>
          <w:rFonts w:hint="eastAsia" w:ascii="方正仿宋_GBK" w:hAnsi="仿宋_GB2312" w:eastAsia="方正仿宋_GBK"/>
          <w:color w:val="000000"/>
          <w:sz w:val="32"/>
          <w:szCs w:val="32"/>
        </w:rPr>
        <w:t>业退水处置，实施农田退水污染综合治理，推进生态沟道、污水净塘、人工湿地、植物隔离条带等生态拦截净化工程，加强农田退水循环利用。</w:t>
      </w:r>
    </w:p>
    <w:p>
      <w:pPr>
        <w:spacing w:line="560" w:lineRule="exact"/>
        <w:ind w:firstLine="643" w:firstLineChars="200"/>
        <w:jc w:val="both"/>
        <w:rPr>
          <w:rFonts w:eastAsia="方正仿宋_GBK" w:cs="Times New Roman"/>
          <w:color w:val="000000"/>
          <w:sz w:val="32"/>
          <w:szCs w:val="32"/>
        </w:rPr>
      </w:pPr>
      <w:bookmarkStart w:id="385" w:name="_Toc30267"/>
      <w:r>
        <w:rPr>
          <w:rFonts w:hint="eastAsia" w:ascii="方正仿宋_GBK" w:hAnsi="仿宋_GB2312" w:eastAsia="方正仿宋_GBK"/>
          <w:b/>
          <w:bCs/>
          <w:color w:val="000000"/>
          <w:sz w:val="32"/>
          <w:szCs w:val="32"/>
          <w:lang w:val="zh-CN"/>
        </w:rPr>
        <w:t>实施排污口排查整治</w:t>
      </w:r>
      <w:bookmarkEnd w:id="385"/>
      <w:r>
        <w:rPr>
          <w:rFonts w:hint="eastAsia" w:ascii="方正仿宋_GBK" w:hAnsi="仿宋_GB2312" w:eastAsia="方正仿宋_GBK"/>
          <w:b/>
          <w:bCs/>
          <w:color w:val="000000"/>
          <w:sz w:val="32"/>
          <w:szCs w:val="32"/>
          <w:lang w:val="zh-CN"/>
        </w:rPr>
        <w:t>。</w:t>
      </w:r>
      <w:r>
        <w:rPr>
          <w:rFonts w:hint="eastAsia" w:ascii="方正仿宋_GBK" w:hAnsi="仿宋_GB2312" w:eastAsia="方正仿宋_GBK"/>
          <w:color w:val="000000"/>
          <w:sz w:val="32"/>
          <w:szCs w:val="32"/>
        </w:rPr>
        <w:t>加强入河排污口规范整治，从源头上实现污染源的控制，落实水资源保护、水污染防治的各项工作要求，促进水生态环境的改善，开展入河排污口规范整治专项行动，排污口规范化建设内容包括监测点的设置、标志牌的设置、在线监测系统及视频监控系统的构建等。</w:t>
      </w:r>
      <w:r>
        <w:rPr>
          <w:rFonts w:eastAsia="方正仿宋_GBK" w:cs="Times New Roman"/>
          <w:color w:val="000000"/>
          <w:sz w:val="32"/>
          <w:szCs w:val="32"/>
        </w:rPr>
        <w:t>到2025年，全部入河排污口实现规范化。</w:t>
      </w:r>
    </w:p>
    <w:p>
      <w:pPr>
        <w:spacing w:line="560" w:lineRule="exact"/>
        <w:ind w:firstLine="643" w:firstLineChars="200"/>
        <w:jc w:val="both"/>
        <w:rPr>
          <w:rFonts w:hint="eastAsia" w:ascii="方正仿宋_GBK" w:hAnsi="仿宋_GB2312" w:eastAsia="方正仿宋_GBK"/>
          <w:color w:val="000000"/>
          <w:sz w:val="32"/>
          <w:szCs w:val="32"/>
        </w:rPr>
      </w:pPr>
      <w:bookmarkStart w:id="386" w:name="_Toc24762"/>
      <w:r>
        <w:rPr>
          <w:rFonts w:hint="eastAsia" w:ascii="方正仿宋_GBK" w:hAnsi="仿宋_GB2312" w:eastAsia="方正仿宋_GBK"/>
          <w:b/>
          <w:bCs/>
          <w:color w:val="000000"/>
          <w:sz w:val="32"/>
          <w:szCs w:val="32"/>
          <w:lang w:val="zh-CN"/>
        </w:rPr>
        <w:t>全面提升城镇污染治理</w:t>
      </w:r>
      <w:r>
        <w:rPr>
          <w:rFonts w:hint="eastAsia" w:ascii="方正仿宋_GBK" w:hAnsi="仿宋_GB2312" w:eastAsia="方正仿宋_GBK"/>
          <w:b/>
          <w:bCs/>
          <w:color w:val="000000"/>
          <w:sz w:val="32"/>
          <w:szCs w:val="32"/>
        </w:rPr>
        <w:t>水平</w:t>
      </w:r>
      <w:bookmarkEnd w:id="386"/>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统筹城镇排水系统布局，完善雨污分流和污水收集系统，因地制宜建设污水再生利用和居民小区中水利用工程。新建城区开发建设，严格执行雨污水分流，同步达标配套雨水管泵和初期雨水治理设施。</w:t>
      </w:r>
      <w:bookmarkStart w:id="387" w:name="_Toc19337"/>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lang w:val="zh-CN"/>
        </w:rPr>
        <w:t>强化农业农村污染防治</w:t>
      </w:r>
      <w:bookmarkEnd w:id="387"/>
      <w:r>
        <w:rPr>
          <w:rFonts w:hint="eastAsia" w:ascii="方正仿宋_GBK" w:hAnsi="仿宋_GB2312" w:eastAsia="方正仿宋_GBK"/>
          <w:b/>
          <w:bCs/>
          <w:color w:val="000000"/>
          <w:sz w:val="32"/>
          <w:szCs w:val="32"/>
          <w:lang w:val="zh-CN"/>
        </w:rPr>
        <w:t>。</w:t>
      </w:r>
      <w:r>
        <w:rPr>
          <w:rFonts w:hint="eastAsia" w:ascii="方正仿宋_GBK" w:hAnsi="仿宋_GB2312" w:eastAsia="方正仿宋_GBK"/>
          <w:color w:val="000000"/>
          <w:sz w:val="32"/>
          <w:szCs w:val="32"/>
        </w:rPr>
        <w:t>重点控制畜禽、水产养殖污染。按照已划定畜禽禁养区，加强畜禽养殖的环境监管，严肃查处、清理整顿未执行环评和“三同时”制度、未办理排污许可证、不能达标排放的违法规模化畜禽养殖场。按照综合利用优先，资源化、无害化和减量化的原则，坚持农牧结合、种养平衡，大力推进县区畜禽养殖业污染防治，积极引导畜禽养殖专业户向规模化生态养殖场（小区）集中，鼓励规模化养殖场（小区）对污染物进行统一收集和处理，提高畜禽粪便资源化利用率。新建规模化畜禽养殖场和养殖区全部配套完善固体废物和污水贮存处理设施，满足达标排放要求；积极推动养殖业有机肥生产产业化，制定有机肥生产补贴政策，提高养殖业有机肥生产的积极性，同时鼓励农民使用有机肥。控制水产养殖强度，限制水产养殖投饵强度，鼓励发展池塘循环水养殖，逐步实现渔业池塘养殖尾水循环利用。</w:t>
      </w:r>
      <w:r>
        <w:rPr>
          <w:rFonts w:eastAsia="方正仿宋_GBK" w:cs="Times New Roman"/>
          <w:color w:val="000000"/>
          <w:sz w:val="32"/>
          <w:szCs w:val="32"/>
        </w:rPr>
        <w:t>到2025年，养殖废弃物资源化利用率达到90%以上，渔业养殖</w:t>
      </w:r>
      <w:r>
        <w:rPr>
          <w:rFonts w:hint="eastAsia" w:ascii="方正仿宋_GBK" w:hAnsi="仿宋_GB2312" w:eastAsia="方正仿宋_GBK"/>
          <w:color w:val="000000"/>
          <w:sz w:val="32"/>
          <w:szCs w:val="32"/>
        </w:rPr>
        <w:t>废水不外排。</w:t>
      </w:r>
    </w:p>
    <w:p>
      <w:pPr>
        <w:spacing w:line="560" w:lineRule="exact"/>
        <w:ind w:firstLine="643" w:firstLineChars="200"/>
        <w:jc w:val="both"/>
        <w:rPr>
          <w:rFonts w:eastAsia="方正仿宋_GBK" w:cs="Times New Roman"/>
          <w:color w:val="000000"/>
          <w:sz w:val="32"/>
          <w:szCs w:val="32"/>
        </w:rPr>
      </w:pPr>
      <w:r>
        <w:rPr>
          <w:rFonts w:hint="eastAsia" w:ascii="方正仿宋_GBK" w:hAnsi="仿宋_GB2312" w:eastAsia="方正仿宋_GBK"/>
          <w:b/>
          <w:bCs/>
          <w:color w:val="000000"/>
          <w:sz w:val="32"/>
          <w:szCs w:val="32"/>
        </w:rPr>
        <w:t>加强种植业污染防治。</w:t>
      </w:r>
      <w:r>
        <w:rPr>
          <w:rFonts w:hint="eastAsia" w:ascii="方正仿宋_GBK" w:hAnsi="仿宋_GB2312" w:eastAsia="方正仿宋_GBK"/>
          <w:color w:val="000000"/>
          <w:sz w:val="32"/>
          <w:szCs w:val="32"/>
        </w:rPr>
        <w:t>加快循环型和节水型农业建设。加强农业面源污染控制，全面推广测土配方施肥，提高肥料利用效率，大力推广使用有机肥。引导和鼓励农民使用生物农药或高效、低毒、低残留农药和广节肥节药技术，减少农药用量。加强农业废弃物无害化处理和资源化利用能力建设，积极发展生态农业和现代设施农业。大力推进生态循环农业生产基地、无公害农产品、绿色食品和有机食品种植基地建设。</w:t>
      </w:r>
      <w:bookmarkStart w:id="388" w:name="_Toc280337477"/>
      <w:r>
        <w:rPr>
          <w:rFonts w:eastAsia="方正仿宋_GBK" w:cs="Times New Roman"/>
          <w:color w:val="000000"/>
          <w:sz w:val="32"/>
          <w:szCs w:val="32"/>
        </w:rPr>
        <w:t>到2025年，化肥农药使用量在2020年基础上保持零增长。</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深入开展农村生活污水整治</w:t>
      </w:r>
      <w:bookmarkEnd w:id="388"/>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进一步提升农村生活污水收集率、处理率。针对有条件接入市政管网的村庄将生活污水接入城市污水处理厂进行集中收集处理；针对距离城市污水主管网较远、自然村居住相对集中、主管网敷设里程长、造价高、没有条件将生活污水接入城市污水处理厂的村落，建设村内污水管网以及小型集中污水处理设施，实现农村生活污水的集中收集处理，处理后的尾水尽量综合利用。</w:t>
      </w:r>
      <w:r>
        <w:rPr>
          <w:rFonts w:eastAsia="方正仿宋_GBK" w:cs="Times New Roman"/>
          <w:color w:val="000000"/>
          <w:sz w:val="32"/>
          <w:szCs w:val="32"/>
        </w:rPr>
        <w:t>到2025年，农村污水处理率达到40%以上，日处理设计规模20吨及以上农村生活污水处理设施基本实现标准化运维，出水符合《农村生活污水处理设施水污染物排放标准》（GB64/700-2020）要求。</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389" w:name="_Toc16530"/>
      <w:bookmarkStart w:id="390" w:name="_Toc26404"/>
      <w:bookmarkStart w:id="391" w:name="_Toc3802"/>
      <w:bookmarkStart w:id="392" w:name="_Toc5024"/>
      <w:bookmarkStart w:id="393" w:name="_Toc18371"/>
      <w:bookmarkStart w:id="394" w:name="_Toc5495"/>
      <w:bookmarkStart w:id="395" w:name="_Toc3818"/>
      <w:r>
        <w:rPr>
          <w:rFonts w:eastAsia="方正仿宋_GBK" w:cs="Times New Roman"/>
          <w:color w:val="000000"/>
          <w:sz w:val="32"/>
        </w:rPr>
        <w:t>4.水生态保护</w:t>
      </w:r>
      <w:r>
        <w:rPr>
          <w:rFonts w:hint="eastAsia" w:ascii="方正仿宋_GBK" w:hAnsi="仿宋" w:eastAsia="方正仿宋_GBK" w:cs="仿宋"/>
          <w:color w:val="000000"/>
          <w:sz w:val="32"/>
        </w:rPr>
        <w:t>与修复</w:t>
      </w:r>
      <w:bookmarkEnd w:id="389"/>
      <w:bookmarkEnd w:id="390"/>
      <w:bookmarkEnd w:id="391"/>
      <w:bookmarkEnd w:id="392"/>
      <w:bookmarkEnd w:id="393"/>
      <w:bookmarkEnd w:id="394"/>
      <w:bookmarkEnd w:id="395"/>
    </w:p>
    <w:p>
      <w:pPr>
        <w:spacing w:line="560" w:lineRule="exact"/>
        <w:ind w:firstLine="643" w:firstLineChars="200"/>
        <w:jc w:val="both"/>
        <w:rPr>
          <w:rFonts w:hint="eastAsia" w:ascii="方正仿宋_GBK" w:hAnsi="仿宋_GB2312" w:eastAsia="方正仿宋_GBK"/>
          <w:color w:val="000000"/>
          <w:sz w:val="32"/>
          <w:szCs w:val="32"/>
        </w:rPr>
      </w:pPr>
      <w:bookmarkStart w:id="396" w:name="_Toc391230634"/>
      <w:bookmarkStart w:id="397" w:name="_Toc30108"/>
      <w:r>
        <w:rPr>
          <w:rFonts w:hint="eastAsia" w:ascii="方正仿宋_GBK" w:hAnsi="仿宋_GB2312" w:eastAsia="方正仿宋_GBK"/>
          <w:b/>
          <w:bCs/>
          <w:color w:val="000000"/>
          <w:sz w:val="32"/>
          <w:szCs w:val="32"/>
        </w:rPr>
        <w:t>提高水源涵养</w:t>
      </w:r>
      <w:bookmarkEnd w:id="396"/>
      <w:r>
        <w:rPr>
          <w:rFonts w:hint="eastAsia" w:ascii="方正仿宋_GBK" w:hAnsi="仿宋_GB2312" w:eastAsia="方正仿宋_GBK"/>
          <w:b/>
          <w:bCs/>
          <w:color w:val="000000"/>
          <w:sz w:val="32"/>
          <w:szCs w:val="32"/>
        </w:rPr>
        <w:t>能力</w:t>
      </w:r>
      <w:bookmarkEnd w:id="397"/>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在贺兰山东麓重点建设山前洪积扇水土保持林生态功能区，大力实施天然林保护等重点工程，加大围栏封育工作力度，采取封育加补植旱生灌木的措施，提高植被覆盖度，达到改善生态、保持水土、涵养水源的目的。坚守贺兰山生态保护的红线底线，坚持“山水林田湖草沙”综合治理、系统治理，统筹推进各项工作，提高区域生态保护功能。完成完善贺兰山采煤迹地的生态恢复工作，通过地形修复、覆土改造、植被恢复，让“父亲山”恢复生机；重视贺兰山大水沟、小水沟等沟道流域集水区的植被恢复，以灌木、草本植物为主，提高植被覆盖，增强涵养水源能力；沿山建设拦洪坝、蓄洪库等水保工程，延长水文过程，减小洪峰流量，降低山洪危害。在黄河右岸持续治理沙化土地，改善区域生态环境，减少风沙入黄量。</w:t>
      </w:r>
    </w:p>
    <w:p>
      <w:pPr>
        <w:spacing w:line="560" w:lineRule="exact"/>
        <w:ind w:firstLine="643" w:firstLineChars="200"/>
        <w:jc w:val="both"/>
        <w:rPr>
          <w:rFonts w:eastAsia="方正仿宋_GBK" w:cs="Times New Roman"/>
          <w:color w:val="000000"/>
          <w:sz w:val="32"/>
          <w:szCs w:val="32"/>
        </w:rPr>
      </w:pPr>
      <w:r>
        <w:rPr>
          <w:rFonts w:hint="eastAsia" w:ascii="方正仿宋_GBK" w:hAnsi="仿宋_GB2312" w:eastAsia="方正仿宋_GBK"/>
          <w:b/>
          <w:bCs/>
          <w:color w:val="000000"/>
          <w:sz w:val="32"/>
          <w:szCs w:val="32"/>
        </w:rPr>
        <w:t>加强黄河平罗段重点渔业资源的保护。</w:t>
      </w:r>
      <w:r>
        <w:rPr>
          <w:rFonts w:hint="eastAsia" w:ascii="方正仿宋_GBK" w:hAnsi="仿宋_GB2312" w:eastAsia="方正仿宋_GBK"/>
          <w:color w:val="000000"/>
          <w:sz w:val="32"/>
          <w:szCs w:val="32"/>
        </w:rPr>
        <w:t>黄河平罗段保护重点鱼类为北方铜鱼、大鼻吻鮈、兰州鲶、黄河鮈、黄河雅罗鱼等物种。</w:t>
      </w:r>
      <w:r>
        <w:rPr>
          <w:rFonts w:eastAsia="方正仿宋_GBK" w:cs="Times New Roman"/>
          <w:color w:val="000000"/>
          <w:sz w:val="32"/>
          <w:szCs w:val="32"/>
        </w:rPr>
        <w:t>每年5月1日至7月31日，坚持黄河宁夏段实行休渔期制度。根据《全国重要生态系统保护和修复重大工程总体规划（2021—2035年）》要求，在适合渔业资源增殖水域 ，重点针对已衰退的黄河鲤、黄河鲶等重要渔业资源品种， 每年开展1—2次人工增殖放流，不断扩大增殖品种、数量和范围。</w:t>
      </w:r>
    </w:p>
    <w:p>
      <w:pPr>
        <w:spacing w:line="560" w:lineRule="exact"/>
        <w:ind w:firstLine="643" w:firstLineChars="200"/>
        <w:jc w:val="both"/>
        <w:rPr>
          <w:rFonts w:eastAsia="方正仿宋_GBK" w:cs="Times New Roman"/>
          <w:color w:val="000000"/>
          <w:sz w:val="32"/>
          <w:szCs w:val="32"/>
        </w:rPr>
      </w:pPr>
      <w:r>
        <w:rPr>
          <w:rFonts w:hint="eastAsia" w:ascii="方正仿宋_GBK" w:hAnsi="仿宋_GB2312" w:eastAsia="方正仿宋_GBK"/>
          <w:b/>
          <w:bCs/>
          <w:color w:val="000000"/>
          <w:sz w:val="32"/>
          <w:szCs w:val="32"/>
        </w:rPr>
        <w:t>沙湖水生态系统修复。</w:t>
      </w:r>
      <w:r>
        <w:rPr>
          <w:rFonts w:hint="eastAsia" w:ascii="方正仿宋_GBK" w:hAnsi="仿宋_GB2312" w:eastAsia="方正仿宋_GBK"/>
          <w:color w:val="000000"/>
          <w:sz w:val="32"/>
          <w:szCs w:val="32"/>
        </w:rPr>
        <w:t>沙湖水质得到初步改善后，宜调整鱼类种群结构并构建底栖动物种群，以优化湖泊生态系统。沙湖实施水生态恢复时，应通过生物控制减小对湖泊水质的破坏，重点是调整鱼类种群结构。鱼类的放养以滤食藻类的白鲢为主；底栖动物种群的恢复主要结合沉水植被的恢复进行，通过在沉水植被恢复区放养大型软体动物（如螺和蚌），丰富功能摄食类群，增加物种多样性，以构建完善的水生生物食物链，为恢复健康稳定的水生态系统奠定基础。放养的底栖动物种类以螺类为主。到</w:t>
      </w:r>
      <w:r>
        <w:rPr>
          <w:rFonts w:eastAsia="方正仿宋_GBK" w:cs="Times New Roman"/>
          <w:color w:val="000000"/>
          <w:sz w:val="32"/>
          <w:szCs w:val="32"/>
        </w:rPr>
        <w:t>2025年，沙湖底栖动物完整性指数（B-BIBI）大于7.429。</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加强湿地植物保护与恢复。</w:t>
      </w:r>
      <w:r>
        <w:rPr>
          <w:rFonts w:hint="eastAsia" w:ascii="方正仿宋_GBK" w:hAnsi="仿宋_GB2312" w:eastAsia="方正仿宋_GBK"/>
          <w:color w:val="000000"/>
          <w:sz w:val="32"/>
          <w:szCs w:val="32"/>
        </w:rPr>
        <w:t>严格限制忽视水资源支撑条件下实施湿地过度修复、重建，避免湿地过度修复影响流域湿地整体功能正常发挥。选用乡土水湿生植物，修复河、湖岸带植被及河滩湿地自然景观，修复退化的河、湖岸带植被，充分发挥河岸带植被护堤护岸、涵养水源、净化水质的生态功能。同时，重视河岸植被缓冲带生态系统的管理工作。河、湖生态修复的重点对象包括黄河平罗段、典农河、沙湖、瀚泉海、镇朔湖等湖库，修复主要河湖岸带湿地植被带，修复和营造自然生态性河岸，恢复和重建河滩湿地，为水生生物提供栖息繁衍场所。推进区域内国家和自治区级湿地公园建设与管理工作，提高管理水平，启动重要湿地保护区能力建设工程，对沙湖进行水质、水量与物种资源的监测与管理，科学掌握资源变化情况，进一步提高湿地的管护、科研、监测与宣教能力。</w:t>
      </w:r>
      <w:r>
        <w:rPr>
          <w:rFonts w:eastAsia="方正仿宋_GBK" w:cs="Times New Roman"/>
          <w:color w:val="000000"/>
          <w:sz w:val="32"/>
          <w:szCs w:val="32"/>
        </w:rPr>
        <w:t>到2025年前，沙湖满足水质目标要</w:t>
      </w:r>
      <w:r>
        <w:rPr>
          <w:rFonts w:hint="eastAsia" w:ascii="方正仿宋_GBK" w:hAnsi="仿宋_GB2312" w:eastAsia="方正仿宋_GBK"/>
          <w:color w:val="000000"/>
          <w:sz w:val="32"/>
          <w:szCs w:val="32"/>
        </w:rPr>
        <w:t>求。</w:t>
      </w:r>
    </w:p>
    <w:p>
      <w:pPr>
        <w:spacing w:line="560" w:lineRule="exact"/>
        <w:ind w:firstLine="643" w:firstLineChars="200"/>
        <w:jc w:val="both"/>
        <w:rPr>
          <w:rFonts w:hint="eastAsia" w:ascii="方正仿宋_GBK" w:hAnsi="仿宋_GB2312" w:eastAsia="方正仿宋_GBK"/>
          <w:color w:val="000000"/>
          <w:sz w:val="32"/>
          <w:szCs w:val="32"/>
        </w:rPr>
      </w:pPr>
      <w:bookmarkStart w:id="398" w:name="_Toc5957"/>
      <w:r>
        <w:rPr>
          <w:rFonts w:hint="eastAsia" w:ascii="方正仿宋_GBK" w:hAnsi="仿宋_GB2312" w:eastAsia="方正仿宋_GBK"/>
          <w:b/>
          <w:bCs/>
          <w:color w:val="000000"/>
          <w:sz w:val="32"/>
          <w:szCs w:val="32"/>
        </w:rPr>
        <w:t>严格河湖岸线管控</w:t>
      </w:r>
      <w:bookmarkEnd w:id="398"/>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以黄河、沙湖、典农河、第五排水沟和三二支沟平罗段等为重点，贯彻落实河湖长制，按照河湖岸线确权划界范围对河湖进行保护，开展清理非法占用河滩地种植农作物和经营活动；建设全方位信息化动态监控体系，建立健全评价预警机制；规范涉河建设项目管理，强化涉河建设项目监管。</w:t>
      </w:r>
    </w:p>
    <w:p>
      <w:pPr>
        <w:pStyle w:val="4"/>
        <w:keepNext w:val="0"/>
        <w:keepLines w:val="0"/>
        <w:spacing w:line="560" w:lineRule="exact"/>
        <w:ind w:firstLine="643" w:firstLineChars="200"/>
        <w:jc w:val="both"/>
        <w:rPr>
          <w:rFonts w:hint="eastAsia" w:ascii="方正楷体_GBK" w:hAnsi="楷体" w:eastAsia="方正楷体_GBK" w:cs="楷体"/>
          <w:color w:val="000000"/>
          <w:sz w:val="32"/>
        </w:rPr>
      </w:pPr>
      <w:bookmarkStart w:id="399" w:name="_Toc28292"/>
      <w:bookmarkStart w:id="400" w:name="_Toc30082"/>
      <w:bookmarkStart w:id="401" w:name="_Toc19846"/>
      <w:bookmarkStart w:id="402" w:name="_Toc8846"/>
      <w:bookmarkStart w:id="403" w:name="_Toc21108"/>
      <w:bookmarkStart w:id="404" w:name="_Toc6727"/>
      <w:bookmarkStart w:id="405" w:name="_Toc12248"/>
      <w:bookmarkStart w:id="406" w:name="_Toc8641"/>
      <w:r>
        <w:rPr>
          <w:rFonts w:hint="eastAsia" w:ascii="方正楷体_GBK" w:hAnsi="楷体" w:eastAsia="方正楷体_GBK" w:cs="楷体"/>
          <w:color w:val="000000"/>
          <w:sz w:val="32"/>
        </w:rPr>
        <w:t>（三）加大噪声污染防治，确保声环境达标</w:t>
      </w:r>
      <w:bookmarkEnd w:id="399"/>
      <w:bookmarkEnd w:id="400"/>
      <w:bookmarkEnd w:id="401"/>
      <w:bookmarkEnd w:id="402"/>
      <w:bookmarkEnd w:id="403"/>
      <w:bookmarkEnd w:id="404"/>
      <w:bookmarkEnd w:id="405"/>
      <w:bookmarkEnd w:id="406"/>
    </w:p>
    <w:p>
      <w:pPr>
        <w:pStyle w:val="14"/>
        <w:tabs>
          <w:tab w:val="left" w:pos="731"/>
          <w:tab w:val="left" w:pos="2455"/>
        </w:tabs>
        <w:spacing w:after="0" w:line="560" w:lineRule="exact"/>
        <w:ind w:firstLine="643" w:firstLineChars="200"/>
        <w:jc w:val="both"/>
        <w:outlineLvl w:val="2"/>
        <w:rPr>
          <w:rStyle w:val="15"/>
          <w:rFonts w:ascii="Times New Roman" w:hAnsi="Times New Roman" w:eastAsia="方正仿宋_GBK" w:cs="Times New Roman"/>
          <w:color w:val="000000"/>
          <w:sz w:val="32"/>
          <w:szCs w:val="32"/>
        </w:rPr>
      </w:pPr>
      <w:bookmarkStart w:id="407" w:name="_Toc4824"/>
      <w:bookmarkStart w:id="408" w:name="_Toc9377"/>
      <w:bookmarkStart w:id="409" w:name="_Toc3972"/>
      <w:bookmarkStart w:id="410" w:name="_Toc8150"/>
      <w:r>
        <w:rPr>
          <w:rStyle w:val="15"/>
          <w:rFonts w:ascii="Times New Roman" w:hAnsi="Times New Roman" w:eastAsia="方正仿宋_GBK" w:cs="Times New Roman"/>
          <w:color w:val="000000"/>
          <w:sz w:val="32"/>
          <w:szCs w:val="32"/>
        </w:rPr>
        <w:t>1.加大噪声监测</w:t>
      </w:r>
      <w:bookmarkEnd w:id="407"/>
      <w:bookmarkEnd w:id="408"/>
      <w:bookmarkEnd w:id="409"/>
    </w:p>
    <w:bookmarkEnd w:id="410"/>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划定平罗县城市声环境功能区，加强声环境质量监测，提高环境噪声监测能力，及时掌握全县声环境质量、了解区域内主要噪声源。</w:t>
      </w:r>
    </w:p>
    <w:p>
      <w:pPr>
        <w:pStyle w:val="14"/>
        <w:tabs>
          <w:tab w:val="left" w:pos="731"/>
          <w:tab w:val="left" w:pos="2455"/>
        </w:tabs>
        <w:spacing w:after="0" w:line="560" w:lineRule="exact"/>
        <w:ind w:firstLine="643" w:firstLineChars="200"/>
        <w:jc w:val="both"/>
        <w:outlineLvl w:val="2"/>
        <w:rPr>
          <w:rStyle w:val="15"/>
          <w:rFonts w:ascii="Times New Roman" w:hAnsi="Times New Roman" w:eastAsia="方正仿宋_GBK" w:cs="Times New Roman"/>
          <w:color w:val="000000"/>
          <w:sz w:val="32"/>
          <w:szCs w:val="32"/>
        </w:rPr>
      </w:pPr>
      <w:bookmarkStart w:id="411" w:name="_Toc21788"/>
      <w:bookmarkStart w:id="412" w:name="_Toc26691"/>
      <w:bookmarkStart w:id="413" w:name="_Toc15813"/>
      <w:bookmarkStart w:id="414" w:name="_Toc7270"/>
      <w:r>
        <w:rPr>
          <w:rStyle w:val="15"/>
          <w:rFonts w:ascii="Times New Roman" w:hAnsi="Times New Roman" w:eastAsia="方正仿宋_GBK" w:cs="Times New Roman"/>
          <w:color w:val="000000"/>
          <w:sz w:val="32"/>
          <w:szCs w:val="32"/>
        </w:rPr>
        <w:t>2.加强交通噪声治理</w:t>
      </w:r>
      <w:bookmarkEnd w:id="411"/>
      <w:bookmarkEnd w:id="412"/>
      <w:bookmarkEnd w:id="413"/>
    </w:p>
    <w:bookmarkEnd w:id="414"/>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加强对主要公路主干道和辅道两侧绿化隔离缓冲带的建设，严格控制主要交通干线两侧居住用地以及医疗、文教等噪声敏感区域设置。强化禁鸣区管理。不断优化路面改造技术，积极采取路面结构改造、加装隔声屏等工程措施防治交通噪声污染。</w:t>
      </w:r>
    </w:p>
    <w:p>
      <w:pPr>
        <w:pStyle w:val="14"/>
        <w:tabs>
          <w:tab w:val="left" w:pos="731"/>
          <w:tab w:val="left" w:pos="2455"/>
        </w:tabs>
        <w:spacing w:after="0" w:line="560" w:lineRule="exact"/>
        <w:ind w:firstLine="643" w:firstLineChars="200"/>
        <w:jc w:val="both"/>
        <w:outlineLvl w:val="2"/>
        <w:rPr>
          <w:rStyle w:val="15"/>
          <w:rFonts w:hint="eastAsia" w:ascii="方正仿宋_GBK" w:hAnsi="仿宋" w:eastAsia="方正仿宋_GBK" w:cs="仿宋"/>
          <w:color w:val="000000"/>
          <w:sz w:val="32"/>
          <w:szCs w:val="32"/>
        </w:rPr>
      </w:pPr>
      <w:bookmarkStart w:id="415" w:name="_Toc4227"/>
      <w:bookmarkStart w:id="416" w:name="_Toc14849"/>
      <w:bookmarkStart w:id="417" w:name="_Toc24751"/>
      <w:bookmarkStart w:id="418" w:name="_Toc25428"/>
      <w:r>
        <w:rPr>
          <w:rStyle w:val="15"/>
          <w:rFonts w:ascii="Times New Roman" w:hAnsi="Times New Roman" w:eastAsia="方正仿宋_GBK" w:cs="Times New Roman"/>
          <w:color w:val="000000"/>
          <w:sz w:val="32"/>
          <w:szCs w:val="32"/>
        </w:rPr>
        <w:t>3.加大生活</w:t>
      </w:r>
      <w:r>
        <w:rPr>
          <w:rStyle w:val="15"/>
          <w:rFonts w:hint="eastAsia" w:ascii="方正仿宋_GBK" w:hAnsi="仿宋" w:eastAsia="方正仿宋_GBK" w:cs="仿宋"/>
          <w:color w:val="000000"/>
          <w:sz w:val="32"/>
          <w:szCs w:val="32"/>
        </w:rPr>
        <w:t>噪声防控</w:t>
      </w:r>
      <w:bookmarkEnd w:id="415"/>
      <w:bookmarkEnd w:id="416"/>
      <w:bookmarkEnd w:id="417"/>
    </w:p>
    <w:bookmarkEnd w:id="418"/>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严格执行声环境功能区划要求，强化对营业性娱乐行业和饮食服务业噪声控制，加强对歌舞厅、卡拉OK厅等娱乐场所的管理，文化娱乐场所的边界噪声不得超过环境噪声标准。严格控制区内机动车乱鸣笛、汽车报警器所产生的噪声，禁止任何单位和个人在居住区、文教区、商业区使用高音喇叭。</w:t>
      </w:r>
    </w:p>
    <w:p>
      <w:pPr>
        <w:pStyle w:val="14"/>
        <w:tabs>
          <w:tab w:val="left" w:pos="731"/>
          <w:tab w:val="left" w:pos="2455"/>
        </w:tabs>
        <w:spacing w:after="0" w:line="560" w:lineRule="exact"/>
        <w:ind w:firstLine="643" w:firstLineChars="200"/>
        <w:jc w:val="both"/>
        <w:outlineLvl w:val="2"/>
        <w:rPr>
          <w:rStyle w:val="15"/>
          <w:rFonts w:ascii="Times New Roman" w:hAnsi="Times New Roman" w:eastAsia="方正仿宋_GBK" w:cs="Times New Roman"/>
          <w:color w:val="000000"/>
          <w:sz w:val="32"/>
          <w:szCs w:val="32"/>
        </w:rPr>
      </w:pPr>
      <w:bookmarkStart w:id="419" w:name="_Toc9042"/>
      <w:bookmarkStart w:id="420" w:name="_Toc4392"/>
      <w:bookmarkStart w:id="421" w:name="_Toc16453"/>
      <w:bookmarkStart w:id="422" w:name="_Toc19996"/>
      <w:r>
        <w:rPr>
          <w:rStyle w:val="15"/>
          <w:rFonts w:ascii="Times New Roman" w:hAnsi="Times New Roman" w:eastAsia="方正仿宋_GBK" w:cs="Times New Roman"/>
          <w:color w:val="000000"/>
          <w:sz w:val="32"/>
          <w:szCs w:val="32"/>
        </w:rPr>
        <w:t>4.加强工业噪声控制</w:t>
      </w:r>
      <w:bookmarkEnd w:id="419"/>
      <w:bookmarkEnd w:id="420"/>
      <w:bookmarkEnd w:id="421"/>
    </w:p>
    <w:bookmarkEnd w:id="422"/>
    <w:p>
      <w:pPr>
        <w:spacing w:line="560" w:lineRule="exact"/>
        <w:ind w:firstLine="640" w:firstLineChars="200"/>
        <w:jc w:val="both"/>
        <w:rPr>
          <w:rFonts w:hint="eastAsia" w:ascii="方正仿宋_GBK" w:hAnsi="仿宋_GB2312" w:eastAsia="方正仿宋_GBK"/>
          <w:color w:val="000000"/>
          <w:sz w:val="32"/>
          <w:szCs w:val="32"/>
        </w:rPr>
      </w:pPr>
      <w:r>
        <w:rPr>
          <w:rFonts w:eastAsia="方正仿宋_GBK" w:cs="Times New Roman"/>
          <w:color w:val="000000"/>
          <w:sz w:val="32"/>
          <w:szCs w:val="32"/>
        </w:rPr>
        <w:t>对存在噪声</w:t>
      </w:r>
      <w:r>
        <w:rPr>
          <w:rFonts w:hint="eastAsia" w:ascii="方正仿宋_GBK" w:hAnsi="仿宋_GB2312" w:eastAsia="方正仿宋_GBK"/>
          <w:color w:val="000000"/>
          <w:sz w:val="32"/>
          <w:szCs w:val="32"/>
        </w:rPr>
        <w:t>污染的工业企业应限期治理，在噪声敏感区域内的高噪声企业必须搬迁。优化工业区内企业布局，将高噪声污染的企业与噪声水平较低的企业分开布置，对于特别强烈的噪声源，应将其布置在厂区比较边远的位置，噪声污染突出的企业应布置在整个工业区的边缘，处于远离居住区方向，使噪声得到最大限度地自然衰减。加强企业及园区配套绿化建设，提高绿化覆盖率，在工业区、商业区和居民区间增加设置绿化隔离带。</w:t>
      </w:r>
    </w:p>
    <w:p>
      <w:pPr>
        <w:pStyle w:val="14"/>
        <w:tabs>
          <w:tab w:val="left" w:pos="731"/>
          <w:tab w:val="left" w:pos="2455"/>
        </w:tabs>
        <w:spacing w:after="0" w:line="560" w:lineRule="exact"/>
        <w:ind w:firstLine="643" w:firstLineChars="200"/>
        <w:jc w:val="both"/>
        <w:outlineLvl w:val="2"/>
        <w:rPr>
          <w:rStyle w:val="15"/>
          <w:rFonts w:ascii="Times New Roman" w:hAnsi="Times New Roman" w:eastAsia="方正仿宋_GBK" w:cs="Times New Roman"/>
          <w:color w:val="000000"/>
          <w:sz w:val="32"/>
          <w:szCs w:val="32"/>
        </w:rPr>
      </w:pPr>
      <w:bookmarkStart w:id="423" w:name="_Toc1709"/>
      <w:bookmarkStart w:id="424" w:name="_Toc2639"/>
      <w:bookmarkStart w:id="425" w:name="_Toc31747"/>
      <w:bookmarkStart w:id="426" w:name="_Toc11959"/>
      <w:r>
        <w:rPr>
          <w:rStyle w:val="15"/>
          <w:rFonts w:ascii="Times New Roman" w:hAnsi="Times New Roman" w:eastAsia="方正仿宋_GBK" w:cs="Times New Roman"/>
          <w:color w:val="000000"/>
          <w:sz w:val="32"/>
          <w:szCs w:val="32"/>
        </w:rPr>
        <w:t>5.严控建筑施工噪声</w:t>
      </w:r>
      <w:bookmarkEnd w:id="423"/>
      <w:bookmarkEnd w:id="424"/>
      <w:bookmarkEnd w:id="425"/>
    </w:p>
    <w:bookmarkEnd w:id="426"/>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推广使用低噪声施工机具、设备和工艺，合理布置施工机具、设备和安排施工时间。施工作业场地夜间22时至次日6时禁止产生环境噪声污染的建筑施工；不得不进行夜间施工（如抢修）时，严禁使用噪声大的施工机械设备。加强施工作业场地噪声防护，在噪声严重的施工现场，应设置足够高度的围墙、挡板、树木来衰减噪声。</w:t>
      </w:r>
    </w:p>
    <w:p>
      <w:pPr>
        <w:pStyle w:val="14"/>
        <w:tabs>
          <w:tab w:val="left" w:pos="731"/>
          <w:tab w:val="left" w:pos="2455"/>
        </w:tabs>
        <w:spacing w:after="0" w:line="560" w:lineRule="exact"/>
        <w:ind w:firstLine="643" w:firstLineChars="200"/>
        <w:jc w:val="both"/>
        <w:outlineLvl w:val="2"/>
        <w:rPr>
          <w:rStyle w:val="15"/>
          <w:rFonts w:ascii="Times New Roman" w:hAnsi="Times New Roman" w:eastAsia="方正仿宋_GBK" w:cs="Times New Roman"/>
          <w:color w:val="000000"/>
          <w:sz w:val="32"/>
          <w:szCs w:val="32"/>
        </w:rPr>
      </w:pPr>
      <w:bookmarkStart w:id="427" w:name="_Toc1228"/>
      <w:bookmarkStart w:id="428" w:name="_Toc24082"/>
      <w:bookmarkStart w:id="429" w:name="_Toc15494"/>
      <w:bookmarkStart w:id="430" w:name="_Toc19197"/>
      <w:r>
        <w:rPr>
          <w:rStyle w:val="15"/>
          <w:rFonts w:ascii="Times New Roman" w:hAnsi="Times New Roman" w:eastAsia="方正仿宋_GBK" w:cs="Times New Roman"/>
          <w:color w:val="000000"/>
          <w:sz w:val="32"/>
          <w:szCs w:val="32"/>
        </w:rPr>
        <w:t>6.开展重点噪声源整治</w:t>
      </w:r>
      <w:bookmarkEnd w:id="427"/>
      <w:bookmarkEnd w:id="428"/>
      <w:bookmarkEnd w:id="429"/>
    </w:p>
    <w:bookmarkEnd w:id="430"/>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结合全县噪声监测点位监测数据和噪声信访投诉记录，</w:t>
      </w:r>
      <w:r>
        <w:rPr>
          <w:rFonts w:eastAsia="方正仿宋_GBK" w:cs="Times New Roman"/>
          <w:color w:val="000000"/>
          <w:sz w:val="32"/>
          <w:szCs w:val="32"/>
        </w:rPr>
        <w:t>识别全县重点噪声污染源，开展重点噪声污染源整治。到2025年全部完成整治，全县区域环境噪声点位、道路交通监测点位和功能区噪声达标率达到95%以上。</w:t>
      </w:r>
    </w:p>
    <w:p>
      <w:pPr>
        <w:pStyle w:val="4"/>
        <w:keepNext w:val="0"/>
        <w:keepLines w:val="0"/>
        <w:spacing w:line="560" w:lineRule="exact"/>
        <w:ind w:firstLine="643" w:firstLineChars="200"/>
        <w:jc w:val="both"/>
        <w:rPr>
          <w:rFonts w:hint="eastAsia" w:ascii="方正楷体_GBK" w:hAnsi="楷体" w:eastAsia="方正楷体_GBK" w:cs="楷体"/>
          <w:color w:val="000000"/>
          <w:sz w:val="32"/>
        </w:rPr>
      </w:pPr>
      <w:bookmarkStart w:id="431" w:name="_Toc25750"/>
      <w:bookmarkStart w:id="432" w:name="_Toc18868"/>
      <w:bookmarkStart w:id="433" w:name="_Toc24590"/>
      <w:bookmarkStart w:id="434" w:name="_Toc428"/>
      <w:bookmarkStart w:id="435" w:name="_Toc16278"/>
      <w:bookmarkStart w:id="436" w:name="_Toc2086"/>
      <w:bookmarkStart w:id="437" w:name="_Toc6427"/>
      <w:bookmarkStart w:id="438" w:name="_Toc1122"/>
      <w:r>
        <w:rPr>
          <w:rFonts w:hint="eastAsia" w:ascii="方正楷体_GBK" w:hAnsi="楷体" w:eastAsia="方正楷体_GBK" w:cs="楷体"/>
          <w:color w:val="000000"/>
          <w:sz w:val="32"/>
        </w:rPr>
        <w:t>（四）加强源头防控，保障土壤环境安全</w:t>
      </w:r>
      <w:bookmarkEnd w:id="431"/>
      <w:bookmarkEnd w:id="432"/>
      <w:bookmarkEnd w:id="433"/>
      <w:bookmarkEnd w:id="434"/>
      <w:bookmarkEnd w:id="435"/>
      <w:bookmarkEnd w:id="436"/>
      <w:bookmarkEnd w:id="437"/>
      <w:bookmarkEnd w:id="438"/>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持续打好净土保卫战，健全土壤监测网络体系，统筹推进建筑垃圾、生活垃圾、危险废物、畜禽粪便、工业固废、电子废弃物“六废联治”，深化“清废行动”，严控工矿固废污染。</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439" w:name="_Toc28259"/>
      <w:bookmarkStart w:id="440" w:name="_Toc13366"/>
      <w:bookmarkStart w:id="441" w:name="_Toc3789"/>
      <w:bookmarkStart w:id="442" w:name="_Toc19802"/>
      <w:r>
        <w:rPr>
          <w:rFonts w:eastAsia="方正仿宋_GBK" w:cs="Times New Roman"/>
          <w:color w:val="000000"/>
          <w:sz w:val="32"/>
        </w:rPr>
        <w:t>1.划定优先保</w:t>
      </w:r>
      <w:r>
        <w:rPr>
          <w:rFonts w:hint="eastAsia" w:ascii="方正仿宋_GBK" w:hAnsi="仿宋" w:eastAsia="方正仿宋_GBK" w:cs="仿宋"/>
          <w:color w:val="000000"/>
          <w:sz w:val="32"/>
        </w:rPr>
        <w:t>护区域</w:t>
      </w:r>
      <w:bookmarkEnd w:id="439"/>
      <w:bookmarkEnd w:id="440"/>
      <w:bookmarkEnd w:id="441"/>
      <w:bookmarkEnd w:id="442"/>
      <w:r>
        <w:rPr>
          <w:rFonts w:hint="eastAsia" w:ascii="方正仿宋_GBK" w:hAnsi="仿宋" w:eastAsia="方正仿宋_GBK" w:cs="仿宋"/>
          <w:color w:val="000000"/>
          <w:sz w:val="32"/>
        </w:rPr>
        <w:t xml:space="preserve">  </w:t>
      </w:r>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按照“集中连片、动态调整、总量不减”的原则，将永久基本农田集中片区和饮用水水源地划定为土壤环境保护优先区域。禁止在土壤环境保护优先区域内新建污染性项目，严格控制在土壤环境保护优先区域周边新建严重影响土壤环境质量的项目，防止周边区域大气污染物沉降影响土壤环境质量。加强土壤环境保护优先区域农药、化肥、农膜等农用投入品使用的环境监管。设置土壤环境保护优先区域环境质量监控点位，实施定期监测。开展土壤环境保护优先区域及其周边重点土壤污染源排查，以涉及重点防控污染物排放的国控、区控重点污染源为对象，对污染物种类、产排污量以及日常监管措施落实情况等进行摸底，开展污染源整治工作。</w:t>
      </w:r>
    </w:p>
    <w:p>
      <w:pPr>
        <w:pStyle w:val="5"/>
        <w:keepNext w:val="0"/>
        <w:keepLines w:val="0"/>
        <w:spacing w:line="560" w:lineRule="exact"/>
        <w:ind w:firstLine="643" w:firstLineChars="200"/>
        <w:jc w:val="both"/>
        <w:rPr>
          <w:rFonts w:eastAsia="方正仿宋_GBK" w:cs="Times New Roman"/>
          <w:color w:val="000000"/>
          <w:sz w:val="32"/>
        </w:rPr>
      </w:pPr>
      <w:bookmarkStart w:id="443" w:name="_Toc23053"/>
      <w:bookmarkStart w:id="444" w:name="_Toc30292"/>
      <w:bookmarkStart w:id="445" w:name="_Toc12087"/>
      <w:bookmarkStart w:id="446" w:name="_Toc10877"/>
      <w:r>
        <w:rPr>
          <w:rFonts w:eastAsia="方正仿宋_GBK" w:cs="Times New Roman"/>
          <w:color w:val="000000"/>
          <w:sz w:val="32"/>
        </w:rPr>
        <w:t>2.</w:t>
      </w:r>
      <w:bookmarkEnd w:id="443"/>
      <w:bookmarkEnd w:id="444"/>
      <w:bookmarkEnd w:id="445"/>
      <w:bookmarkStart w:id="447" w:name="_Toc30065"/>
      <w:bookmarkStart w:id="448" w:name="_Toc30167"/>
      <w:bookmarkStart w:id="449" w:name="_Toc31568"/>
      <w:r>
        <w:rPr>
          <w:rFonts w:eastAsia="方正仿宋_GBK" w:cs="Times New Roman"/>
          <w:color w:val="000000"/>
          <w:sz w:val="32"/>
        </w:rPr>
        <w:t>加强工业污染源监管</w:t>
      </w:r>
      <w:bookmarkEnd w:id="446"/>
      <w:bookmarkEnd w:id="447"/>
      <w:bookmarkEnd w:id="448"/>
      <w:bookmarkEnd w:id="449"/>
    </w:p>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确定土壤环境重点监控企业名单，实施动态管理，列入名单的企业要每年自行对企业用地土壤进行土壤环境质量监测。加强对排放重金属、有机污染物的工矿企业的监督检查力度，对其周边开展土壤环境质量监测。</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450" w:name="_Toc24051"/>
      <w:bookmarkStart w:id="451" w:name="_Toc21719"/>
      <w:bookmarkStart w:id="452" w:name="_Toc14026"/>
      <w:bookmarkStart w:id="453" w:name="_Toc29334"/>
      <w:r>
        <w:rPr>
          <w:rFonts w:eastAsia="方正仿宋_GBK" w:cs="Times New Roman"/>
          <w:color w:val="000000"/>
          <w:sz w:val="32"/>
        </w:rPr>
        <w:t>3.从严</w:t>
      </w:r>
      <w:r>
        <w:rPr>
          <w:rFonts w:hint="eastAsia" w:ascii="方正仿宋_GBK" w:hAnsi="仿宋" w:eastAsia="方正仿宋_GBK" w:cs="仿宋"/>
          <w:color w:val="000000"/>
          <w:sz w:val="32"/>
        </w:rPr>
        <w:t>项目审批</w:t>
      </w:r>
      <w:bookmarkEnd w:id="450"/>
      <w:bookmarkEnd w:id="451"/>
      <w:bookmarkEnd w:id="452"/>
      <w:bookmarkEnd w:id="453"/>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严格重金属排放项目准入，从严执行环境标准，对相关建设项目，环评应强化土壤环境影响评价，提出切实可行的污染防治措施，并加强日常监督管理，防范建设用地新增污染。坚持“减量置换”“等量置换”原则，严格落实金属总量控制指标和排放指标建立全口径涉重金属重点行业清单，全面加强行业污染整治。</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454" w:name="_Toc18203"/>
      <w:bookmarkStart w:id="455" w:name="_Toc19203"/>
      <w:bookmarkStart w:id="456" w:name="_Toc31361"/>
      <w:bookmarkStart w:id="457" w:name="_Toc29987"/>
      <w:r>
        <w:rPr>
          <w:rFonts w:eastAsia="方正仿宋_GBK" w:cs="Times New Roman"/>
          <w:color w:val="000000"/>
          <w:sz w:val="32"/>
        </w:rPr>
        <w:t>4.深化土壤环境质量</w:t>
      </w:r>
      <w:r>
        <w:rPr>
          <w:rFonts w:hint="eastAsia" w:ascii="方正仿宋_GBK" w:hAnsi="仿宋" w:eastAsia="方正仿宋_GBK" w:cs="仿宋"/>
          <w:color w:val="000000"/>
          <w:sz w:val="32"/>
        </w:rPr>
        <w:t>与污染现状调查</w:t>
      </w:r>
      <w:bookmarkEnd w:id="454"/>
      <w:bookmarkEnd w:id="455"/>
      <w:bookmarkEnd w:id="456"/>
      <w:bookmarkEnd w:id="457"/>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健全土壤监测网络体系和法规标准体系，建立污染地块清单和优先管控名录，突出重点区域、行业和污染物，强化风险管控，统筹推进建筑垃圾、生活垃圾、危险废物、畜禽粪便、工业固废、电子废弃物“六废联治”，综合防治土壤污染。同时，针对关停或搬离的工业企业，有计划、分步骤地开展搬迁地的场地污染调查，建立污染场地的数量、种类、污染程度和环境风险等信息档案库。</w:t>
      </w:r>
    </w:p>
    <w:p>
      <w:pPr>
        <w:pStyle w:val="5"/>
        <w:keepNext w:val="0"/>
        <w:keepLines w:val="0"/>
        <w:spacing w:line="560" w:lineRule="exact"/>
        <w:ind w:firstLine="643" w:firstLineChars="200"/>
        <w:jc w:val="both"/>
        <w:rPr>
          <w:rFonts w:eastAsia="方正仿宋_GBK" w:cs="Times New Roman"/>
          <w:color w:val="000000"/>
          <w:sz w:val="32"/>
        </w:rPr>
      </w:pPr>
      <w:bookmarkStart w:id="458" w:name="_Toc9290"/>
      <w:bookmarkStart w:id="459" w:name="_Toc8938"/>
      <w:bookmarkStart w:id="460" w:name="_Toc16505"/>
      <w:bookmarkStart w:id="461" w:name="_Toc31749"/>
      <w:r>
        <w:rPr>
          <w:rFonts w:eastAsia="方正仿宋_GBK" w:cs="Times New Roman"/>
          <w:color w:val="000000"/>
          <w:sz w:val="32"/>
        </w:rPr>
        <w:t>5.实施受污染土壤综合治理与修复</w:t>
      </w:r>
      <w:bookmarkEnd w:id="458"/>
      <w:bookmarkEnd w:id="459"/>
      <w:bookmarkEnd w:id="460"/>
      <w:bookmarkEnd w:id="461"/>
    </w:p>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以影响农产品质量和人居环境安全地突出土壤污染问题为重点，制定土壤污染治理与修复规划开展土壤污染治理与修复，对污染耕地集中区域优先组织开展治理与修复。推广使用可降解农膜，建立完善农用残膜回收利用机制，确保到2025年农用残膜回收利用率达到90%以上。</w:t>
      </w:r>
    </w:p>
    <w:p>
      <w:pPr>
        <w:pStyle w:val="5"/>
        <w:keepNext w:val="0"/>
        <w:keepLines w:val="0"/>
        <w:spacing w:line="560" w:lineRule="exact"/>
        <w:ind w:firstLine="643" w:firstLineChars="200"/>
        <w:jc w:val="both"/>
        <w:rPr>
          <w:rFonts w:eastAsia="方正仿宋_GBK" w:cs="Times New Roman"/>
          <w:color w:val="000000"/>
          <w:sz w:val="32"/>
        </w:rPr>
      </w:pPr>
      <w:bookmarkStart w:id="462" w:name="_Toc8343"/>
      <w:bookmarkStart w:id="463" w:name="_Toc17124"/>
      <w:bookmarkStart w:id="464" w:name="_Toc23654"/>
      <w:bookmarkStart w:id="465" w:name="_Toc20515"/>
      <w:r>
        <w:rPr>
          <w:rFonts w:eastAsia="方正仿宋_GBK" w:cs="Times New Roman"/>
          <w:color w:val="000000"/>
          <w:sz w:val="32"/>
        </w:rPr>
        <w:t>6.落实土壤污染预防与保障制度建设</w:t>
      </w:r>
      <w:bookmarkEnd w:id="462"/>
      <w:bookmarkEnd w:id="463"/>
      <w:bookmarkEnd w:id="464"/>
      <w:bookmarkEnd w:id="465"/>
    </w:p>
    <w:p>
      <w:pPr>
        <w:spacing w:line="560" w:lineRule="exact"/>
        <w:ind w:firstLine="640" w:firstLineChars="200"/>
        <w:jc w:val="both"/>
        <w:rPr>
          <w:rFonts w:hint="eastAsia" w:ascii="方正仿宋_GBK" w:hAnsi="仿宋_GB2312" w:eastAsia="方正仿宋_GBK"/>
          <w:color w:val="000000"/>
          <w:sz w:val="32"/>
          <w:szCs w:val="32"/>
        </w:rPr>
      </w:pPr>
      <w:r>
        <w:rPr>
          <w:rFonts w:eastAsia="方正仿宋_GBK" w:cs="Times New Roman"/>
          <w:color w:val="000000"/>
          <w:sz w:val="32"/>
          <w:szCs w:val="32"/>
        </w:rPr>
        <w:t>排放重点污染物</w:t>
      </w:r>
      <w:r>
        <w:rPr>
          <w:rFonts w:hint="eastAsia" w:ascii="方正仿宋_GBK" w:hAnsi="仿宋_GB2312" w:eastAsia="方正仿宋_GBK"/>
          <w:color w:val="000000"/>
          <w:sz w:val="32"/>
          <w:szCs w:val="32"/>
        </w:rPr>
        <w:t>的建设项目，在开展环境影响评价时，增加对土壤环境影响的评价内容，并提出防范土壤污染的具体措施，明确土壤防治的监管要求。严格工矿企业的环境监管，切断土壤污染来源，有效控制重金属、有毒化学品和持久性有机污染物进入土壤环境。重点排查煤矸石、工业副产石膏、粉煤灰、冶炼渣、电石渣，以及脱硫、脱硝、除尘产生固体废物的堆存场所风险，严管工业废弃物污染土壤。加强土壤与大气、水污染协同治理，推进污水与水污染治理产生的污泥同治、废气与废气治理产生的固废同治，减少大气和水污染治理对土壤环境的二次污染。</w:t>
      </w:r>
    </w:p>
    <w:p>
      <w:pPr>
        <w:pStyle w:val="4"/>
        <w:keepNext w:val="0"/>
        <w:keepLines w:val="0"/>
        <w:spacing w:line="560" w:lineRule="exact"/>
        <w:ind w:firstLine="643" w:firstLineChars="200"/>
        <w:jc w:val="both"/>
        <w:rPr>
          <w:rFonts w:hint="eastAsia" w:ascii="方正楷体_GBK" w:hAnsi="楷体" w:eastAsia="方正楷体_GBK" w:cs="楷体"/>
          <w:color w:val="000000"/>
          <w:sz w:val="32"/>
        </w:rPr>
      </w:pPr>
      <w:bookmarkStart w:id="466" w:name="_Toc31208"/>
      <w:bookmarkStart w:id="467" w:name="_Toc14416"/>
      <w:bookmarkStart w:id="468" w:name="_Toc13857"/>
      <w:bookmarkStart w:id="469" w:name="_Toc28076"/>
      <w:bookmarkStart w:id="470" w:name="_Toc18590"/>
      <w:bookmarkStart w:id="471" w:name="_Toc6170"/>
      <w:bookmarkStart w:id="472" w:name="_Toc15644"/>
      <w:bookmarkStart w:id="473" w:name="_Toc15263"/>
      <w:bookmarkStart w:id="474" w:name="_Toc14307"/>
      <w:r>
        <w:rPr>
          <w:rFonts w:hint="eastAsia" w:ascii="方正楷体_GBK" w:hAnsi="楷体" w:eastAsia="方正楷体_GBK" w:cs="楷体"/>
          <w:color w:val="000000"/>
          <w:sz w:val="32"/>
        </w:rPr>
        <w:t>（五）提高资源化利用水平，防治固体废物污染</w:t>
      </w:r>
      <w:bookmarkEnd w:id="466"/>
      <w:bookmarkEnd w:id="467"/>
      <w:bookmarkEnd w:id="468"/>
      <w:bookmarkEnd w:id="469"/>
      <w:bookmarkEnd w:id="470"/>
      <w:bookmarkEnd w:id="471"/>
      <w:bookmarkEnd w:id="472"/>
      <w:bookmarkEnd w:id="473"/>
      <w:bookmarkEnd w:id="474"/>
    </w:p>
    <w:p>
      <w:pPr>
        <w:pStyle w:val="5"/>
        <w:keepNext w:val="0"/>
        <w:keepLines w:val="0"/>
        <w:spacing w:line="560" w:lineRule="exact"/>
        <w:ind w:firstLine="643" w:firstLineChars="200"/>
        <w:jc w:val="both"/>
        <w:rPr>
          <w:rFonts w:eastAsia="方正仿宋_GBK" w:cs="Times New Roman"/>
          <w:color w:val="000000"/>
          <w:sz w:val="32"/>
        </w:rPr>
      </w:pPr>
      <w:bookmarkStart w:id="475" w:name="_Toc22789"/>
      <w:bookmarkStart w:id="476" w:name="_Toc7187"/>
      <w:bookmarkStart w:id="477" w:name="_Toc19648"/>
      <w:bookmarkStart w:id="478" w:name="_Toc7665"/>
      <w:r>
        <w:rPr>
          <w:rFonts w:eastAsia="方正仿宋_GBK" w:cs="Times New Roman"/>
          <w:color w:val="000000"/>
          <w:sz w:val="32"/>
        </w:rPr>
        <w:t>1.提升危险废物环境监管能力</w:t>
      </w:r>
      <w:bookmarkEnd w:id="475"/>
      <w:bookmarkEnd w:id="476"/>
      <w:bookmarkEnd w:id="477"/>
      <w:bookmarkEnd w:id="478"/>
    </w:p>
    <w:p>
      <w:pPr>
        <w:spacing w:line="560" w:lineRule="exact"/>
        <w:ind w:firstLine="640" w:firstLineChars="200"/>
        <w:jc w:val="both"/>
        <w:rPr>
          <w:rFonts w:eastAsia="方正仿宋_GBK" w:cs="Times New Roman"/>
          <w:color w:val="000000"/>
          <w:sz w:val="32"/>
          <w:szCs w:val="32"/>
        </w:rPr>
      </w:pPr>
      <w:r>
        <w:rPr>
          <w:rFonts w:hint="eastAsia" w:ascii="方正仿宋_GBK" w:hAnsi="仿宋_GB2312" w:eastAsia="方正仿宋_GBK"/>
          <w:color w:val="000000"/>
          <w:sz w:val="32"/>
          <w:szCs w:val="32"/>
        </w:rPr>
        <w:t>完善危险废物产生、贮存、处置利用等企业台账管理制度和环境信息共享平台，严格实施经营许可证制度，加大信息公开力度，加强日常监督检查。完善危险废物收集、运输、处置全过程监管体系，提高处置和综合利用能力。开展历史遗留危险废物排查和评估并制定实施安全处置方案。加强医疗废物全过程管理，与卫生、农业、运输、公安等部门协调配合，形成多部门共同参与的联防联控机制，做好突发疫情医疗废物应急能力和设施的储备与建设工作。推进收集系统向乡镇、村级卫生单位延伸。到</w:t>
      </w:r>
      <w:r>
        <w:rPr>
          <w:rFonts w:eastAsia="方正仿宋_GBK" w:cs="Times New Roman"/>
          <w:color w:val="000000"/>
          <w:sz w:val="32"/>
          <w:szCs w:val="32"/>
        </w:rPr>
        <w:t>2025年，危险废物处置利用率达100%，医疗废物无害化处置率100%。</w:t>
      </w:r>
    </w:p>
    <w:p>
      <w:pPr>
        <w:pStyle w:val="5"/>
        <w:keepNext w:val="0"/>
        <w:keepLines w:val="0"/>
        <w:spacing w:line="560" w:lineRule="exact"/>
        <w:ind w:firstLine="643" w:firstLineChars="200"/>
        <w:jc w:val="both"/>
        <w:rPr>
          <w:rFonts w:eastAsia="方正仿宋_GBK" w:cs="Times New Roman"/>
          <w:color w:val="000000"/>
          <w:sz w:val="32"/>
        </w:rPr>
      </w:pPr>
      <w:bookmarkStart w:id="479" w:name="_Toc13092"/>
      <w:bookmarkStart w:id="480" w:name="_Toc22009"/>
      <w:bookmarkStart w:id="481" w:name="_Toc138"/>
      <w:bookmarkStart w:id="482" w:name="_Toc4353"/>
      <w:r>
        <w:rPr>
          <w:rFonts w:eastAsia="方正仿宋_GBK" w:cs="Times New Roman"/>
          <w:color w:val="000000"/>
          <w:sz w:val="32"/>
        </w:rPr>
        <w:t>2.加强城镇生活垃圾污染控制</w:t>
      </w:r>
      <w:bookmarkEnd w:id="479"/>
      <w:bookmarkEnd w:id="480"/>
      <w:bookmarkEnd w:id="481"/>
      <w:bookmarkEnd w:id="482"/>
    </w:p>
    <w:p>
      <w:pPr>
        <w:spacing w:line="560" w:lineRule="exact"/>
        <w:ind w:firstLine="640" w:firstLineChars="200"/>
        <w:jc w:val="both"/>
        <w:rPr>
          <w:rFonts w:eastAsia="方正仿宋_GBK" w:cs="Times New Roman"/>
          <w:color w:val="000000"/>
          <w:sz w:val="32"/>
          <w:szCs w:val="32"/>
        </w:rPr>
      </w:pPr>
      <w:r>
        <w:rPr>
          <w:rFonts w:eastAsia="方正仿宋_GBK" w:cs="Times New Roman"/>
          <w:color w:val="000000"/>
          <w:sz w:val="32"/>
          <w:szCs w:val="32"/>
        </w:rPr>
        <w:t>提高城市生活垃圾处理减量化、资源化和无害化水平，实现城镇垃圾处理设施全覆盖。限制一次性用品的使用，减少包装废弃物产生，健全再生资源回收网络，促进源头减量。建立完善废旧商品回收利用和处理体系，鼓励群众对生活垃圾实施分类，开展城乡生活垃圾分类收集和处理试点工作。按照分类、密闭、压缩要求升级改造现有生活垃圾收集、中转和运输，提高垃圾分类收运能力和水平。稳步推进垃圾集中处理设施建设，加强垃圾渗滤液处理，推行餐厨垃圾集中处理。到2025年，城镇生活垃圾实现全收集、全处理，平罗县城基本建成生活垃圾分类处理系统。</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483" w:name="_Toc3220"/>
      <w:bookmarkStart w:id="484" w:name="_Toc25661"/>
      <w:bookmarkStart w:id="485" w:name="_Toc32674"/>
      <w:bookmarkStart w:id="486" w:name="_Toc11905"/>
      <w:r>
        <w:rPr>
          <w:rFonts w:eastAsia="方正仿宋_GBK" w:cs="Times New Roman"/>
          <w:color w:val="000000"/>
          <w:sz w:val="32"/>
        </w:rPr>
        <w:t>3.提高一般工</w:t>
      </w:r>
      <w:r>
        <w:rPr>
          <w:rFonts w:hint="eastAsia" w:ascii="方正仿宋_GBK" w:hAnsi="仿宋" w:eastAsia="方正仿宋_GBK" w:cs="仿宋"/>
          <w:color w:val="000000"/>
          <w:sz w:val="32"/>
        </w:rPr>
        <w:t>业固废处置水平</w:t>
      </w:r>
      <w:bookmarkEnd w:id="483"/>
      <w:bookmarkEnd w:id="484"/>
      <w:bookmarkEnd w:id="485"/>
      <w:bookmarkEnd w:id="486"/>
    </w:p>
    <w:p>
      <w:pPr>
        <w:spacing w:line="560" w:lineRule="exact"/>
        <w:ind w:firstLine="640" w:firstLineChars="200"/>
        <w:jc w:val="both"/>
        <w:rPr>
          <w:rFonts w:eastAsia="方正仿宋_GBK" w:cs="Times New Roman"/>
          <w:color w:val="000000"/>
          <w:sz w:val="32"/>
          <w:szCs w:val="32"/>
        </w:rPr>
      </w:pPr>
      <w:r>
        <w:rPr>
          <w:rFonts w:hint="eastAsia" w:ascii="方正仿宋_GBK" w:hAnsi="仿宋_GB2312" w:eastAsia="方正仿宋_GBK"/>
          <w:color w:val="000000"/>
          <w:sz w:val="32"/>
          <w:szCs w:val="32"/>
        </w:rPr>
        <w:t>完善和落实有关鼓励固体废物综合利用和处置的优惠政策，拓宽废物综合利用市场。鼓励现有企业提高技术水平，提高工业固废利用效率和质量，拓展工业固废利用范围。认真落实《自治区加快推进工业固体废物综合利用的政策措施》和《宁夏回族自治区一般工业固体废物综合利用奖补管理办法（试行）》，积极引导企业加大固废利用，兑现落实政策。因地制宜地发展以煤矸石、粉煤灰、脱硫石膏、炉渣、冶炼废渣等为原料的新型建材工业。新建铁路、公路必须优先选用尾矿、粉煤灰等作为筑路材料，提高尾矿利用率。加快无废城市建设步伐，抓好平罗县工业固废资源化综合利用、平罗金属新材料、格瑞特新型环保建筑材料等项目，探索一般工业固废外运模式，加大绿色建材推广力度，到</w:t>
      </w:r>
      <w:r>
        <w:rPr>
          <w:rFonts w:eastAsia="方正仿宋_GBK" w:cs="Times New Roman"/>
          <w:color w:val="000000"/>
          <w:sz w:val="32"/>
          <w:szCs w:val="32"/>
        </w:rPr>
        <w:t>2025年全县力争一般工业固体废物综合利用率达到70%以上。</w:t>
      </w:r>
    </w:p>
    <w:p>
      <w:pPr>
        <w:pStyle w:val="4"/>
        <w:keepNext w:val="0"/>
        <w:keepLines w:val="0"/>
        <w:spacing w:line="560" w:lineRule="exact"/>
        <w:ind w:firstLine="643" w:firstLineChars="200"/>
        <w:jc w:val="both"/>
        <w:rPr>
          <w:rFonts w:hint="eastAsia" w:ascii="方正楷体_GBK" w:hAnsi="楷体" w:eastAsia="方正楷体_GBK" w:cs="楷体"/>
          <w:color w:val="000000"/>
          <w:sz w:val="32"/>
        </w:rPr>
      </w:pPr>
      <w:bookmarkStart w:id="487" w:name="_Toc16462"/>
      <w:bookmarkStart w:id="488" w:name="_Toc24550"/>
      <w:bookmarkStart w:id="489" w:name="_Toc17045"/>
      <w:bookmarkStart w:id="490" w:name="_Toc4585"/>
      <w:bookmarkStart w:id="491" w:name="_Toc18219"/>
      <w:bookmarkStart w:id="492" w:name="_Toc25658"/>
      <w:bookmarkStart w:id="493" w:name="_Toc31075"/>
      <w:bookmarkStart w:id="494" w:name="_Toc7252"/>
      <w:bookmarkStart w:id="495" w:name="_Toc32580"/>
      <w:r>
        <w:rPr>
          <w:rFonts w:hint="eastAsia" w:ascii="方正楷体_GBK" w:hAnsi="楷体" w:eastAsia="方正楷体_GBK" w:cs="楷体"/>
          <w:color w:val="000000"/>
          <w:sz w:val="32"/>
        </w:rPr>
        <w:t>（六）控制温室气体排放，积极应对气候变化</w:t>
      </w:r>
      <w:bookmarkEnd w:id="487"/>
      <w:bookmarkEnd w:id="488"/>
      <w:bookmarkEnd w:id="489"/>
      <w:bookmarkEnd w:id="490"/>
      <w:bookmarkEnd w:id="491"/>
      <w:bookmarkEnd w:id="492"/>
      <w:bookmarkEnd w:id="493"/>
      <w:bookmarkEnd w:id="494"/>
      <w:bookmarkEnd w:id="495"/>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核定工业碳排放阶段减排目标，严格控制高耗能、高排放的产业发展，推动创建绿色生态示范城区。构建清洁低碳、安全高效的能源体系，推进天然气等清洁能源替代煤、油等能源，发展太阳能、风能等可再生能源。推进风电、光伏等新能源开发和消纳，力争可再生能源装机量占比达</w:t>
      </w:r>
      <w:r>
        <w:rPr>
          <w:rFonts w:eastAsia="方正仿宋_GBK" w:cs="Times New Roman"/>
          <w:color w:val="000000"/>
          <w:sz w:val="32"/>
          <w:szCs w:val="32"/>
        </w:rPr>
        <w:t>到20%。推进资源全面节约和循环利用，鼓励公共交通、自行车等绿色交通出行，倡导简约适度、绿色低碳的生活方式，建设以提高效能、降低排放、保护生态为核心的绿色交通基础设施体系、运输装备体系和运输组织体系。全县碳排放总量与人均碳排放量预计于2030 年前达到峰值，2060年达到碳中和，万元地区生产总值（GDP）能耗控制在0.67吨标准煤以下，完成自治区、市、县下达目标。</w:t>
      </w:r>
    </w:p>
    <w:p>
      <w:pPr>
        <w:pStyle w:val="4"/>
        <w:keepNext w:val="0"/>
        <w:keepLines w:val="0"/>
        <w:spacing w:line="560" w:lineRule="exact"/>
        <w:ind w:firstLine="643" w:firstLineChars="200"/>
        <w:jc w:val="both"/>
        <w:rPr>
          <w:rFonts w:hint="eastAsia" w:ascii="方正楷体_GBK" w:hAnsi="楷体" w:eastAsia="方正楷体_GBK" w:cs="楷体"/>
          <w:color w:val="000000"/>
          <w:sz w:val="32"/>
        </w:rPr>
      </w:pPr>
      <w:bookmarkStart w:id="496" w:name="_Toc6055"/>
      <w:bookmarkStart w:id="497" w:name="_Toc3180"/>
      <w:bookmarkStart w:id="498" w:name="_Toc18009"/>
      <w:bookmarkStart w:id="499" w:name="_Toc230"/>
      <w:bookmarkStart w:id="500" w:name="_Toc17654"/>
      <w:bookmarkStart w:id="501" w:name="_Toc6660"/>
      <w:bookmarkStart w:id="502" w:name="_Toc23632"/>
      <w:bookmarkStart w:id="503" w:name="_Toc16050"/>
      <w:r>
        <w:rPr>
          <w:rFonts w:hint="eastAsia" w:ascii="方正楷体_GBK" w:hAnsi="楷体" w:eastAsia="方正楷体_GBK" w:cs="楷体"/>
          <w:color w:val="000000"/>
          <w:sz w:val="32"/>
        </w:rPr>
        <w:t>（七）加强生态保护与修复，维护生态安全格局</w:t>
      </w:r>
      <w:bookmarkEnd w:id="496"/>
      <w:bookmarkEnd w:id="497"/>
      <w:bookmarkEnd w:id="498"/>
      <w:bookmarkEnd w:id="499"/>
      <w:bookmarkEnd w:id="500"/>
      <w:bookmarkEnd w:id="501"/>
      <w:bookmarkEnd w:id="502"/>
      <w:bookmarkEnd w:id="503"/>
    </w:p>
    <w:p>
      <w:pPr>
        <w:spacing w:line="560" w:lineRule="exact"/>
        <w:ind w:firstLine="640" w:firstLineChars="200"/>
        <w:jc w:val="both"/>
        <w:rPr>
          <w:rFonts w:hint="eastAsia" w:ascii="方正仿宋_GBK" w:hAnsi="仿宋_GB2312" w:eastAsia="方正仿宋_GBK"/>
          <w:color w:val="000000"/>
          <w:sz w:val="32"/>
          <w:szCs w:val="32"/>
        </w:rPr>
      </w:pPr>
      <w:bookmarkStart w:id="504" w:name="_Toc9188"/>
      <w:bookmarkStart w:id="505" w:name="_Toc13907"/>
      <w:r>
        <w:rPr>
          <w:rFonts w:hint="eastAsia" w:ascii="方正仿宋_GBK" w:hAnsi="仿宋_GB2312" w:eastAsia="方正仿宋_GBK"/>
          <w:color w:val="000000"/>
          <w:sz w:val="32"/>
          <w:szCs w:val="32"/>
        </w:rPr>
        <w:t>严格落实“三线一单”，统筹推进山水林田湖草沙生态系统修复，坚持自然恢复为主、人工修复为辅，突出规划引领，分区分类施策，重点推进空间规划、水源涵养、水土保持、生态修复工程建设，增强生态系统的安全性、稳定性，给自然生态留下休养生息的时间和空间。</w:t>
      </w:r>
      <w:bookmarkEnd w:id="504"/>
      <w:bookmarkEnd w:id="505"/>
    </w:p>
    <w:p>
      <w:pPr>
        <w:pStyle w:val="5"/>
        <w:keepNext w:val="0"/>
        <w:keepLines w:val="0"/>
        <w:spacing w:line="560" w:lineRule="exact"/>
        <w:ind w:firstLine="643" w:firstLineChars="200"/>
        <w:jc w:val="both"/>
        <w:rPr>
          <w:rFonts w:eastAsia="方正仿宋_GBK" w:cs="Times New Roman"/>
          <w:color w:val="000000"/>
          <w:sz w:val="32"/>
        </w:rPr>
      </w:pPr>
      <w:bookmarkStart w:id="506" w:name="_Toc20191"/>
      <w:bookmarkStart w:id="507" w:name="_Toc11035"/>
      <w:bookmarkStart w:id="508" w:name="_Toc14891"/>
      <w:bookmarkStart w:id="509" w:name="_Toc22082"/>
      <w:bookmarkStart w:id="510" w:name="_Toc14233"/>
      <w:bookmarkStart w:id="511" w:name="_Toc22694"/>
      <w:bookmarkStart w:id="512" w:name="_Toc276759757"/>
      <w:bookmarkStart w:id="513" w:name="_Toc8639"/>
      <w:bookmarkStart w:id="514" w:name="_Toc276908440"/>
      <w:bookmarkStart w:id="515" w:name="_Toc437510838"/>
      <w:bookmarkStart w:id="516" w:name="_Toc437510727"/>
      <w:bookmarkStart w:id="517" w:name="_Toc436899764"/>
      <w:bookmarkStart w:id="518" w:name="_Toc438825709"/>
      <w:r>
        <w:rPr>
          <w:rFonts w:eastAsia="方正仿宋_GBK" w:cs="Times New Roman"/>
          <w:color w:val="000000"/>
          <w:sz w:val="32"/>
        </w:rPr>
        <w:t>1.严守生态保护红线，落实空间管控</w:t>
      </w:r>
      <w:bookmarkEnd w:id="506"/>
      <w:bookmarkEnd w:id="507"/>
      <w:bookmarkEnd w:id="508"/>
      <w:bookmarkEnd w:id="509"/>
      <w:bookmarkEnd w:id="510"/>
      <w:bookmarkEnd w:id="511"/>
    </w:p>
    <w:p>
      <w:pPr>
        <w:spacing w:line="560" w:lineRule="exact"/>
        <w:ind w:firstLine="643" w:firstLineChars="200"/>
        <w:jc w:val="both"/>
        <w:rPr>
          <w:rFonts w:hint="eastAsia" w:ascii="方正仿宋_GBK" w:hAnsi="仿宋_GB2312" w:eastAsia="方正仿宋_GBK"/>
          <w:color w:val="000000"/>
          <w:sz w:val="32"/>
          <w:szCs w:val="32"/>
        </w:rPr>
      </w:pPr>
      <w:r>
        <w:rPr>
          <w:rFonts w:eastAsia="方正仿宋_GBK" w:cs="Times New Roman"/>
          <w:b/>
          <w:bCs/>
          <w:color w:val="000000"/>
          <w:sz w:val="32"/>
          <w:szCs w:val="32"/>
        </w:rPr>
        <w:t>落实生态红线要求</w:t>
      </w:r>
      <w:r>
        <w:rPr>
          <w:rFonts w:hint="eastAsia" w:ascii="方正仿宋_GBK" w:hAnsi="仿宋_GB2312" w:eastAsia="方正仿宋_GBK"/>
          <w:b/>
          <w:bCs/>
          <w:color w:val="000000"/>
          <w:sz w:val="32"/>
          <w:szCs w:val="32"/>
        </w:rPr>
        <w:t>。</w:t>
      </w:r>
      <w:r>
        <w:rPr>
          <w:rFonts w:hint="eastAsia" w:ascii="方正仿宋_GBK" w:hAnsi="仿宋_GB2312" w:eastAsia="方正仿宋_GBK"/>
          <w:color w:val="000000"/>
          <w:sz w:val="32"/>
          <w:szCs w:val="32"/>
        </w:rPr>
        <w:t>按照自治区统一部署要求，完成生态保护红线评估优化后，组织实施勘界定标，明确生态保护红线地域边界、生态系统类型和主要生态功能，并设立统一、规范的生态保护红线标识标牌，加强日常管理和维护，任何单位和个人不得破坏或者擅自改变生态保护红线标识标牌。对生态保护红线内的自然资源进行统一确权登记，明确用地性质与土地权属，按照规定划定自然保护地，明确自然保护地名录，建立管理台账，严格依法管理，确保自然保护地功能逐步优化。到完成县镇（乡）、各自然保护区完成生态保护红线勘界定标工作，形成生态保护红线“一张图”管理，实现一条红线管控重要生态空间。生态保护红线区域占国土面积比例达</w:t>
      </w:r>
      <w:r>
        <w:rPr>
          <w:rFonts w:eastAsia="方正仿宋_GBK" w:cs="Times New Roman"/>
          <w:color w:val="000000"/>
          <w:sz w:val="32"/>
          <w:szCs w:val="32"/>
        </w:rPr>
        <w:t xml:space="preserve">到36.88%以上。 </w:t>
      </w:r>
    </w:p>
    <w:p>
      <w:pPr>
        <w:spacing w:line="560" w:lineRule="exact"/>
        <w:ind w:firstLine="643" w:firstLineChars="200"/>
        <w:jc w:val="both"/>
        <w:rPr>
          <w:rFonts w:hint="eastAsia" w:ascii="方正仿宋_GBK" w:eastAsia="方正仿宋_GBK"/>
          <w:color w:val="000000"/>
          <w:sz w:val="32"/>
          <w:szCs w:val="32"/>
        </w:rPr>
      </w:pPr>
      <w:r>
        <w:rPr>
          <w:rFonts w:hint="eastAsia" w:ascii="方正仿宋_GBK" w:hAnsi="仿宋_GB2312" w:eastAsia="方正仿宋_GBK"/>
          <w:b/>
          <w:bCs/>
          <w:color w:val="000000"/>
          <w:sz w:val="32"/>
          <w:szCs w:val="32"/>
        </w:rPr>
        <w:t>加强生态保护红线管理。</w:t>
      </w:r>
      <w:r>
        <w:rPr>
          <w:rFonts w:hint="eastAsia" w:ascii="方正仿宋_GBK" w:hAnsi="仿宋_GB2312" w:eastAsia="方正仿宋_GBK"/>
          <w:color w:val="000000"/>
          <w:sz w:val="32"/>
          <w:szCs w:val="32"/>
        </w:rPr>
        <w:t>严格遵循《宁夏回族自治区生态保护红线管理条例》，全县生态保护红线勘界定标后，相关规划要符合生态保护红线空间管控要求，不符合的要及时进行调整，发挥生态保护红线对于全县国土空间开发的底线作用，实现“一条红线”管到底。建立生态红线制度，确保生态保护红线面积不减少，性质不改变，主导生态功能不降低。</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加强活动管控。</w:t>
      </w:r>
      <w:r>
        <w:rPr>
          <w:rFonts w:hint="eastAsia" w:ascii="方正仿宋_GBK" w:hAnsi="仿宋_GB2312" w:eastAsia="方正仿宋_GBK"/>
          <w:color w:val="000000"/>
          <w:sz w:val="32"/>
          <w:szCs w:val="32"/>
        </w:rPr>
        <w:t>开展生态保护红线内土地权属和人类活动调查，制定综合整治修复和实施保护规划，实行环境准入负面清单制度，严格限制生态保护红线区域的开发与建设，制定征占用生态用地禁限目录、生态保护红线新增开发建设项目禁止目录，强化生态保护红线执法监管。</w:t>
      </w:r>
    </w:p>
    <w:p>
      <w:pPr>
        <w:snapToGrid w:val="0"/>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加强现状监测。</w:t>
      </w:r>
      <w:r>
        <w:rPr>
          <w:rFonts w:hint="eastAsia" w:ascii="方正仿宋_GBK" w:hAnsi="仿宋_GB2312" w:eastAsia="方正仿宋_GBK"/>
          <w:color w:val="000000"/>
          <w:sz w:val="32"/>
          <w:szCs w:val="32"/>
        </w:rPr>
        <w:t>建设生态保护红线监测网络体系，整合衔接有关部门的生态环境监测站点，布设相对固定的生态保护红线的监控点位，开展生态保护红线实时监测，及时获取生态保护红线监测数据，建设生态保护红线监管平台，并运用生态保护红线监管平台开展巡查、详查与核查工作，及时接收和反馈信息，加强</w:t>
      </w:r>
    </w:p>
    <w:p>
      <w:pPr>
        <w:spacing w:line="560" w:lineRule="exact"/>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监测数据的分析和综合应用，开展生态保护红线生态功能评价和管理考核。</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完善生态修复补偿机制。</w:t>
      </w:r>
      <w:r>
        <w:rPr>
          <w:rFonts w:hint="eastAsia" w:ascii="方正仿宋_GBK" w:hAnsi="仿宋_GB2312" w:eastAsia="方正仿宋_GBK"/>
          <w:color w:val="000000"/>
          <w:sz w:val="32"/>
          <w:szCs w:val="32"/>
        </w:rPr>
        <w:t>建立生态保护红线台账系统，制定和实施生态保护与修复方案，明确总体要求、目标任务、资金保障和工程措施等内容。统筹各类生态保护与修复资金，实施生物多样性维护、天然林保护、防沙治沙、水土流失、盐渍化综合治理等保护与修复工程，改善和提升生态保护红线生态功能。研究制定生态保护红线区域和重点生态功能区转移支付资金的使用办法，建立生态补偿机制。探索建立政府引导、市场运作、社会参与的生态保护补偿投融资机制。</w:t>
      </w:r>
    </w:p>
    <w:p>
      <w:pPr>
        <w:spacing w:line="560" w:lineRule="exact"/>
        <w:ind w:firstLine="643"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b/>
          <w:bCs/>
          <w:color w:val="000000"/>
          <w:sz w:val="32"/>
          <w:szCs w:val="32"/>
        </w:rPr>
        <w:t>加强执法和监督管理。</w:t>
      </w:r>
      <w:r>
        <w:rPr>
          <w:rFonts w:hint="eastAsia" w:ascii="方正仿宋_GBK" w:hAnsi="仿宋_GB2312" w:eastAsia="方正仿宋_GBK"/>
          <w:color w:val="000000"/>
          <w:sz w:val="32"/>
          <w:szCs w:val="32"/>
        </w:rPr>
        <w:t>由主管部门制定监督管理方案和计划，明确各级政府对辖区生态保护红线保护的主体责任，生态红线区域的管理机构要制定日常巡查计划，石嘴山市生态环境局平罗分局制定综合执法检查计划，分解落实政府各部门对生态保护红线的保护环节与日常监管责任。建立生态保护红线管控绩效评估制度，将评估结果纳入政府经济社会发展实绩考核。</w:t>
      </w:r>
    </w:p>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519" w:name="_Toc30988"/>
      <w:bookmarkStart w:id="520" w:name="_Toc13254"/>
      <w:bookmarkStart w:id="521" w:name="_Toc27013"/>
      <w:bookmarkStart w:id="522" w:name="_Toc10344"/>
      <w:bookmarkStart w:id="523" w:name="_Toc11206"/>
      <w:bookmarkStart w:id="524" w:name="_Toc13037"/>
      <w:r>
        <w:rPr>
          <w:rFonts w:eastAsia="方正仿宋_GBK" w:cs="Times New Roman"/>
          <w:color w:val="000000"/>
          <w:sz w:val="32"/>
        </w:rPr>
        <w:t>2.分区分类施策，推动</w:t>
      </w:r>
      <w:r>
        <w:rPr>
          <w:rFonts w:hint="eastAsia" w:ascii="方正仿宋_GBK" w:hAnsi="仿宋" w:eastAsia="方正仿宋_GBK" w:cs="仿宋"/>
          <w:color w:val="000000"/>
          <w:sz w:val="32"/>
        </w:rPr>
        <w:t>黄河流域生态保护和高质量发展</w:t>
      </w:r>
      <w:bookmarkEnd w:id="519"/>
      <w:bookmarkEnd w:id="520"/>
      <w:bookmarkEnd w:id="521"/>
      <w:bookmarkEnd w:id="522"/>
      <w:bookmarkEnd w:id="523"/>
      <w:bookmarkEnd w:id="524"/>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围绕“一山一河三带四廊多片区”生态安全格局，构建以沿黄灌区为主、灌区外围生态修复为辅的西北生态屏障和贺兰山防风防沙生态屏障，增强山水林田湖沙修复试点区域应对干旱能力，减少地区沙尘天气危害，实现“建设小绿洲、保护大生态”的战略。把山水田林湖沙作为一个生命共同体，大力推进精准造林，开展国土绿化造林，大幅提升绿量绿效绿质。继续实施三北防护林、天然林保护等国家重点生态林业工程，加快实施生态修复、防沙治沙、灌区绿网、城乡增绿、湿地保护五大生态建设工程，加快构筑贺兰山防沙治沙、平原防护林和城镇绿化美化三大生态安全体系。</w:t>
      </w:r>
    </w:p>
    <w:tbl>
      <w:tblPr>
        <w:tblStyle w:val="1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108" w:type="dxa"/>
            <w:noWrap w:val="0"/>
            <w:vAlign w:val="center"/>
          </w:tcPr>
          <w:p>
            <w:pPr>
              <w:adjustRightInd w:val="0"/>
              <w:snapToGrid w:val="0"/>
              <w:jc w:val="center"/>
              <w:rPr>
                <w:rFonts w:hint="eastAsia" w:ascii="方正仿宋_GBK" w:hAnsi="仿宋_GB2312" w:eastAsia="方正仿宋_GBK"/>
                <w:color w:val="000000"/>
                <w:spacing w:val="10"/>
                <w:sz w:val="24"/>
              </w:rPr>
            </w:pPr>
            <w:r>
              <w:rPr>
                <w:rFonts w:hint="eastAsia" w:ascii="方正仿宋_GBK" w:hAnsi="仿宋_GB2312" w:eastAsia="方正仿宋_GBK"/>
                <w:b/>
                <w:bCs/>
                <w:color w:val="000000"/>
                <w:sz w:val="24"/>
              </w:rPr>
              <w:t>专栏  “一山一河三带四廊多片区”生态安全格局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108" w:type="dxa"/>
            <w:noWrap w:val="0"/>
            <w:vAlign w:val="center"/>
          </w:tcPr>
          <w:p>
            <w:pPr>
              <w:adjustRightInd w:val="0"/>
              <w:snapToGrid w:val="0"/>
              <w:spacing w:line="380" w:lineRule="exact"/>
              <w:ind w:firstLine="482" w:firstLineChars="200"/>
              <w:rPr>
                <w:rFonts w:hint="eastAsia" w:ascii="方正仿宋_GBK" w:hAnsi="仿宋_GB2312" w:eastAsia="方正仿宋_GBK"/>
                <w:color w:val="000000"/>
                <w:sz w:val="24"/>
              </w:rPr>
            </w:pPr>
            <w:r>
              <w:rPr>
                <w:rFonts w:hint="eastAsia" w:ascii="方正仿宋_GBK" w:hAnsi="仿宋_GB2312" w:eastAsia="方正仿宋_GBK"/>
                <w:b/>
                <w:bCs/>
                <w:color w:val="000000"/>
                <w:sz w:val="24"/>
              </w:rPr>
              <w:t>贺兰山东麓生态保护带：</w:t>
            </w:r>
            <w:r>
              <w:rPr>
                <w:rFonts w:hint="eastAsia" w:ascii="方正仿宋_GBK" w:hAnsi="仿宋_GB2312" w:eastAsia="方正仿宋_GBK"/>
                <w:color w:val="000000"/>
                <w:sz w:val="24"/>
              </w:rPr>
              <w:t>以贺兰山东麓山林为主体，平罗段生态区等林地资源，大力建设生态涵养区，保护森林植被。</w:t>
            </w:r>
          </w:p>
          <w:p>
            <w:pPr>
              <w:adjustRightInd w:val="0"/>
              <w:snapToGrid w:val="0"/>
              <w:spacing w:line="380" w:lineRule="exact"/>
              <w:ind w:firstLine="482" w:firstLineChars="200"/>
              <w:rPr>
                <w:rFonts w:hint="eastAsia" w:ascii="方正仿宋_GBK" w:hAnsi="仿宋_GB2312" w:eastAsia="方正仿宋_GBK"/>
                <w:color w:val="000000"/>
                <w:sz w:val="24"/>
              </w:rPr>
            </w:pPr>
            <w:r>
              <w:rPr>
                <w:rFonts w:hint="eastAsia" w:ascii="方正仿宋_GBK" w:hAnsi="仿宋_GB2312" w:eastAsia="方正仿宋_GBK"/>
                <w:b/>
                <w:bCs/>
                <w:color w:val="000000"/>
                <w:sz w:val="24"/>
              </w:rPr>
              <w:t>黄河湿地保护带：</w:t>
            </w:r>
            <w:r>
              <w:rPr>
                <w:rFonts w:hint="eastAsia" w:ascii="方正仿宋_GBK" w:hAnsi="仿宋_GB2312" w:eastAsia="方正仿宋_GBK"/>
                <w:color w:val="000000"/>
                <w:sz w:val="24"/>
              </w:rPr>
              <w:t>以黄河为主体，包括黄河及周边湿地、滩涂等重要生态功能区，维持生物多样性重要功能，合理利用和保护黄河岸线资源，完善黄河沿岸防护林建设，保护岸边湿地，构筑黄河东岸生态安全屏障。</w:t>
            </w:r>
          </w:p>
          <w:p>
            <w:pPr>
              <w:adjustRightInd w:val="0"/>
              <w:snapToGrid w:val="0"/>
              <w:spacing w:line="380" w:lineRule="exact"/>
              <w:ind w:firstLine="482" w:firstLineChars="200"/>
              <w:rPr>
                <w:rFonts w:hint="eastAsia" w:ascii="方正仿宋_GBK" w:hAnsi="仿宋_GB2312" w:eastAsia="方正仿宋_GBK"/>
                <w:color w:val="000000"/>
                <w:sz w:val="24"/>
              </w:rPr>
            </w:pPr>
            <w:r>
              <w:rPr>
                <w:rFonts w:hint="eastAsia" w:ascii="方正仿宋_GBK" w:hAnsi="仿宋_GB2312" w:eastAsia="方正仿宋_GBK"/>
                <w:b/>
                <w:bCs/>
                <w:color w:val="000000"/>
                <w:sz w:val="24"/>
              </w:rPr>
              <w:t>贺兰山东部防沙治沙带：</w:t>
            </w:r>
            <w:r>
              <w:rPr>
                <w:rFonts w:hint="eastAsia" w:ascii="方正仿宋_GBK" w:hAnsi="仿宋_GB2312" w:eastAsia="方正仿宋_GBK"/>
                <w:color w:val="000000"/>
                <w:sz w:val="24"/>
              </w:rPr>
              <w:t>该区包括黄河以西、贺兰山以东引黄灌区的平罗县的陶乐镇、崇岗、姚伏、通伏、城关、灵沙、宝丰、黄渠桥、高庄，该区域重点实施沙地治理、产业开发、生态建设、环境保护为一体的综合治理工程。</w:t>
            </w:r>
          </w:p>
          <w:p>
            <w:pPr>
              <w:adjustRightInd w:val="0"/>
              <w:snapToGrid w:val="0"/>
              <w:spacing w:line="380" w:lineRule="exact"/>
              <w:ind w:firstLine="482" w:firstLineChars="200"/>
              <w:rPr>
                <w:rFonts w:hint="eastAsia" w:ascii="方正仿宋_GBK" w:hAnsi="仿宋_GB2312" w:eastAsia="方正仿宋_GBK"/>
                <w:color w:val="000000"/>
                <w:sz w:val="24"/>
              </w:rPr>
            </w:pPr>
            <w:r>
              <w:rPr>
                <w:rFonts w:hint="eastAsia" w:ascii="方正仿宋_GBK" w:hAnsi="仿宋_GB2312" w:eastAsia="方正仿宋_GBK"/>
                <w:b/>
                <w:bCs/>
                <w:color w:val="000000"/>
                <w:sz w:val="24"/>
              </w:rPr>
              <w:t>“四廊”</w:t>
            </w:r>
            <w:r>
              <w:rPr>
                <w:rFonts w:hint="eastAsia" w:ascii="方正仿宋_GBK" w:hAnsi="仿宋_GB2312" w:eastAsia="方正仿宋_GBK"/>
                <w:color w:val="000000"/>
                <w:sz w:val="24"/>
              </w:rPr>
              <w:t>——黄河生态走廊、贺兰山东麓防风固沙生态走廊和沿京藏高速、国道</w:t>
            </w:r>
            <w:r>
              <w:rPr>
                <w:rFonts w:eastAsia="方正仿宋_GBK" w:cs="Times New Roman"/>
                <w:color w:val="000000"/>
                <w:sz w:val="24"/>
              </w:rPr>
              <w:t>109生态廊道。以河流水系和道路交通为主，通过重要生态功能区、绿色斑块、道路防护绿带，形成试点区域整体的生态网络。黄河生态走廊控制宽度500～3000m；贺兰山防风治沙生态走廊；沿京藏高速、国道109生态廊道控制宽度50m以上</w:t>
            </w:r>
            <w:r>
              <w:rPr>
                <w:rFonts w:hint="eastAsia" w:ascii="方正仿宋_GBK" w:hAnsi="仿宋_GB2312" w:eastAsia="方正仿宋_GBK"/>
                <w:color w:val="000000"/>
                <w:sz w:val="24"/>
              </w:rPr>
              <w:t>。</w:t>
            </w:r>
          </w:p>
          <w:p>
            <w:pPr>
              <w:adjustRightInd w:val="0"/>
              <w:snapToGrid w:val="0"/>
              <w:spacing w:line="380" w:lineRule="exact"/>
              <w:ind w:firstLine="482" w:firstLineChars="200"/>
              <w:rPr>
                <w:rFonts w:hint="eastAsia" w:ascii="仿宋_GB2312" w:hAnsi="仿宋_GB2312" w:eastAsia="仿宋_GB2312"/>
                <w:color w:val="000000"/>
                <w:spacing w:val="10"/>
                <w:sz w:val="24"/>
              </w:rPr>
            </w:pPr>
            <w:r>
              <w:rPr>
                <w:rFonts w:hint="eastAsia" w:ascii="方正仿宋_GBK" w:hAnsi="仿宋_GB2312" w:eastAsia="方正仿宋_GBK"/>
                <w:b/>
                <w:bCs/>
                <w:color w:val="000000"/>
                <w:sz w:val="24"/>
              </w:rPr>
              <w:t>“多片区”</w:t>
            </w:r>
            <w:r>
              <w:rPr>
                <w:rFonts w:hint="eastAsia" w:ascii="方正仿宋_GBK" w:hAnsi="仿宋_GB2312" w:eastAsia="方正仿宋_GBK"/>
                <w:color w:val="000000"/>
                <w:sz w:val="24"/>
              </w:rPr>
              <w:t>——贺兰山山林生态保护区、沙湖湿地涵养保护区、黄河沿线湿地保护区（镇朔湖、天河湾、典农河平罗段等）、水源地涵养林区域、基本农田保护区、贺兰山东麓葡萄长廊原产基地等生态功能区。</w:t>
            </w:r>
          </w:p>
        </w:tc>
      </w:tr>
    </w:tbl>
    <w:p>
      <w:pPr>
        <w:pStyle w:val="5"/>
        <w:keepNext w:val="0"/>
        <w:keepLines w:val="0"/>
        <w:spacing w:line="560" w:lineRule="exact"/>
        <w:ind w:firstLine="643" w:firstLineChars="200"/>
        <w:jc w:val="both"/>
        <w:rPr>
          <w:rFonts w:hint="eastAsia" w:ascii="方正仿宋_GBK" w:hAnsi="仿宋" w:eastAsia="方正仿宋_GBK" w:cs="仿宋"/>
          <w:color w:val="000000"/>
          <w:sz w:val="32"/>
        </w:rPr>
      </w:pPr>
      <w:bookmarkStart w:id="525" w:name="_Toc29860"/>
      <w:bookmarkStart w:id="526" w:name="_Toc13616"/>
      <w:bookmarkStart w:id="527" w:name="_Toc8105"/>
      <w:bookmarkStart w:id="528" w:name="_Toc6704"/>
      <w:bookmarkStart w:id="529" w:name="_Toc12078"/>
      <w:bookmarkStart w:id="530" w:name="_Toc12192"/>
      <w:bookmarkStart w:id="531" w:name="_Toc531"/>
      <w:r>
        <w:rPr>
          <w:rFonts w:eastAsia="方正仿宋_GBK" w:cs="Times New Roman"/>
          <w:color w:val="000000"/>
          <w:sz w:val="32"/>
        </w:rPr>
        <w:t>3.加强生态监管，</w:t>
      </w:r>
      <w:r>
        <w:rPr>
          <w:rFonts w:hint="eastAsia" w:ascii="方正仿宋_GBK" w:hAnsi="仿宋" w:eastAsia="方正仿宋_GBK" w:cs="仿宋"/>
          <w:color w:val="000000"/>
          <w:sz w:val="32"/>
        </w:rPr>
        <w:t>保护生物多样性和生物安全</w:t>
      </w:r>
      <w:bookmarkEnd w:id="525"/>
      <w:bookmarkEnd w:id="526"/>
      <w:bookmarkEnd w:id="527"/>
      <w:bookmarkEnd w:id="528"/>
      <w:bookmarkEnd w:id="529"/>
      <w:bookmarkEnd w:id="530"/>
      <w:bookmarkEnd w:id="531"/>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落实《中国生物多样性保护战略</w:t>
      </w:r>
      <w:r>
        <w:rPr>
          <w:rFonts w:eastAsia="方正仿宋_GBK" w:cs="Times New Roman"/>
          <w:color w:val="000000"/>
          <w:sz w:val="32"/>
          <w:szCs w:val="32"/>
        </w:rPr>
        <w:t>与行动计划（2011—2030年）》和《宁夏生物多样性保护战略与行动计划（2011—2030</w:t>
      </w:r>
      <w:r>
        <w:rPr>
          <w:rFonts w:hint="eastAsia" w:ascii="方正仿宋_GBK" w:hAnsi="仿宋_GB2312" w:eastAsia="方正仿宋_GBK"/>
          <w:color w:val="000000"/>
          <w:sz w:val="32"/>
          <w:szCs w:val="32"/>
        </w:rPr>
        <w:t>年）》，以实现保护和可持续利用生物多样性为目标，加强生物多样性保护体制与机制建设，强化生态系统、生物物种和遗传资源保护能力，提高公众保护与参与意识，推动生态文明建设，促进人与自然和谐。石嘴山属于</w:t>
      </w:r>
      <w:r>
        <w:rPr>
          <w:rFonts w:hint="eastAsia" w:ascii="方正仿宋_GBK" w:hAnsi="仿宋_GB2312" w:eastAsia="方正仿宋_GBK"/>
          <w:color w:val="000000"/>
          <w:sz w:val="32"/>
          <w:szCs w:val="32"/>
          <w:lang w:val="zh-CN"/>
        </w:rPr>
        <w:t>西鄂尔多斯－贺兰山－阴山优先区，推动实施“一区一策”，提升</w:t>
      </w:r>
      <w:r>
        <w:rPr>
          <w:rFonts w:hint="eastAsia" w:ascii="方正仿宋_GBK" w:hAnsi="仿宋_GB2312" w:eastAsia="方正仿宋_GBK"/>
          <w:color w:val="000000"/>
          <w:sz w:val="32"/>
          <w:szCs w:val="32"/>
        </w:rPr>
        <w:t>贺兰山国家级</w:t>
      </w:r>
      <w:r>
        <w:rPr>
          <w:rFonts w:hint="eastAsia" w:ascii="方正仿宋_GBK" w:hAnsi="仿宋_GB2312" w:eastAsia="方正仿宋_GBK"/>
          <w:color w:val="000000"/>
          <w:sz w:val="32"/>
          <w:szCs w:val="32"/>
          <w:lang w:val="zh-CN"/>
        </w:rPr>
        <w:t>自然保护区、</w:t>
      </w:r>
      <w:r>
        <w:rPr>
          <w:rFonts w:hint="eastAsia" w:ascii="方正仿宋_GBK" w:hAnsi="仿宋_GB2312" w:eastAsia="方正仿宋_GBK"/>
          <w:color w:val="000000"/>
          <w:sz w:val="32"/>
          <w:szCs w:val="32"/>
        </w:rPr>
        <w:t>沙湖自治区级</w:t>
      </w:r>
      <w:r>
        <w:rPr>
          <w:rFonts w:hint="eastAsia" w:ascii="方正仿宋_GBK" w:hAnsi="仿宋_GB2312" w:eastAsia="方正仿宋_GBK"/>
          <w:color w:val="000000"/>
          <w:sz w:val="32"/>
          <w:szCs w:val="32"/>
          <w:lang w:val="zh-CN"/>
        </w:rPr>
        <w:t>自然保护区</w:t>
      </w:r>
      <w:r>
        <w:rPr>
          <w:rFonts w:eastAsia="方正仿宋_GBK" w:cs="Times New Roman"/>
          <w:color w:val="000000"/>
          <w:sz w:val="32"/>
          <w:szCs w:val="32"/>
          <w:lang w:val="zh-CN"/>
        </w:rPr>
        <w:t>、</w:t>
      </w:r>
      <w:r>
        <w:rPr>
          <w:rFonts w:eastAsia="方正仿宋_GBK" w:cs="Times New Roman"/>
          <w:color w:val="000000"/>
          <w:sz w:val="32"/>
          <w:szCs w:val="32"/>
        </w:rPr>
        <w:t>2个国家级湿地</w:t>
      </w:r>
      <w:r>
        <w:rPr>
          <w:rFonts w:hint="eastAsia" w:ascii="方正仿宋_GBK" w:hAnsi="仿宋_GB2312" w:eastAsia="方正仿宋_GBK"/>
          <w:color w:val="000000"/>
          <w:sz w:val="32"/>
          <w:szCs w:val="32"/>
        </w:rPr>
        <w:t>公园（天河湾、镇朔湖）</w:t>
      </w:r>
      <w:r>
        <w:rPr>
          <w:rFonts w:hint="eastAsia" w:ascii="方正仿宋_GBK" w:hAnsi="仿宋_GB2312" w:eastAsia="方正仿宋_GBK"/>
          <w:color w:val="000000"/>
          <w:sz w:val="32"/>
          <w:szCs w:val="32"/>
          <w:lang w:val="zh-CN"/>
        </w:rPr>
        <w:t>等生物多样性丰富地区的监管力度</w:t>
      </w:r>
      <w:r>
        <w:rPr>
          <w:rFonts w:hint="eastAsia" w:ascii="方正仿宋_GBK" w:hAnsi="仿宋_GB2312" w:eastAsia="方正仿宋_GBK"/>
          <w:color w:val="000000"/>
          <w:sz w:val="32"/>
          <w:szCs w:val="32"/>
        </w:rPr>
        <w:t>，严守生物多样性基本生态空间，加强优先区域保护能力建设与监管体系完善，促进优先区域社会经济可持续发展，提升生物多样性管理水平。</w:t>
      </w:r>
    </w:p>
    <w:p>
      <w:pPr>
        <w:pStyle w:val="4"/>
        <w:keepNext w:val="0"/>
        <w:keepLines w:val="0"/>
        <w:spacing w:line="560" w:lineRule="exact"/>
        <w:ind w:firstLine="643" w:firstLineChars="200"/>
        <w:jc w:val="both"/>
        <w:rPr>
          <w:rFonts w:hint="eastAsia" w:ascii="方正楷体_GBK" w:hAnsi="楷体" w:eastAsia="方正楷体_GBK" w:cs="楷体"/>
          <w:color w:val="000000"/>
          <w:sz w:val="32"/>
        </w:rPr>
      </w:pPr>
      <w:bookmarkStart w:id="532" w:name="_Toc27343"/>
      <w:bookmarkStart w:id="533" w:name="_Toc3516"/>
      <w:bookmarkStart w:id="534" w:name="_Toc19519"/>
      <w:bookmarkStart w:id="535" w:name="_Toc24691"/>
      <w:bookmarkStart w:id="536" w:name="_Toc16544"/>
      <w:bookmarkStart w:id="537" w:name="_Toc5907"/>
      <w:bookmarkStart w:id="538" w:name="_Toc4608"/>
      <w:bookmarkStart w:id="539" w:name="_Toc31288"/>
      <w:bookmarkStart w:id="540" w:name="_Toc11853"/>
      <w:r>
        <w:rPr>
          <w:rFonts w:hint="eastAsia" w:ascii="方正楷体_GBK" w:hAnsi="楷体" w:eastAsia="方正楷体_GBK" w:cs="楷体"/>
          <w:color w:val="000000"/>
          <w:sz w:val="32"/>
        </w:rPr>
        <w:t>（八）加强环境风险防控，筑牢环境安全底线</w:t>
      </w:r>
      <w:bookmarkEnd w:id="532"/>
      <w:bookmarkEnd w:id="533"/>
      <w:bookmarkEnd w:id="534"/>
      <w:bookmarkEnd w:id="535"/>
      <w:bookmarkEnd w:id="536"/>
      <w:bookmarkEnd w:id="537"/>
      <w:bookmarkEnd w:id="538"/>
      <w:bookmarkEnd w:id="539"/>
      <w:bookmarkEnd w:id="540"/>
    </w:p>
    <w:p>
      <w:pPr>
        <w:pStyle w:val="5"/>
        <w:keepNext w:val="0"/>
        <w:keepLines w:val="0"/>
        <w:spacing w:line="560" w:lineRule="exact"/>
        <w:ind w:firstLine="643" w:firstLineChars="200"/>
        <w:jc w:val="both"/>
        <w:rPr>
          <w:rFonts w:hint="eastAsia" w:ascii="方正仿宋_GBK" w:hAnsi="仿宋_GB2312" w:eastAsia="方正仿宋_GBK"/>
          <w:color w:val="000000"/>
          <w:sz w:val="32"/>
        </w:rPr>
      </w:pPr>
      <w:bookmarkStart w:id="541" w:name="_Toc22004"/>
      <w:bookmarkStart w:id="542" w:name="_Toc29387"/>
      <w:bookmarkStart w:id="543" w:name="_Toc7064"/>
      <w:bookmarkStart w:id="544" w:name="_Toc7213"/>
      <w:bookmarkStart w:id="545" w:name="_Toc14716"/>
      <w:bookmarkStart w:id="546" w:name="_Toc1048"/>
      <w:r>
        <w:rPr>
          <w:rFonts w:eastAsia="方正仿宋_GBK" w:cs="Times New Roman"/>
          <w:color w:val="000000"/>
          <w:sz w:val="32"/>
        </w:rPr>
        <w:t>1.</w:t>
      </w:r>
      <w:bookmarkEnd w:id="541"/>
      <w:bookmarkEnd w:id="542"/>
      <w:bookmarkEnd w:id="543"/>
      <w:bookmarkEnd w:id="544"/>
      <w:bookmarkEnd w:id="545"/>
      <w:bookmarkStart w:id="547" w:name="_Toc5188"/>
      <w:bookmarkStart w:id="548" w:name="_Toc7936"/>
      <w:bookmarkStart w:id="549" w:name="_Toc8943"/>
      <w:bookmarkStart w:id="550" w:name="_Toc31242"/>
      <w:bookmarkStart w:id="551" w:name="_Toc28019"/>
      <w:r>
        <w:rPr>
          <w:rFonts w:eastAsia="方正仿宋_GBK" w:cs="Times New Roman"/>
          <w:color w:val="000000"/>
          <w:sz w:val="32"/>
        </w:rPr>
        <w:t>提升应</w:t>
      </w:r>
      <w:r>
        <w:rPr>
          <w:rFonts w:hint="eastAsia" w:ascii="方正仿宋_GBK" w:hAnsi="仿宋" w:eastAsia="方正仿宋_GBK" w:cs="仿宋"/>
          <w:color w:val="000000"/>
          <w:sz w:val="32"/>
        </w:rPr>
        <w:t>急处置能力，防范突发性环境风险</w:t>
      </w:r>
      <w:bookmarkEnd w:id="546"/>
      <w:bookmarkEnd w:id="547"/>
      <w:bookmarkEnd w:id="548"/>
      <w:bookmarkEnd w:id="549"/>
      <w:bookmarkEnd w:id="550"/>
      <w:bookmarkEnd w:id="551"/>
    </w:p>
    <w:p>
      <w:pPr>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sz w:val="32"/>
          <w:szCs w:val="32"/>
        </w:rPr>
        <w:t>从应急领域的人员、机制、物资及措施等各个方面强化环境应急能力建设。开展风险防控，企业风险应当突出企业安全主体责任，企业通过建立自查、自报、自改、自验的隐患排查治理组织实施制度，从源头上加大防控力度；流域和大气环境风险管控，加强流域环境风险和大气环境风险管控；突发环境事件的风险管控，快速有效开展事故处理处置，坚决避免二次污染，最大限度地减轻对生态环境的影响。全面提升环境应急管理指挥系统智能化水平，形成预警监测准确、资源调度便利、指挥处置迅速地应急管理“按图作战”模式，为科学开展应急指挥决策，高效开展突发环境事件应急处置，最大限度降低事件影响奠定坚实基础。</w:t>
      </w:r>
    </w:p>
    <w:p>
      <w:pPr>
        <w:spacing w:line="560" w:lineRule="exact"/>
        <w:ind w:firstLine="643" w:firstLineChars="200"/>
        <w:jc w:val="both"/>
        <w:outlineLvl w:val="2"/>
        <w:rPr>
          <w:rFonts w:eastAsia="方正仿宋_GBK" w:cs="Times New Roman"/>
          <w:b/>
          <w:bCs/>
          <w:color w:val="000000"/>
          <w:sz w:val="32"/>
          <w:szCs w:val="32"/>
        </w:rPr>
      </w:pPr>
      <w:bookmarkStart w:id="552" w:name="_Toc7042"/>
      <w:bookmarkStart w:id="553" w:name="_Toc21172"/>
      <w:bookmarkStart w:id="554" w:name="_Toc10238"/>
      <w:bookmarkStart w:id="555" w:name="_Toc21480"/>
      <w:bookmarkStart w:id="556" w:name="_Toc17305"/>
      <w:r>
        <w:rPr>
          <w:rFonts w:eastAsia="方正仿宋_GBK" w:cs="Times New Roman"/>
          <w:b/>
          <w:bCs/>
          <w:color w:val="000000"/>
          <w:sz w:val="32"/>
          <w:szCs w:val="32"/>
        </w:rPr>
        <w:t>2.完善监管体系，预防累积性风险</w:t>
      </w:r>
      <w:bookmarkEnd w:id="552"/>
      <w:bookmarkEnd w:id="553"/>
      <w:bookmarkEnd w:id="554"/>
      <w:bookmarkEnd w:id="555"/>
      <w:bookmarkEnd w:id="556"/>
    </w:p>
    <w:p>
      <w:pPr>
        <w:spacing w:line="560" w:lineRule="exact"/>
        <w:ind w:firstLine="640" w:firstLineChars="200"/>
        <w:jc w:val="both"/>
        <w:rPr>
          <w:rFonts w:hint="eastAsia" w:ascii="方正仿宋_GBK" w:hAnsi="仿宋_GB2312" w:eastAsia="方正仿宋_GBK"/>
          <w:color w:val="000000"/>
          <w:sz w:val="32"/>
          <w:szCs w:val="32"/>
          <w:lang w:val="zh-CN"/>
        </w:rPr>
      </w:pPr>
      <w:r>
        <w:rPr>
          <w:rFonts w:eastAsia="方正仿宋_GBK" w:cs="Times New Roman"/>
          <w:color w:val="000000"/>
          <w:sz w:val="32"/>
          <w:szCs w:val="32"/>
        </w:rPr>
        <w:t>推进</w:t>
      </w:r>
      <w:r>
        <w:rPr>
          <w:rFonts w:hint="eastAsia" w:ascii="方正仿宋_GBK" w:hAnsi="仿宋_GB2312" w:eastAsia="方正仿宋_GBK"/>
          <w:color w:val="000000"/>
          <w:sz w:val="32"/>
          <w:szCs w:val="32"/>
        </w:rPr>
        <w:t>联合执法、区域执法、交叉执法，全面实施环境监管网格化、全覆盖管理。强化污染源日常环境监管，推动环保行政执法与刑事司法的高效衔接。开展</w:t>
      </w:r>
      <w:r>
        <w:rPr>
          <w:rFonts w:hint="eastAsia" w:ascii="方正仿宋_GBK" w:hAnsi="仿宋_GB2312" w:eastAsia="方正仿宋_GBK"/>
          <w:color w:val="000000"/>
          <w:sz w:val="32"/>
          <w:szCs w:val="32"/>
          <w:lang w:val="zh-CN"/>
        </w:rPr>
        <w:t>河湖底泥、滩涂有毒有害污染物或持久性有机污染物累积风险调查评估，</w:t>
      </w:r>
      <w:r>
        <w:rPr>
          <w:rFonts w:hint="eastAsia" w:ascii="方正仿宋_GBK" w:hAnsi="仿宋_GB2312" w:eastAsia="方正仿宋_GBK"/>
          <w:color w:val="000000"/>
          <w:sz w:val="32"/>
          <w:szCs w:val="32"/>
        </w:rPr>
        <w:t>依据</w:t>
      </w:r>
      <w:r>
        <w:rPr>
          <w:rFonts w:hint="eastAsia" w:ascii="方正仿宋_GBK" w:hAnsi="仿宋_GB2312" w:eastAsia="方正仿宋_GBK"/>
          <w:color w:val="000000"/>
          <w:sz w:val="32"/>
          <w:szCs w:val="32"/>
          <w:lang w:val="zh-CN"/>
        </w:rPr>
        <w:t>结果，视情况开展治理修复工作。</w:t>
      </w:r>
    </w:p>
    <w:bookmarkEnd w:id="309"/>
    <w:bookmarkEnd w:id="310"/>
    <w:bookmarkEnd w:id="311"/>
    <w:bookmarkEnd w:id="512"/>
    <w:bookmarkEnd w:id="513"/>
    <w:bookmarkEnd w:id="514"/>
    <w:bookmarkEnd w:id="515"/>
    <w:bookmarkEnd w:id="516"/>
    <w:bookmarkEnd w:id="517"/>
    <w:bookmarkEnd w:id="518"/>
    <w:p>
      <w:pPr>
        <w:pStyle w:val="4"/>
        <w:keepNext w:val="0"/>
        <w:keepLines w:val="0"/>
        <w:spacing w:line="560" w:lineRule="exact"/>
        <w:ind w:firstLine="643" w:firstLineChars="200"/>
        <w:jc w:val="both"/>
        <w:rPr>
          <w:rFonts w:hint="eastAsia" w:ascii="方正楷体_GBK" w:hAnsi="楷体_GB2312" w:eastAsia="方正楷体_GBK" w:cs="楷体_GB2312"/>
          <w:sz w:val="32"/>
        </w:rPr>
      </w:pPr>
      <w:bookmarkStart w:id="557" w:name="_Toc642"/>
      <w:bookmarkStart w:id="558" w:name="_Toc5161"/>
      <w:r>
        <w:rPr>
          <w:rFonts w:hint="eastAsia" w:ascii="方正楷体_GBK" w:hAnsi="楷体_GB2312" w:eastAsia="方正楷体_GBK" w:cs="楷体_GB2312"/>
          <w:sz w:val="32"/>
        </w:rPr>
        <w:t>（九）保障措施</w:t>
      </w:r>
      <w:bookmarkEnd w:id="557"/>
      <w:bookmarkEnd w:id="558"/>
    </w:p>
    <w:p>
      <w:pPr>
        <w:pStyle w:val="5"/>
        <w:keepNext w:val="0"/>
        <w:keepLines w:val="0"/>
        <w:spacing w:line="560" w:lineRule="exact"/>
        <w:ind w:firstLine="643" w:firstLineChars="200"/>
        <w:jc w:val="both"/>
        <w:rPr>
          <w:rFonts w:hint="eastAsia" w:ascii="方正仿宋_GBK" w:hAnsi="仿宋_GB2312" w:eastAsia="方正仿宋_GBK"/>
          <w:sz w:val="32"/>
        </w:rPr>
      </w:pPr>
      <w:bookmarkStart w:id="559" w:name="_Toc23473"/>
      <w:bookmarkStart w:id="560" w:name="_Toc24700"/>
      <w:r>
        <w:rPr>
          <w:rFonts w:eastAsia="方正仿宋_GBK" w:cs="Times New Roman"/>
          <w:sz w:val="32"/>
        </w:rPr>
        <w:t>1.强化</w:t>
      </w:r>
      <w:r>
        <w:rPr>
          <w:rFonts w:hint="eastAsia" w:ascii="方正仿宋_GBK" w:hAnsi="仿宋_GB2312" w:eastAsia="方正仿宋_GBK"/>
          <w:sz w:val="32"/>
        </w:rPr>
        <w:t>组织领导</w:t>
      </w:r>
      <w:bookmarkEnd w:id="559"/>
      <w:bookmarkEnd w:id="560"/>
    </w:p>
    <w:p>
      <w:pPr>
        <w:spacing w:line="560" w:lineRule="exact"/>
        <w:ind w:firstLine="640" w:firstLineChars="200"/>
        <w:jc w:val="both"/>
        <w:rPr>
          <w:rFonts w:hint="eastAsia" w:ascii="方正仿宋_GBK" w:hAnsi="仿宋_GB2312" w:eastAsia="方正仿宋_GBK"/>
          <w:color w:val="000000"/>
          <w:kern w:val="0"/>
          <w:sz w:val="32"/>
          <w:szCs w:val="32"/>
          <w:lang w:bidi="ar"/>
        </w:rPr>
      </w:pPr>
      <w:r>
        <w:rPr>
          <w:rFonts w:hint="eastAsia" w:ascii="方正仿宋_GBK" w:hAnsi="仿宋_GB2312" w:eastAsia="方正仿宋_GBK"/>
          <w:color w:val="000000"/>
          <w:kern w:val="0"/>
          <w:sz w:val="32"/>
          <w:szCs w:val="32"/>
          <w:lang w:bidi="ar"/>
        </w:rPr>
        <w:t xml:space="preserve">各乡镇党委、政府及有关部门落实“党政同责、一岗双责”，组织制订具体的实施方案，严格履行环保职责，各司其职，密切配合，确保各项工作任务落地落实，进一步巩固完善齐抓共管治理大格局。 </w:t>
      </w:r>
    </w:p>
    <w:p>
      <w:pPr>
        <w:pStyle w:val="5"/>
        <w:keepNext w:val="0"/>
        <w:keepLines w:val="0"/>
        <w:spacing w:line="560" w:lineRule="exact"/>
        <w:ind w:firstLine="643" w:firstLineChars="200"/>
        <w:jc w:val="both"/>
        <w:rPr>
          <w:rFonts w:hint="eastAsia" w:ascii="方正仿宋_GBK" w:hAnsi="仿宋_GB2312" w:eastAsia="方正仿宋_GBK"/>
          <w:sz w:val="32"/>
        </w:rPr>
      </w:pPr>
      <w:bookmarkStart w:id="561" w:name="_Toc20430"/>
      <w:bookmarkStart w:id="562" w:name="_Toc26127"/>
      <w:r>
        <w:rPr>
          <w:rFonts w:eastAsia="方正仿宋_GBK" w:cs="Times New Roman"/>
          <w:sz w:val="32"/>
        </w:rPr>
        <w:t>2.强化资金投</w:t>
      </w:r>
      <w:r>
        <w:rPr>
          <w:rFonts w:hint="eastAsia" w:ascii="方正仿宋_GBK" w:hAnsi="仿宋_GB2312" w:eastAsia="方正仿宋_GBK"/>
          <w:sz w:val="32"/>
        </w:rPr>
        <w:t>入</w:t>
      </w:r>
      <w:bookmarkEnd w:id="561"/>
      <w:bookmarkEnd w:id="562"/>
    </w:p>
    <w:p>
      <w:pPr>
        <w:spacing w:line="560" w:lineRule="exact"/>
        <w:ind w:firstLine="640" w:firstLineChars="200"/>
        <w:jc w:val="both"/>
        <w:rPr>
          <w:rFonts w:hint="eastAsia" w:ascii="方正仿宋_GBK" w:eastAsia="方正仿宋_GBK"/>
          <w:sz w:val="32"/>
          <w:szCs w:val="32"/>
        </w:rPr>
      </w:pPr>
      <w:r>
        <w:rPr>
          <w:rFonts w:hint="eastAsia" w:ascii="方正仿宋_GBK" w:hAnsi="仿宋_GB2312" w:eastAsia="方正仿宋_GBK"/>
          <w:color w:val="000000"/>
          <w:kern w:val="0"/>
          <w:sz w:val="32"/>
          <w:szCs w:val="32"/>
          <w:lang w:bidi="ar"/>
        </w:rPr>
        <w:t>通过建立政府、企业、社会多元化投资机制，拓宽融资渠道， 鼓励民间和社会资本进入环境污染防治领域，积极推进政府和社会资本合作，运用市场机制，引导社会资本参与生态环境保护项目建设，推动形成多元投入机制。积极争取山水林田湖草沙、中央环保专项资金、自治区级环保专项资金和县区财政环保专项资金。同时，加强财政预算与规划实施的有效衔接，按照生态环境治理要求，整合生态环保资金，推进十四五生态环境保护重大项目实施。</w:t>
      </w:r>
      <w:r>
        <w:rPr>
          <w:rFonts w:hint="eastAsia" w:ascii="方正仿宋_GBK" w:hAnsi="仿宋" w:eastAsia="方正仿宋_GBK" w:cs="仿宋"/>
          <w:color w:val="000000"/>
          <w:kern w:val="0"/>
          <w:sz w:val="32"/>
          <w:szCs w:val="32"/>
          <w:lang w:bidi="ar"/>
        </w:rPr>
        <w:t xml:space="preserve"> </w:t>
      </w:r>
    </w:p>
    <w:p>
      <w:pPr>
        <w:spacing w:line="560" w:lineRule="exact"/>
        <w:ind w:firstLine="602" w:firstLineChars="200"/>
        <w:jc w:val="both"/>
        <w:rPr>
          <w:rFonts w:hint="eastAsia" w:ascii="方正仿宋_GBK" w:hAnsi="仿宋_GB2312" w:eastAsia="方正仿宋_GBK"/>
          <w:sz w:val="32"/>
          <w:szCs w:val="32"/>
        </w:rPr>
      </w:pPr>
      <w:bookmarkStart w:id="563" w:name="_Toc969"/>
      <w:bookmarkStart w:id="564" w:name="_Toc10058"/>
      <w:r>
        <w:rPr>
          <w:rStyle w:val="15"/>
          <w:rFonts w:eastAsia="方正仿宋_GBK" w:cs="Times New Roman"/>
        </w:rPr>
        <w:t>3.强化责</w:t>
      </w:r>
      <w:r>
        <w:rPr>
          <w:rStyle w:val="15"/>
          <w:rFonts w:hint="eastAsia" w:ascii="方正仿宋_GBK" w:hAnsi="仿宋_GB2312" w:eastAsia="方正仿宋_GBK"/>
        </w:rPr>
        <w:t>任落实</w:t>
      </w:r>
      <w:bookmarkEnd w:id="563"/>
      <w:bookmarkEnd w:id="564"/>
    </w:p>
    <w:p>
      <w:pPr>
        <w:spacing w:line="560" w:lineRule="exact"/>
        <w:ind w:firstLine="640" w:firstLineChars="200"/>
        <w:jc w:val="both"/>
        <w:rPr>
          <w:rFonts w:hint="eastAsia" w:ascii="方正仿宋_GBK" w:hAnsi="仿宋_GB2312" w:eastAsia="方正仿宋_GBK"/>
          <w:color w:val="000000"/>
          <w:kern w:val="0"/>
          <w:sz w:val="32"/>
          <w:szCs w:val="32"/>
          <w:lang w:bidi="ar"/>
        </w:rPr>
      </w:pPr>
      <w:r>
        <w:rPr>
          <w:rFonts w:hint="eastAsia" w:ascii="方正仿宋_GBK" w:hAnsi="仿宋_GB2312" w:eastAsia="方正仿宋_GBK"/>
          <w:color w:val="000000"/>
          <w:kern w:val="0"/>
          <w:sz w:val="32"/>
          <w:szCs w:val="32"/>
          <w:lang w:bidi="ar"/>
        </w:rPr>
        <w:t xml:space="preserve">各乡镇及有关部门要把本规划提出的任务和要求纳入本部门“十四五”规划，提出具体的落实措施。完善常态化监管机制，强化责任落实，严肃责任追究，保障生态环境安全。 </w:t>
      </w:r>
    </w:p>
    <w:p>
      <w:pPr>
        <w:pStyle w:val="5"/>
        <w:keepNext w:val="0"/>
        <w:keepLines w:val="0"/>
        <w:spacing w:line="560" w:lineRule="exact"/>
        <w:ind w:firstLine="643" w:firstLineChars="200"/>
        <w:jc w:val="both"/>
        <w:rPr>
          <w:rFonts w:hint="eastAsia" w:ascii="方正仿宋_GBK" w:hAnsi="仿宋_GB2312" w:eastAsia="方正仿宋_GBK"/>
          <w:sz w:val="32"/>
        </w:rPr>
      </w:pPr>
      <w:bookmarkStart w:id="565" w:name="_Toc5392"/>
      <w:bookmarkStart w:id="566" w:name="_Toc11497"/>
      <w:r>
        <w:rPr>
          <w:rFonts w:eastAsia="方正仿宋_GBK" w:cs="Times New Roman"/>
          <w:sz w:val="32"/>
        </w:rPr>
        <w:t>4.强化评</w:t>
      </w:r>
      <w:r>
        <w:rPr>
          <w:rFonts w:hint="eastAsia" w:ascii="方正仿宋_GBK" w:hAnsi="仿宋_GB2312" w:eastAsia="方正仿宋_GBK"/>
          <w:sz w:val="32"/>
        </w:rPr>
        <w:t>估考核</w:t>
      </w:r>
      <w:bookmarkEnd w:id="565"/>
      <w:bookmarkEnd w:id="566"/>
      <w:r>
        <w:rPr>
          <w:rFonts w:hint="eastAsia" w:ascii="方正仿宋_GBK" w:hAnsi="仿宋_GB2312" w:eastAsia="方正仿宋_GBK"/>
          <w:sz w:val="32"/>
        </w:rPr>
        <w:t xml:space="preserve"> </w:t>
      </w:r>
    </w:p>
    <w:p>
      <w:pPr>
        <w:adjustRightInd w:val="0"/>
        <w:spacing w:line="560" w:lineRule="exact"/>
        <w:ind w:firstLine="640" w:firstLineChars="200"/>
        <w:jc w:val="both"/>
        <w:rPr>
          <w:rFonts w:hint="eastAsia" w:ascii="方正仿宋_GBK" w:hAnsi="仿宋_GB2312" w:eastAsia="方正仿宋_GBK"/>
          <w:color w:val="000000"/>
          <w:sz w:val="32"/>
          <w:szCs w:val="32"/>
        </w:rPr>
      </w:pPr>
      <w:r>
        <w:rPr>
          <w:rFonts w:hint="eastAsia" w:ascii="方正仿宋_GBK" w:hAnsi="仿宋_GB2312" w:eastAsia="方正仿宋_GBK"/>
          <w:color w:val="000000"/>
          <w:kern w:val="0"/>
          <w:sz w:val="32"/>
          <w:szCs w:val="32"/>
          <w:lang w:bidi="ar"/>
        </w:rPr>
        <w:t>建立规划实施情况年度调度机制，完善规划实施的考核评估机制。将规划目标和主要任务纳入县有关部门政绩考核和环保责任考核内容。定期组织调度，开展中期评估和总结评估，依据评估结果对规划目标任务进行科学调整，评估结果作为考核依据并及时向社会公布。加强规划宣传，增强公众对规划的认知、认可和认同，营造全社会共同参与和支持规划实施的良好氛围</w:t>
      </w:r>
      <w:r>
        <w:rPr>
          <w:rFonts w:hint="eastAsia" w:ascii="方正仿宋_GBK" w:hAnsi="仿宋_GB2312" w:eastAsia="方正仿宋_GBK"/>
          <w:color w:val="000000"/>
          <w:sz w:val="32"/>
          <w:szCs w:val="32"/>
        </w:rPr>
        <w:t>。</w:t>
      </w:r>
    </w:p>
    <w:bookmarkEnd w:id="1"/>
    <w:p/>
    <w:sectPr>
      <w:pgSz w:w="11906" w:h="16838"/>
      <w:pgMar w:top="1928"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hint="eastAsia" w:ascii="宋体" w:hAnsi="宋体" w:eastAsia="宋体"/>
        <w:sz w:val="28"/>
        <w:szCs w:val="28"/>
      </w:rPr>
    </w:pPr>
    <w:r>
      <w:rPr>
        <w:rStyle w:val="13"/>
        <w:rFonts w:hint="eastAsia" w:ascii="宋体" w:hAnsi="宋体" w:eastAsia="宋体"/>
        <w:sz w:val="28"/>
        <w:szCs w:val="28"/>
      </w:rPr>
      <w:t xml:space="preserve">— </w:t>
    </w:r>
    <w:r>
      <w:rPr>
        <w:rStyle w:val="13"/>
        <w:rFonts w:ascii="宋体" w:hAnsi="宋体" w:eastAsia="宋体"/>
        <w:sz w:val="28"/>
        <w:szCs w:val="28"/>
      </w:rPr>
      <w:fldChar w:fldCharType="begin"/>
    </w:r>
    <w:r>
      <w:rPr>
        <w:rStyle w:val="13"/>
        <w:rFonts w:ascii="宋体" w:hAnsi="宋体" w:eastAsia="宋体"/>
        <w:sz w:val="28"/>
        <w:szCs w:val="28"/>
      </w:rPr>
      <w:instrText xml:space="preserve">PAGE  </w:instrText>
    </w:r>
    <w:r>
      <w:rPr>
        <w:rStyle w:val="13"/>
        <w:rFonts w:ascii="宋体" w:hAnsi="宋体" w:eastAsia="宋体"/>
        <w:sz w:val="28"/>
        <w:szCs w:val="28"/>
      </w:rPr>
      <w:fldChar w:fldCharType="separate"/>
    </w:r>
    <w:r>
      <w:rPr>
        <w:rStyle w:val="13"/>
        <w:rFonts w:ascii="宋体" w:hAnsi="宋体" w:eastAsia="宋体"/>
        <w:sz w:val="28"/>
        <w:szCs w:val="28"/>
      </w:rPr>
      <w:t>42</w:t>
    </w:r>
    <w:r>
      <w:rPr>
        <w:rStyle w:val="13"/>
        <w:rFonts w:ascii="宋体" w:hAnsi="宋体" w:eastAsia="宋体"/>
        <w:sz w:val="28"/>
        <w:szCs w:val="28"/>
      </w:rPr>
      <w:fldChar w:fldCharType="end"/>
    </w:r>
    <w:r>
      <w:rPr>
        <w:rStyle w:val="13"/>
        <w:rFonts w:hint="eastAsia" w:ascii="宋体" w:hAnsi="宋体" w:eastAsia="宋体"/>
        <w:sz w:val="28"/>
        <w:szCs w:val="28"/>
      </w:rPr>
      <w:t xml:space="preserve"> —</w:t>
    </w:r>
  </w:p>
  <w:p>
    <w:pPr>
      <w:pStyle w:val="7"/>
      <w:tabs>
        <w:tab w:val="center" w:pos="4350"/>
        <w:tab w:val="clear" w:pos="4153"/>
        <w:tab w:val="clear" w:pos="8306"/>
      </w:tabs>
      <w:ind w:right="360" w:firstLine="360"/>
      <w:jc w:val="both"/>
      <w:rPr>
        <w:rFonts w:hint="eastAsia"/>
        <w:sz w:val="28"/>
        <w:szCs w:val="28"/>
      </w:rPr>
    </w:pPr>
    <w:r>
      <mc:AlternateContent>
        <mc:Choice Requires="wps">
          <w:drawing>
            <wp:anchor distT="0" distB="0" distL="114300" distR="114300" simplePos="0" relativeHeight="251659264" behindDoc="0" locked="0" layoutInCell="1" allowOverlap="1">
              <wp:simplePos x="0" y="0"/>
              <wp:positionH relativeFrom="margin">
                <wp:posOffset>2513965</wp:posOffset>
              </wp:positionH>
              <wp:positionV relativeFrom="paragraph">
                <wp:posOffset>-17780</wp:posOffset>
              </wp:positionV>
              <wp:extent cx="485140" cy="1225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5140" cy="122555"/>
                      </a:xfrm>
                      <a:prstGeom prst="rect">
                        <a:avLst/>
                      </a:prstGeom>
                      <a:noFill/>
                      <a:ln>
                        <a:noFill/>
                      </a:ln>
                    </wps:spPr>
                    <wps:txbx>
                      <w:txbxContent>
                        <w:p>
                          <w:pPr>
                            <w:pStyle w:val="7"/>
                            <w:tabs>
                              <w:tab w:val="clear" w:pos="8306"/>
                            </w:tabs>
                            <w:jc w:val="both"/>
                            <w:rPr>
                              <w:rFonts w:ascii="宋体" w:hAnsi="宋体" w:eastAsia="宋体" w:cs="宋体"/>
                              <w:sz w:val="28"/>
                              <w:szCs w:val="28"/>
                            </w:rPr>
                          </w:pP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left:197.95pt;margin-top:-1.4pt;height:9.65pt;width:38.2pt;mso-position-horizontal-relative:margin;z-index:251659264;mso-width-relative:page;mso-height-relative:page;" filled="f" stroked="f" coordsize="21600,21600" o:gfxdata="UEsDBAoAAAAAAIdO4kAAAAAAAAAAAAAAAAAEAAAAZHJzL1BLAwQUAAAACACHTuJAyc9t1NkAAAAJ&#10;AQAADwAAAGRycy9kb3ducmV2LnhtbE2Py07DMBBF90j8gzVI7Fq7KQ1NGqdCCFZIqGlYsHRiN7Ea&#10;j0PsPvh7hhUsR3N077nF9uoGdjZTsB4lLOYCmMHWa4udhI/6dbYGFqJCrQaPRsK3CbAtb28KlWt/&#10;wcqc97FjFIIhVxL6GMec89D2xqkw96NB+h385FSkc+q4ntSFwt3AEyFS7pRFaujVaJ570x73Jyfh&#10;6ROrF/v13uyqQ2XrOhP4lh6lvL9biA2waK7xD4ZffVKHkpwaf0Id2CBhma0yQiXMEppAwMNjsgTW&#10;EJmugJcF/7+g/AFQSwMEFAAAAAgAh07iQGXaUI26AQAAcQMAAA4AAABkcnMvZTJvRG9jLnhtbK1T&#10;QW7bMBC8F8gfCN5j2kJcBILlAIWRIkDQFkj7AJoiLQIklyBpS/5A+4Oeeum97/I7uqQsp00vOfRC&#10;rXZXw5nZ1epusIYcZIgaXEMXszkl0glotds19Mvn++tbSmLiruUGnGzoUUZ6t756s+p9LSvowLQy&#10;EARxse59Q7uUfM1YFJ20PM7AS4dFBcHyhK9hx9rAe0S3hlXz+VvWQ2h9ACFjxOxmLNIzYngNICil&#10;hdyA2Fvp0ogapOEJJcVO+0jXha1SUqSPSkWZiGkoKk3lxEsw3uaTrVe83gXuOy3OFPhrKLzQZLl2&#10;eOkFasMTJ/ug/4GyWgSIoNJMgGWjkOIIqljMX3jz1HEvixa0OvqL6fH/wYoPh0+B6LahFSWOWxz4&#10;6fu3049fp59fSZXt6X2ssevJY18a3sGASzPlIyaz6kEFm5+oh2AdzT1ezJVDIgKTN7fLxQ1WBJYW&#10;VbVcLjMKe/7Yh5jeS7AkBw0NOLtiKT88xjS2Ti35Lgf32pgyP+P+SiBmzrDMfGSYozRsh7OcLbRH&#10;VGMeHDqZt2IKwhRsp2Dvg951ZW0yhQyEkyi8z1uTR/3ne+l6/l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z23U2QAAAAkBAAAPAAAAAAAAAAEAIAAAACIAAABkcnMvZG93bnJldi54bWxQSwEC&#10;FAAUAAAACACHTuJAZdpQjboBAABxAwAADgAAAAAAAAABACAAAAAoAQAAZHJzL2Uyb0RvYy54bWxQ&#10;SwUGAAAAAAYABgBZAQAAVAUAAAAA&#10;">
              <v:fill on="f" focussize="0,0"/>
              <v:stroke on="f"/>
              <v:imagedata o:title=""/>
              <o:lock v:ext="edit" aspectratio="f"/>
              <v:textbox inset="0mm,0mm,0mm,0mm">
                <w:txbxContent>
                  <w:p>
                    <w:pPr>
                      <w:pStyle w:val="7"/>
                      <w:tabs>
                        <w:tab w:val="clear" w:pos="8306"/>
                      </w:tabs>
                      <w:jc w:val="both"/>
                      <w:rPr>
                        <w:rFonts w:ascii="宋体" w:hAnsi="宋体" w:eastAsia="宋体" w:cs="宋体"/>
                        <w:sz w:val="28"/>
                        <w:szCs w:val="28"/>
                      </w:rPr>
                    </w:pP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004457B3"/>
    <w:rsid w:val="00445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 w:cs="仿宋_GB2312"/>
      <w:kern w:val="2"/>
      <w:sz w:val="30"/>
      <w:szCs w:val="30"/>
      <w:lang w:val="en-US" w:eastAsia="zh-CN" w:bidi="ar-SA"/>
    </w:rPr>
  </w:style>
  <w:style w:type="paragraph" w:styleId="3">
    <w:name w:val="heading 1"/>
    <w:basedOn w:val="1"/>
    <w:next w:val="1"/>
    <w:qFormat/>
    <w:uiPriority w:val="0"/>
    <w:pPr>
      <w:keepNext/>
      <w:keepLines/>
      <w:spacing w:beforeLines="0" w:afterLines="0" w:line="240" w:lineRule="auto"/>
      <w:jc w:val="left"/>
      <w:outlineLvl w:val="0"/>
    </w:pPr>
    <w:rPr>
      <w:b/>
      <w:bCs/>
      <w:kern w:val="44"/>
      <w:sz w:val="32"/>
      <w:szCs w:val="44"/>
    </w:rPr>
  </w:style>
  <w:style w:type="paragraph" w:styleId="4">
    <w:name w:val="heading 2"/>
    <w:basedOn w:val="1"/>
    <w:next w:val="1"/>
    <w:unhideWhenUsed/>
    <w:qFormat/>
    <w:uiPriority w:val="0"/>
    <w:pPr>
      <w:keepNext/>
      <w:keepLines/>
      <w:spacing w:beforeLines="0" w:afterLines="0" w:line="240" w:lineRule="auto"/>
      <w:jc w:val="left"/>
      <w:outlineLvl w:val="1"/>
    </w:pPr>
    <w:rPr>
      <w:rFonts w:ascii="Arial" w:hAnsi="Arial" w:eastAsia="仿宋_GB2312"/>
      <w:b/>
      <w:bCs/>
      <w:szCs w:val="32"/>
    </w:rPr>
  </w:style>
  <w:style w:type="paragraph" w:styleId="5">
    <w:name w:val="heading 3"/>
    <w:basedOn w:val="1"/>
    <w:next w:val="1"/>
    <w:link w:val="15"/>
    <w:unhideWhenUsed/>
    <w:qFormat/>
    <w:uiPriority w:val="0"/>
    <w:pPr>
      <w:keepNext/>
      <w:keepLines/>
      <w:spacing w:beforeLines="0" w:afterLines="0" w:line="240" w:lineRule="auto"/>
      <w:jc w:val="left"/>
      <w:outlineLvl w:val="2"/>
    </w:pPr>
    <w:rPr>
      <w:b/>
      <w:bCs/>
      <w:szCs w:val="32"/>
      <w:lang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200" w:firstLineChars="200"/>
    </w:pPr>
    <w:rPr>
      <w:rFonts w:eastAsia="宋体"/>
    </w:rPr>
  </w:style>
  <w:style w:type="paragraph" w:styleId="6">
    <w:name w:val="Body Text Indent"/>
    <w:basedOn w:val="1"/>
    <w:qFormat/>
    <w:uiPriority w:val="0"/>
    <w:pPr>
      <w:spacing w:line="520" w:lineRule="exact"/>
      <w:ind w:left="640"/>
    </w:pPr>
    <w:rPr>
      <w:rFonts w:ascii="仿宋_GB2312" w:eastAsia="仿宋_GB2312"/>
      <w:b/>
      <w:bCs/>
      <w:sz w:val="32"/>
      <w:szCs w:val="24"/>
    </w:rPr>
  </w:style>
  <w:style w:type="paragraph" w:styleId="7">
    <w:name w:val="footer"/>
    <w:basedOn w:val="1"/>
    <w:next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footnote text"/>
    <w:basedOn w:val="1"/>
    <w:next w:val="1"/>
    <w:unhideWhenUsed/>
    <w:qFormat/>
    <w:uiPriority w:val="99"/>
    <w:pPr>
      <w:snapToGrid w:val="0"/>
      <w:jc w:val="left"/>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Body text|1"/>
    <w:basedOn w:val="1"/>
    <w:qFormat/>
    <w:uiPriority w:val="0"/>
    <w:pPr>
      <w:spacing w:after="60" w:line="422" w:lineRule="auto"/>
    </w:pPr>
    <w:rPr>
      <w:rFonts w:ascii="宋体" w:hAnsi="宋体" w:eastAsia="宋体" w:cs="宋体"/>
      <w:sz w:val="78"/>
      <w:szCs w:val="78"/>
      <w:lang w:val="zh-TW" w:eastAsia="zh-TW" w:bidi="zh-TW"/>
    </w:rPr>
  </w:style>
  <w:style w:type="character" w:customStyle="1" w:styleId="15">
    <w:name w:val="标题 3 Char"/>
    <w:link w:val="5"/>
    <w:qFormat/>
    <w:uiPriority w:val="0"/>
    <w:rPr>
      <w:b/>
      <w:bCs/>
      <w:szCs w:val="32"/>
      <w:lang w:bidi="ar-SA"/>
    </w:rPr>
  </w:style>
  <w:style w:type="paragraph" w:customStyle="1" w:styleId="16">
    <w:name w:val="默认段落字体 Para Char Char Char Char Char Char Char"/>
    <w:basedOn w:val="1"/>
    <w:qFormat/>
    <w:uiPriority w:val="0"/>
    <w:pPr>
      <w:jc w:val="both"/>
    </w:pPr>
    <w:rPr>
      <w:rFonts w:ascii="Tahoma" w:hAnsi="Tahoma"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2023-05-19T09:48:00Z</dcterms:created>
  <dc:creator>糖果</dc:creator>
  <cp:lastModifiedBy>糖果</cp:lastModifiedBy>
  <dcterms:modified xsi:type="dcterms:W3CDTF">2023-05-19T09:53:50Z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67027785CF0F4CF1AD28BB9ED3D9469A_11</vt:lpwstr>
  </property>
</Properties>
</file>