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520" w:lineRule="exact"/>
        <w:ind w:left="0" w:leftChars="0" w:firstLine="0" w:firstLineChars="0"/>
        <w:rPr>
          <w:rFonts w:cs="Times New Roman"/>
        </w:rPr>
      </w:pPr>
    </w:p>
    <w:p>
      <w:pPr>
        <w:pStyle w:val="4"/>
        <w:widowControl/>
        <w:spacing w:line="520" w:lineRule="exact"/>
        <w:jc w:val="center"/>
        <w:rPr>
          <w:rFonts w:ascii="方正小标宋_GBK" w:hAnsi="方正小标宋简体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color w:val="000000"/>
          <w:sz w:val="44"/>
          <w:szCs w:val="44"/>
        </w:rPr>
        <w:t>平罗县城市生活垃圾分类工作考评安排</w:t>
      </w:r>
    </w:p>
    <w:bookmarkEnd w:id="0"/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一、考评实施及对象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县直各单位、城关镇各社区的考评由县住建局牵头制定考评细则并组织实施。</w:t>
      </w: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二、考评工作安排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每季度进行一次考评。</w:t>
      </w: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三、考评方式和方法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考核工作通过现场察看、查阅资料、随机问询、民意测评等方法进行。由县住建局制定考评细则，采取资料审核、专项调查、抽样调查和实地核查等方式，针对相关考核指标及方案（制度）落实情况进行考核。第一季度至第三季度评分占比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，年终评分占比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四、考评等次评定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实行百分制量化考评，年度综合成绩</w:t>
      </w:r>
      <w:r>
        <w:rPr>
          <w:rFonts w:ascii="Times New Roman" w:hAnsi="Times New Roman" w:eastAsia="方正仿宋_GBK" w:cs="Times New Roman"/>
          <w:sz w:val="32"/>
          <w:szCs w:val="32"/>
        </w:rPr>
        <w:t>=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年终考评成绩</w:t>
      </w:r>
      <w:r>
        <w:rPr>
          <w:rFonts w:ascii="Times New Roman" w:hAnsi="Times New Roman" w:eastAsia="方正仿宋_GBK" w:cs="Times New Roman"/>
          <w:sz w:val="32"/>
          <w:szCs w:val="32"/>
        </w:rPr>
        <w:t>×50%+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前三季度考评平均成绩</w:t>
      </w:r>
      <w:r>
        <w:rPr>
          <w:rFonts w:ascii="Times New Roman" w:hAnsi="Times New Roman" w:eastAsia="方正仿宋_GBK" w:cs="Times New Roman"/>
          <w:sz w:val="32"/>
          <w:szCs w:val="32"/>
        </w:rPr>
        <w:t>×50%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。年度考评综合成绩</w:t>
      </w:r>
      <w:r>
        <w:rPr>
          <w:rFonts w:ascii="Times New Roman" w:hAnsi="Times New Roman" w:eastAsia="方正仿宋_GBK" w:cs="Times New Roman"/>
          <w:sz w:val="32"/>
          <w:szCs w:val="32"/>
        </w:rPr>
        <w:t>90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分及以上为优秀，</w:t>
      </w:r>
      <w:r>
        <w:rPr>
          <w:rFonts w:ascii="Times New Roman" w:hAnsi="Times New Roman" w:eastAsia="方正仿宋_GBK" w:cs="Times New Roman"/>
          <w:sz w:val="32"/>
          <w:szCs w:val="32"/>
        </w:rPr>
        <w:t>80—90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分（含</w:t>
      </w:r>
      <w:r>
        <w:rPr>
          <w:rFonts w:ascii="Times New Roman" w:hAnsi="Times New Roman" w:eastAsia="方正仿宋_GBK" w:cs="Times New Roman"/>
          <w:sz w:val="32"/>
          <w:szCs w:val="32"/>
        </w:rPr>
        <w:t>80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分）以上为良好，</w:t>
      </w:r>
      <w:r>
        <w:rPr>
          <w:rFonts w:ascii="Times New Roman" w:hAnsi="Times New Roman" w:eastAsia="方正仿宋_GBK" w:cs="Times New Roman"/>
          <w:sz w:val="32"/>
          <w:szCs w:val="32"/>
        </w:rPr>
        <w:t>70—80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分（含</w:t>
      </w:r>
      <w:r>
        <w:rPr>
          <w:rFonts w:ascii="Times New Roman" w:hAnsi="Times New Roman" w:eastAsia="方正仿宋_GBK" w:cs="Times New Roman"/>
          <w:sz w:val="32"/>
          <w:szCs w:val="32"/>
        </w:rPr>
        <w:t>70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分）以上为达标，</w:t>
      </w:r>
      <w:r>
        <w:rPr>
          <w:rFonts w:ascii="Times New Roman" w:hAnsi="Times New Roman" w:eastAsia="方正仿宋_GBK" w:cs="Times New Roman"/>
          <w:sz w:val="32"/>
          <w:szCs w:val="32"/>
        </w:rPr>
        <w:t>70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分以下为不达标。</w:t>
      </w: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五、考评成绩综合运用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将考评成绩纳入年度目标管理效能考核体系，计入目标管理效能考核总成绩，按照考评分数进行通报、季度排名、评比奖惩等。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2F73933"/>
    <w:rsid w:val="12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qFormat/>
    <w:uiPriority w:val="99"/>
    <w:pPr>
      <w:spacing w:after="120"/>
      <w:ind w:left="420" w:leftChars="200"/>
    </w:pPr>
  </w:style>
  <w:style w:type="paragraph" w:styleId="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2023-04-17T08:50:00Z</dcterms:created>
  <dc:creator>糖果</dc:creator>
  <cp:lastModifiedBy>糖果</cp:lastModifiedBy>
  <dcterms:modified xsi:type="dcterms:W3CDTF">2023-04-17T08:52:35Z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0C3CD7ACAED44BA7BEBABA3C90986E38_11</vt:lpwstr>
  </property>
</Properties>
</file>