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44"/>
          <w:szCs w:val="44"/>
        </w:rPr>
      </w:pPr>
      <w:r>
        <w:rPr>
          <w:b/>
          <w:bCs/>
          <w:sz w:val="44"/>
          <w:szCs w:val="44"/>
        </w:rPr>
        <mc:AlternateContent>
          <mc:Choice Requires="wps">
            <w:drawing>
              <wp:anchor distT="0" distB="0" distL="114300" distR="114300" simplePos="0" relativeHeight="251658240" behindDoc="0" locked="0" layoutInCell="1" allowOverlap="1">
                <wp:simplePos x="0" y="0"/>
                <wp:positionH relativeFrom="column">
                  <wp:posOffset>2904490</wp:posOffset>
                </wp:positionH>
                <wp:positionV relativeFrom="paragraph">
                  <wp:posOffset>52070</wp:posOffset>
                </wp:positionV>
                <wp:extent cx="1979930" cy="76200"/>
                <wp:effectExtent l="0" t="0" r="1270" b="0"/>
                <wp:wrapNone/>
                <wp:docPr id="1" name="文本框 1"/>
                <wp:cNvGraphicFramePr/>
                <a:graphic xmlns:a="http://schemas.openxmlformats.org/drawingml/2006/main">
                  <a:graphicData uri="http://schemas.microsoft.com/office/word/2010/wordprocessingShape">
                    <wps:wsp>
                      <wps:cNvSpPr txBox="1"/>
                      <wps:spPr>
                        <a:xfrm flipV="1">
                          <a:off x="4816475" y="4940935"/>
                          <a:ext cx="1979930" cy="76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228.7pt;margin-top:4.1pt;height:6pt;width:155.9pt;z-index:251658240;mso-width-relative:page;mso-height-relative:page;" fillcolor="#FFFFFF [3201]" filled="t" stroked="f" coordsize="21600,21600" o:gfxdata="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&#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4OnPx1QAAAAgBAAAPAAAAAAAAAAEAIAAAACIAAABk&#10;cnMvZG93bnJldi54bWxQSwECFAAUAAAACACHTuJAikMKXUICAABWBAAADgAAAAAAAAABACAAAAAk&#10;AQAAZHJzL2Uyb0RvYy54bWxQSwUGAAAAAAYABgBZAQAA2AUAAAAA&#10;">
                <v:fill on="t" focussize="0,0"/>
                <v:stroke on="f" weight="0.5pt"/>
                <v:imagedata o:title=""/>
                <o:lock v:ext="edit" aspectratio="f"/>
                <v:textbox>
                  <w:txbxContent>
                    <w:p>
                      <w:pPr>
                        <w:rPr>
                          <w:rFonts w:hint="default"/>
                          <w:lang w:val="en-US" w:eastAsia="zh-CN"/>
                        </w:rPr>
                      </w:pPr>
                    </w:p>
                  </w:txbxContent>
                </v:textbox>
              </v:shape>
            </w:pict>
          </mc:Fallback>
        </mc:AlternateContent>
      </w:r>
      <w:r>
        <w:rPr>
          <w:rFonts w:hint="eastAsia" w:ascii="方正小标宋_GBK" w:hAnsi="方正小标宋_GBK" w:eastAsia="方正小标宋_GBK" w:cs="方正小标宋_GBK"/>
          <w:b/>
          <w:bCs/>
          <w:color w:val="000000"/>
          <w:kern w:val="0"/>
          <w:sz w:val="44"/>
          <w:szCs w:val="44"/>
          <w:lang w:val="en-US" w:eastAsia="zh-CN" w:bidi="ar"/>
        </w:rPr>
        <w:t>平罗县</w:t>
      </w:r>
      <w:r>
        <w:rPr>
          <w:rFonts w:ascii="方正小标宋_GBK" w:hAnsi="方正小标宋_GBK" w:eastAsia="方正小标宋_GBK" w:cs="方正小标宋_GBK"/>
          <w:b/>
          <w:bCs/>
          <w:color w:val="000000"/>
          <w:kern w:val="0"/>
          <w:sz w:val="44"/>
          <w:szCs w:val="44"/>
          <w:lang w:val="en-US" w:eastAsia="zh-CN" w:bidi="ar"/>
        </w:rPr>
        <w:t>2020年</w:t>
      </w:r>
      <w:r>
        <w:rPr>
          <w:rFonts w:hint="eastAsia" w:ascii="方正小标宋_GBK" w:hAnsi="方正小标宋_GBK" w:eastAsia="方正小标宋_GBK" w:cs="方正小标宋_GBK"/>
          <w:b/>
          <w:bCs/>
          <w:color w:val="000000"/>
          <w:kern w:val="0"/>
          <w:sz w:val="44"/>
          <w:szCs w:val="44"/>
          <w:lang w:val="en-US" w:eastAsia="zh-CN" w:bidi="ar"/>
        </w:rPr>
        <w:t>农村</w:t>
      </w:r>
      <w:r>
        <w:rPr>
          <w:rFonts w:ascii="方正小标宋_GBK" w:hAnsi="方正小标宋_GBK" w:eastAsia="方正小标宋_GBK" w:cs="方正小标宋_GBK"/>
          <w:b/>
          <w:bCs/>
          <w:color w:val="000000"/>
          <w:kern w:val="0"/>
          <w:sz w:val="44"/>
          <w:szCs w:val="44"/>
          <w:lang w:val="en-US" w:eastAsia="zh-CN" w:bidi="ar"/>
        </w:rPr>
        <w:t>低保</w:t>
      </w:r>
      <w:r>
        <w:rPr>
          <w:rFonts w:hint="eastAsia" w:ascii="方正小标宋_GBK" w:hAnsi="方正小标宋_GBK" w:eastAsia="方正小标宋_GBK" w:cs="方正小标宋_GBK"/>
          <w:b/>
          <w:bCs/>
          <w:color w:val="000000"/>
          <w:kern w:val="0"/>
          <w:sz w:val="44"/>
          <w:szCs w:val="44"/>
          <w:lang w:val="en-US" w:eastAsia="zh-CN" w:bidi="ar"/>
        </w:rPr>
        <w:t>专项治理工作要点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20" w:firstLineChars="200"/>
        <w:jc w:val="left"/>
        <w:textAlignment w:val="auto"/>
        <w:outlineLvl w:val="9"/>
        <w:rPr>
          <w:rFonts w:ascii="仿宋" w:hAnsi="仿宋" w:eastAsia="仿宋" w:cs="仿宋"/>
          <w:color w:val="auto"/>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为深入贯彻落实党的十九届</w:t>
      </w:r>
      <w:bookmarkStart w:id="0" w:name="_GoBack"/>
      <w:bookmarkEnd w:id="0"/>
      <w:r>
        <w:rPr>
          <w:rFonts w:hint="eastAsia" w:ascii="仿宋" w:hAnsi="仿宋" w:eastAsia="仿宋" w:cs="仿宋"/>
          <w:color w:val="auto"/>
          <w:kern w:val="0"/>
          <w:sz w:val="32"/>
          <w:szCs w:val="32"/>
          <w:lang w:val="en-US" w:eastAsia="zh-CN" w:bidi="ar"/>
        </w:rPr>
        <w:t>四中全会、十九届中央纪委四次全会、自治区纪委十二届四次全会、市纪委十届六次全会和</w:t>
      </w:r>
      <w:r>
        <w:rPr>
          <w:rFonts w:hint="eastAsia" w:ascii="仿宋" w:hAnsi="仿宋" w:eastAsia="仿宋" w:cs="仿宋"/>
          <w:b w:val="0"/>
          <w:bCs w:val="0"/>
          <w:color w:val="auto"/>
          <w:kern w:val="0"/>
          <w:sz w:val="32"/>
          <w:szCs w:val="32"/>
          <w:lang w:val="en-US" w:eastAsia="zh-CN" w:bidi="ar"/>
        </w:rPr>
        <w:t>县纪委十四届五次</w:t>
      </w:r>
      <w:r>
        <w:rPr>
          <w:rFonts w:hint="eastAsia" w:ascii="仿宋" w:hAnsi="仿宋" w:eastAsia="仿宋" w:cs="仿宋"/>
          <w:color w:val="auto"/>
          <w:kern w:val="0"/>
          <w:sz w:val="32"/>
          <w:szCs w:val="32"/>
          <w:lang w:val="en-US" w:eastAsia="zh-CN" w:bidi="ar"/>
        </w:rPr>
        <w:t>全会精神，巩固“不忘初心、牢记使命”主题教育专项治理成果，平罗县民政局决定2020年持续在全县深入开展农村低保专项治理工作，切实为决战决胜脱贫攻坚和打赢疫情防控人民战争、总体战、阻击战提供坚强纪律作风保证。</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kern w:val="0"/>
          <w:sz w:val="32"/>
          <w:szCs w:val="32"/>
          <w:lang w:val="en-US" w:eastAsia="zh-CN" w:bidi="ar"/>
        </w:rPr>
        <w:t>一、总体要求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坚持以习近平新时代中国特色社会主义思想为指导，深入贯彻落实习近平总书记关于扶贫工作、民政工作和统筹新冠肺炎疫情防控与经济社会发展等重要指示精神，按照中央纪委国家监委、自治区纪委监委关于扶贫领域腐败和作风问题专项治理、集中整治深化民生领域损害群众利益问题有关工作部署，结合脱贫攻坚专项巡视整改“回头看”和扫黑除恶专项斗争民政行业领域治理，进一步聚焦脱贫攻坚、聚焦特殊群体、聚焦群众关切，拓展治理内容，细化治理措施，完善制度机制，狠抓落实落地，努力增强困难群众的获得感、幸福感和安全感。</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主要任务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kern w:val="0"/>
          <w:sz w:val="32"/>
          <w:szCs w:val="32"/>
          <w:lang w:val="en-US" w:eastAsia="zh-CN" w:bidi="ar"/>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b/>
          <w:color w:val="auto"/>
          <w:kern w:val="0"/>
          <w:sz w:val="32"/>
          <w:szCs w:val="32"/>
          <w:lang w:val="en-US" w:eastAsia="zh-CN" w:bidi="ar"/>
        </w:rPr>
        <w:t>（一）清理纠正在</w:t>
      </w:r>
      <w:r>
        <w:rPr>
          <w:rFonts w:hint="eastAsia" w:ascii="仿宋" w:hAnsi="仿宋" w:eastAsia="仿宋" w:cs="仿宋"/>
          <w:b/>
          <w:color w:val="auto"/>
          <w:kern w:val="0"/>
          <w:sz w:val="32"/>
          <w:szCs w:val="32"/>
        </w:rPr>
        <w:t>专项治理</w:t>
      </w:r>
      <w:r>
        <w:rPr>
          <w:rFonts w:hint="eastAsia" w:ascii="仿宋" w:hAnsi="仿宋" w:eastAsia="仿宋" w:cs="仿宋"/>
          <w:b/>
          <w:bCs/>
          <w:color w:val="auto"/>
          <w:kern w:val="0"/>
          <w:sz w:val="32"/>
          <w:szCs w:val="32"/>
          <w:lang w:eastAsia="zh-CN"/>
        </w:rPr>
        <w:t>中存在的</w:t>
      </w:r>
      <w:r>
        <w:rPr>
          <w:rFonts w:hint="eastAsia" w:ascii="仿宋" w:hAnsi="仿宋" w:eastAsia="仿宋" w:cs="仿宋"/>
          <w:b/>
          <w:bCs/>
          <w:color w:val="auto"/>
          <w:kern w:val="0"/>
          <w:sz w:val="32"/>
          <w:szCs w:val="32"/>
        </w:rPr>
        <w:t>形式主义、官僚主义</w:t>
      </w:r>
      <w:r>
        <w:rPr>
          <w:rFonts w:hint="eastAsia" w:ascii="仿宋" w:hAnsi="仿宋" w:eastAsia="仿宋" w:cs="仿宋"/>
          <w:b/>
          <w:color w:val="auto"/>
          <w:kern w:val="0"/>
          <w:sz w:val="32"/>
          <w:szCs w:val="32"/>
          <w:lang w:eastAsia="zh-CN"/>
        </w:rPr>
        <w:t>落实不到位</w:t>
      </w:r>
      <w:r>
        <w:rPr>
          <w:rFonts w:hint="eastAsia" w:ascii="仿宋" w:hAnsi="仿宋" w:eastAsia="仿宋" w:cs="仿宋"/>
          <w:b/>
          <w:color w:val="auto"/>
          <w:kern w:val="0"/>
          <w:sz w:val="32"/>
          <w:szCs w:val="32"/>
        </w:rPr>
        <w:t>问题。</w:t>
      </w:r>
      <w:r>
        <w:rPr>
          <w:rFonts w:hint="eastAsia" w:ascii="仿宋" w:hAnsi="仿宋" w:eastAsia="仿宋" w:cs="仿宋"/>
          <w:color w:val="auto"/>
          <w:kern w:val="0"/>
          <w:sz w:val="32"/>
          <w:szCs w:val="32"/>
          <w:lang w:val="en-US" w:eastAsia="zh-CN" w:bidi="ar"/>
        </w:rPr>
        <w:t>持续整治专项治理中的形式主义、官僚主义，严肃查处专项治理工作中搞形式、走过场，表面整改、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
        </w:rPr>
        <w:t>虚假整改、纸上整改问题，经办服务中不担当、不作为，脸难看、事难办问题，以及农村低保、脱贫攻坚兜底保障、疫情防控兜底保障、扫黑除恶专项斗争中“四个意识”不强、责任不落实、措施不精准问题。</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（二）清理纠正因疫致贫、因疫返贫人口兜底保障政策落实不到位问题。</w:t>
      </w:r>
      <w:r>
        <w:rPr>
          <w:rFonts w:hint="eastAsia" w:ascii="仿宋" w:hAnsi="仿宋" w:eastAsia="仿宋" w:cs="仿宋"/>
          <w:color w:val="auto"/>
          <w:kern w:val="0"/>
          <w:sz w:val="32"/>
          <w:szCs w:val="32"/>
          <w:lang w:val="en-US" w:eastAsia="zh-CN" w:bidi="ar"/>
        </w:rPr>
        <w:t>围绕应兜尽兜，将《关于进一步做好疫情防控期间困难群众兜底保障工作的通知》（宁党疫组发〔2020〕3号）《关于进一步做好新型冠状病毒肺炎社会救助工作的通知》（宁民字〔2020〕7号）《关于疫情防控期间及时跟进困难群众救助工作五条措施的通知》（宁民字〔2020〕15号）等文件落实情况作为治理重点，检查各乡镇是否通过与相关部门开展信息比对、结合社区疫情监测开展排查等方式，全面了解低保对象、残疾对象等救助对象以及新型冠状病毒肺炎患者家庭生活状况，及时将因疫致贫、因疫返贫人口纳入兜底保障范围。</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（三）清理纠正低保政策落实不到位问题。</w:t>
      </w:r>
      <w:r>
        <w:rPr>
          <w:rFonts w:hint="eastAsia" w:ascii="仿宋" w:hAnsi="仿宋" w:eastAsia="仿宋" w:cs="仿宋"/>
          <w:color w:val="auto"/>
          <w:kern w:val="0"/>
          <w:sz w:val="32"/>
          <w:szCs w:val="32"/>
          <w:lang w:val="en-US" w:eastAsia="zh-CN" w:bidi="ar"/>
        </w:rPr>
        <w:t>围绕应保</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尽保，将《自治区民政厅关于印发打赢脱贫攻坚战三年行动实施方案的通知》（宁民办〔2018〕34号）《关于在脱贫攻坚三年行动中切实做好社会救助兜底保障工作的实施意见》（宁民发〔2018〕102号）《宁夏回族自治区最低生活保障审核审批办法（试行）》（宁民规发〔2019〕1号）和县民政局《</w:t>
      </w:r>
      <w:r>
        <w:rPr>
          <w:rFonts w:hint="eastAsia" w:ascii="仿宋" w:hAnsi="仿宋" w:eastAsia="仿宋" w:cs="仿宋"/>
          <w:b w:val="0"/>
          <w:bCs w:val="0"/>
          <w:color w:val="auto"/>
          <w:sz w:val="32"/>
          <w:szCs w:val="32"/>
        </w:rPr>
        <w:t>关于规范完善最低生活保障</w:t>
      </w:r>
      <w:r>
        <w:rPr>
          <w:rFonts w:hint="eastAsia" w:ascii="仿宋" w:hAnsi="仿宋" w:eastAsia="仿宋" w:cs="仿宋"/>
          <w:b w:val="0"/>
          <w:bCs w:val="0"/>
          <w:color w:val="auto"/>
          <w:sz w:val="32"/>
          <w:szCs w:val="32"/>
          <w:lang w:eastAsia="zh-CN"/>
        </w:rPr>
        <w:t>审核</w:t>
      </w:r>
      <w:r>
        <w:rPr>
          <w:rFonts w:hint="eastAsia" w:ascii="仿宋" w:hAnsi="仿宋" w:eastAsia="仿宋" w:cs="仿宋"/>
          <w:b w:val="0"/>
          <w:bCs w:val="0"/>
          <w:color w:val="auto"/>
          <w:sz w:val="32"/>
          <w:szCs w:val="32"/>
        </w:rPr>
        <w:t>审批工作流程</w:t>
      </w:r>
      <w:r>
        <w:rPr>
          <w:rFonts w:hint="eastAsia" w:ascii="仿宋" w:hAnsi="仿宋" w:eastAsia="仿宋" w:cs="仿宋"/>
          <w:b w:val="0"/>
          <w:bCs w:val="0"/>
          <w:color w:val="auto"/>
          <w:sz w:val="32"/>
          <w:szCs w:val="32"/>
          <w:lang w:eastAsia="zh-CN"/>
        </w:rPr>
        <w:t>和最低生活保障行政文书使用工作</w:t>
      </w:r>
      <w:r>
        <w:rPr>
          <w:rFonts w:hint="eastAsia" w:ascii="仿宋" w:hAnsi="仿宋" w:eastAsia="仿宋" w:cs="仿宋"/>
          <w:b w:val="0"/>
          <w:bCs w:val="0"/>
          <w:color w:val="auto"/>
          <w:sz w:val="32"/>
          <w:szCs w:val="32"/>
        </w:rPr>
        <w:t>的通知</w:t>
      </w:r>
      <w:r>
        <w:rPr>
          <w:rFonts w:hint="eastAsia" w:ascii="仿宋" w:hAnsi="仿宋" w:eastAsia="仿宋" w:cs="仿宋"/>
          <w:color w:val="auto"/>
          <w:kern w:val="0"/>
          <w:sz w:val="32"/>
          <w:szCs w:val="32"/>
          <w:lang w:val="en-US" w:eastAsia="zh-CN" w:bidi="ar"/>
        </w:rPr>
        <w:t>》（</w:t>
      </w:r>
      <w:r>
        <w:rPr>
          <w:rFonts w:hint="eastAsia" w:ascii="仿宋" w:hAnsi="仿宋" w:eastAsia="仿宋" w:cs="仿宋"/>
          <w:color w:val="auto"/>
          <w:sz w:val="32"/>
          <w:szCs w:val="32"/>
        </w:rPr>
        <w:t>平民发﹝2019﹞</w:t>
      </w:r>
      <w:r>
        <w:rPr>
          <w:rFonts w:hint="eastAsia" w:ascii="仿宋" w:hAnsi="仿宋" w:eastAsia="仿宋" w:cs="仿宋"/>
          <w:color w:val="auto"/>
          <w:sz w:val="32"/>
          <w:szCs w:val="32"/>
          <w:lang w:val="en-US" w:eastAsia="zh-CN"/>
        </w:rPr>
        <w:t>96</w:t>
      </w:r>
      <w:r>
        <w:rPr>
          <w:rFonts w:hint="eastAsia" w:ascii="仿宋" w:hAnsi="仿宋" w:eastAsia="仿宋" w:cs="仿宋"/>
          <w:color w:val="auto"/>
          <w:sz w:val="32"/>
          <w:szCs w:val="32"/>
        </w:rPr>
        <w:t xml:space="preserve"> 号</w:t>
      </w:r>
      <w:r>
        <w:rPr>
          <w:rFonts w:hint="eastAsia" w:ascii="仿宋" w:hAnsi="仿宋" w:eastAsia="仿宋" w:cs="仿宋"/>
          <w:color w:val="auto"/>
          <w:kern w:val="0"/>
          <w:sz w:val="32"/>
          <w:szCs w:val="32"/>
          <w:lang w:val="en-US" w:eastAsia="zh-CN" w:bidi="ar"/>
        </w:rPr>
        <w:t>）等文件落实情况作为治理重点，检查各乡镇是否将未脱贫建档立卡贫困户中的重病患者、重度残疾人等完全丧失劳动能力和部分丧失劳动能力的贫困人口纳入低保范围，是否将符合条件的返贫人口和建档立卡边缘人口纳入低保范围，是否将建档立卡贫困户中靠家庭供养且无法单独立户的重病、重残对象，按照“单人户”纳入农村低保范围，是否存在虚假冒领、优亲厚友等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b/>
          <w:color w:val="auto"/>
          <w:kern w:val="0"/>
          <w:sz w:val="32"/>
          <w:szCs w:val="32"/>
          <w:lang w:val="en-US" w:eastAsia="zh-CN" w:bidi="ar"/>
        </w:rPr>
        <w:t>（四）清理纠正高龄津贴政策落实不到位问题。</w:t>
      </w:r>
      <w:r>
        <w:rPr>
          <w:rFonts w:hint="eastAsia" w:ascii="仿宋" w:hAnsi="仿宋" w:eastAsia="仿宋" w:cs="仿宋"/>
          <w:color w:val="auto"/>
          <w:kern w:val="0"/>
          <w:sz w:val="32"/>
          <w:szCs w:val="32"/>
          <w:lang w:val="en-US" w:eastAsia="zh-CN" w:bidi="ar"/>
        </w:rPr>
        <w:t>按照应享尽享、应退则退原则，对高龄津贴发放情况进行一次全面清查核实。检查高龄老人是否到龄按时享受津贴，检查对已经死亡人员是否及时按月退出享受范围。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（五）清理纠正残疾人生活补贴政策落实不到位问题。</w:t>
      </w:r>
      <w:r>
        <w:rPr>
          <w:rFonts w:hint="eastAsia" w:ascii="仿宋" w:hAnsi="仿宋" w:eastAsia="仿宋" w:cs="仿宋"/>
          <w:color w:val="auto"/>
          <w:kern w:val="0"/>
          <w:sz w:val="32"/>
          <w:szCs w:val="32"/>
          <w:lang w:val="en-US" w:eastAsia="zh-CN" w:bidi="ar"/>
        </w:rPr>
        <w:t>按应补尽补、应退则退原则，对困难残疾人生活补贴发放情况进行一次全面清查核实。检查低保户家庭中的残疾人是否都纳入残疾人生活补贴，检查已退出低保家庭中的残疾人是否还未及时退出残疾人生活补贴范围，真正做到不重不漏。</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（六）清理纠正影响低保领域脱贫攻坚突出问题。</w:t>
      </w:r>
      <w:r>
        <w:rPr>
          <w:rFonts w:hint="eastAsia" w:ascii="仿宋" w:hAnsi="仿宋" w:eastAsia="仿宋" w:cs="仿宋"/>
          <w:color w:val="auto"/>
          <w:kern w:val="0"/>
          <w:sz w:val="32"/>
          <w:szCs w:val="32"/>
          <w:lang w:val="en-US" w:eastAsia="zh-CN" w:bidi="ar"/>
        </w:rPr>
        <w:t>围绕应改尽改，将《自治区民政厅印发&lt;2020年宁夏民政领域脱贫攻坚重点任务&gt;的通知》（宁民发〔2020〕28号）落实情况作为治理重点，全面开展查损补失、查漏补缺、查短补齐、查漏补强“四查四补”，检查各乡镇是否全面开展影响低保领域脱贫攻坚质量和目标实现的漏洞、短板、弱项、损失等突出问题，对于存在的问题是否挂牌督战，是否精准施策。对不达标的保证达标，对已达标的巩固提升，确保脱贫质量过得硬，让脱贫成果经得起人民检验、历史检验。</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（七）加大群众反映低保领域强烈问题整改落实力度。</w:t>
      </w:r>
      <w:r>
        <w:rPr>
          <w:rFonts w:hint="eastAsia" w:ascii="仿宋" w:hAnsi="仿宋" w:eastAsia="仿宋" w:cs="仿宋"/>
          <w:color w:val="auto"/>
          <w:kern w:val="0"/>
          <w:sz w:val="32"/>
          <w:szCs w:val="32"/>
          <w:lang w:val="en-US" w:eastAsia="zh-CN" w:bidi="ar"/>
        </w:rPr>
        <w:t>对群众信访反映问题、绩效评价和审计检查发现问题、脱贫攻坚检查及“回头看”反馈问题、纪检监察部门查处的典型案件、巡视巡察和督查暗访反馈问题等进行认真梳理分析，建立问题清单和整改台账，深入剖析问题原因，有针对性地制定整改措施，明确整改时限，落实整改责任，实行对账销号。</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b/>
          <w:color w:val="auto"/>
          <w:kern w:val="0"/>
          <w:sz w:val="32"/>
          <w:szCs w:val="32"/>
          <w:lang w:val="en-US" w:eastAsia="zh-CN" w:bidi="ar"/>
        </w:rPr>
        <w:t>（八）加大低保救助资金监管力度。</w:t>
      </w:r>
      <w:r>
        <w:rPr>
          <w:rFonts w:hint="eastAsia" w:ascii="仿宋" w:hAnsi="仿宋" w:eastAsia="仿宋" w:cs="仿宋"/>
          <w:color w:val="auto"/>
          <w:kern w:val="0"/>
          <w:sz w:val="32"/>
          <w:szCs w:val="32"/>
          <w:lang w:val="en-US" w:eastAsia="zh-CN" w:bidi="ar"/>
        </w:rPr>
        <w:t>将《关于进一步加强和规范社会救助相关资金管理的通知》（宁民办〔2019〕31号）和《民政厅财政厅银保监会关于进一步加强社会救助资金监管工作的实施意见》的落实情况作为治理重点，深入排查资金筹集、拨付、发放、使用等各个环节存在的问题，加大对虚报冒领、截留私分、挤占挪用、吃拿卡要等问题查处力度，强化风险意识，加强资金监管，从源头上防范低保救助资金安全隐患。</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b/>
          <w:color w:val="auto"/>
          <w:kern w:val="0"/>
          <w:sz w:val="32"/>
          <w:szCs w:val="32"/>
          <w:lang w:val="en-US" w:eastAsia="zh-CN" w:bidi="ar"/>
        </w:rPr>
        <w:t>（九）加大问题线索查办督办力度。</w:t>
      </w:r>
      <w:r>
        <w:rPr>
          <w:rFonts w:hint="eastAsia" w:ascii="仿宋" w:hAnsi="仿宋" w:eastAsia="仿宋" w:cs="仿宋"/>
          <w:color w:val="auto"/>
          <w:kern w:val="0"/>
          <w:sz w:val="32"/>
          <w:szCs w:val="32"/>
          <w:lang w:val="en-US" w:eastAsia="zh-CN" w:bidi="ar"/>
        </w:rPr>
        <w:t>进一步畅通群众投诉举报渠道，公开县、乡二级信访电话，规范低保专项治理、低保领域扫黑除恶专项斗争投诉举报电话值守、事项办理，及时回应群众关切。对群众反映的突出问题和重点线索，会同县纪委监委加大查处力度，强化以查促改整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黑体" w:hAnsi="黑体" w:eastAsia="黑体" w:cs="黑体"/>
          <w:b/>
          <w:bCs/>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三、工作措施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（一）完善制度机制。</w:t>
      </w:r>
      <w:r>
        <w:rPr>
          <w:rFonts w:hint="eastAsia" w:ascii="仿宋" w:hAnsi="仿宋" w:eastAsia="仿宋" w:cs="仿宋"/>
          <w:color w:val="auto"/>
          <w:kern w:val="0"/>
          <w:sz w:val="32"/>
          <w:szCs w:val="32"/>
          <w:lang w:val="en-US" w:eastAsia="zh-CN" w:bidi="ar"/>
        </w:rPr>
        <w:t>坚持边整治、边建设、边完善，及时总结提炼专项治理中形成的好经验、好做法，针对专项治理中发现的“表现在基层、根子在面上”问题，认真查找制度机制建设不足和短板，进一步完善顶层设计，优化政策供给。研究制定加强和改进社会救助监督检查长效机制建设的政策措施。完善并逐步规范群众诉求快速响应机制和问题线索协查协办、直查直办、重点案件转办督办机制，制定相关工作流程，以制度形式规范固化，形成长效机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（二）加强项目化推进。</w:t>
      </w:r>
      <w:r>
        <w:rPr>
          <w:rFonts w:hint="eastAsia" w:ascii="仿宋" w:hAnsi="仿宋" w:eastAsia="仿宋" w:cs="仿宋"/>
          <w:color w:val="auto"/>
          <w:kern w:val="0"/>
          <w:sz w:val="32"/>
          <w:szCs w:val="32"/>
          <w:lang w:val="en-US" w:eastAsia="zh-CN" w:bidi="ar"/>
        </w:rPr>
        <w:t>各乡镇要安排专人负责专项治理，对信访问题、举报线索、政策咨询等做到及时回应、有效化解。规范台账管理，按月更新工作台账，及时全面掌握工作进度，跟踪督促任务落实。规范定期通报制度，按月收集本乡查处的违纪违法典型案例，及时在每月4日前填报上月专项治理月报表。加强工作信息交流，及时总结专项治理工作经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b/>
          <w:color w:val="auto"/>
          <w:kern w:val="0"/>
          <w:sz w:val="32"/>
          <w:szCs w:val="32"/>
          <w:lang w:val="en-US" w:eastAsia="zh-CN" w:bidi="ar"/>
        </w:rPr>
        <w:t>（三）加强实地调查。</w:t>
      </w:r>
      <w:r>
        <w:rPr>
          <w:rFonts w:hint="eastAsia" w:ascii="仿宋" w:hAnsi="仿宋" w:eastAsia="仿宋" w:cs="仿宋"/>
          <w:color w:val="auto"/>
          <w:kern w:val="0"/>
          <w:sz w:val="32"/>
          <w:szCs w:val="32"/>
          <w:lang w:val="en-US" w:eastAsia="zh-CN" w:bidi="ar"/>
        </w:rPr>
        <w:t>深入脱贫攻坚任务重的乡镇、群众反映问题强烈及矛盾困难突出乡镇，加强实地调查，分析问题，查找原因，督促整改，对群众反映突出的问题线索直接调查督办，推动问题解决。组织开展明察暗访，随机抽取或重点选择群众信电数量较多、反映问题性质恶劣、负面舆情突出的乡镇，组织力量直接深入村组和居民家中，实地查看政策落实情况、信息公开公示情况、抽查投诉举报电话值守情况等，面对面地向救助对象和群众问需问策问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
        </w:rPr>
        <w:t>（四）坚持“开门搞整治”。</w:t>
      </w:r>
      <w:r>
        <w:rPr>
          <w:rFonts w:hint="eastAsia" w:ascii="仿宋" w:hAnsi="仿宋" w:eastAsia="仿宋" w:cs="仿宋"/>
          <w:color w:val="auto"/>
          <w:kern w:val="0"/>
          <w:sz w:val="32"/>
          <w:szCs w:val="32"/>
          <w:lang w:val="en-US" w:eastAsia="zh-CN" w:bidi="ar"/>
        </w:rPr>
        <w:t>继续通过主流媒体、基层综合服务窗口等，加强低保等社会救助政策宣传、专项治理工作情况介绍，讲好专项治理故事，广泛动员引导群众关注和参与，充分发挥监督作用。结合全区困难群众救助绩效评价工作，民政局会同第三方机构对救助对象、基层工作人员和社会公众开展问卷调查，用群众所得所感检验专项治理成效。</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 w:hAnsi="仿宋" w:eastAsia="仿宋" w:cs="仿宋"/>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 w:hAnsi="仿宋" w:eastAsia="仿宋" w:cs="仿宋"/>
          <w:color w:val="auto"/>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9050D"/>
    <w:multiLevelType w:val="singleLevel"/>
    <w:tmpl w:val="515905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8120A"/>
    <w:rsid w:val="01360DE6"/>
    <w:rsid w:val="01C628B6"/>
    <w:rsid w:val="03B63C8E"/>
    <w:rsid w:val="06F63DEE"/>
    <w:rsid w:val="077D738C"/>
    <w:rsid w:val="144E3FC2"/>
    <w:rsid w:val="162248DB"/>
    <w:rsid w:val="23B751E6"/>
    <w:rsid w:val="29983AA3"/>
    <w:rsid w:val="2CFA74D7"/>
    <w:rsid w:val="3707296A"/>
    <w:rsid w:val="371C5BA7"/>
    <w:rsid w:val="38B63AF9"/>
    <w:rsid w:val="3D6625B9"/>
    <w:rsid w:val="411D5D61"/>
    <w:rsid w:val="42057598"/>
    <w:rsid w:val="4D28120A"/>
    <w:rsid w:val="50075952"/>
    <w:rsid w:val="53AA2DF0"/>
    <w:rsid w:val="64592E7B"/>
    <w:rsid w:val="70713EA6"/>
    <w:rsid w:val="790D07E1"/>
    <w:rsid w:val="7D321824"/>
    <w:rsid w:val="7F02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2020-04-01T01:14:00Z</dcterms:created>
  <dc:creator>rdbgs</dc:creator>
  <cp:lastModifiedBy>王占林</cp:lastModifiedBy>
  <cp:lastPrinted>2020-04-14T07:32:00Z</cp:lastPrinted>
  <dcterms:modified xsi:type="dcterms:W3CDTF">2020-04-15T01:54:57Z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