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idowControl/>
        <w:kinsoku/>
        <w:wordWrap/>
        <w:overflowPunct/>
        <w:topLinePunct w:val="0"/>
        <w:autoSpaceDE/>
        <w:autoSpaceDN/>
        <w:bidi w:val="0"/>
        <w:adjustRightInd/>
        <w:snapToGrid/>
        <w:spacing w:after="0" w:line="560" w:lineRule="exact"/>
        <w:ind w:left="10" w:right="0" w:hanging="10"/>
        <w:jc w:val="both"/>
        <w:textAlignment w:val="auto"/>
        <w:rPr>
          <w:rFonts w:hint="eastAsia" w:ascii="黑体" w:hAnsi="黑体" w:eastAsia="黑体" w:cs="黑体"/>
          <w:sz w:val="32"/>
          <w:szCs w:val="32"/>
        </w:rPr>
      </w:pPr>
      <w:r>
        <w:rPr>
          <w:rFonts w:hint="eastAsia" w:ascii="黑体" w:hAnsi="黑体" w:eastAsia="黑体" w:cs="黑体"/>
          <w:sz w:val="32"/>
          <w:szCs w:val="32"/>
        </w:rPr>
        <w:t>附件</w:t>
      </w:r>
      <w:bookmarkStart w:id="0" w:name="_GoBack"/>
      <w:bookmarkEnd w:id="0"/>
    </w:p>
    <w:p>
      <w:pPr>
        <w:pStyle w:val="4"/>
        <w:pageBreakBefore w:val="0"/>
        <w:widowControl/>
        <w:kinsoku/>
        <w:wordWrap/>
        <w:overflowPunct/>
        <w:topLinePunct w:val="0"/>
        <w:autoSpaceDE/>
        <w:autoSpaceDN/>
        <w:bidi w:val="0"/>
        <w:adjustRightInd/>
        <w:snapToGrid/>
        <w:spacing w:after="0" w:line="560" w:lineRule="exact"/>
        <w:ind w:right="162"/>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专项检查重点内容</w:t>
      </w:r>
    </w:p>
    <w:p>
      <w:pPr>
        <w:pStyle w:val="5"/>
        <w:pageBreakBefore w:val="0"/>
        <w:widowControl/>
        <w:kinsoku/>
        <w:wordWrap/>
        <w:overflowPunct/>
        <w:topLinePunct w:val="0"/>
        <w:autoSpaceDE/>
        <w:autoSpaceDN/>
        <w:bidi w:val="0"/>
        <w:adjustRightInd/>
        <w:snapToGrid/>
        <w:spacing w:after="0" w:line="560" w:lineRule="exact"/>
        <w:ind w:left="636"/>
        <w:jc w:val="both"/>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一、基本信息公开情况</w:t>
      </w:r>
    </w:p>
    <w:p>
      <w:pPr>
        <w:pageBreakBefore w:val="0"/>
        <w:widowControl/>
        <w:kinsoku/>
        <w:wordWrap/>
        <w:overflowPunct/>
        <w:topLinePunct w:val="0"/>
        <w:autoSpaceDE/>
        <w:autoSpaceDN/>
        <w:bidi w:val="0"/>
        <w:adjustRightInd/>
        <w:snapToGrid/>
        <w:spacing w:after="0" w:line="560" w:lineRule="exact"/>
        <w:ind w:left="-15" w:right="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全国慈善信息公开平台（以下统称“慈善中国”平台）公开法定基本信息，包括组织章程，决策、执行、监督机构成员信息，下设的办事机构、分支机构、代表机构、专项基金和其他机构的名称、设立时间、存续情况、业务范围或者主要职能，发起人、主要捐赠人、管理人员、被投资方以及与慈善组织存在控制、共同控制或者重大影响关系的个人或者组织，信息公开制度、项目管理制度、财务和资产管理制度等。具有公开募捐资格的慈善组织按年度公开在本组织领取报酬从高到低排序前五位人员的报酬金额；本组织出国（境）经费、车辆购置及运行、招待、差旅费用的标准。</w:t>
      </w:r>
    </w:p>
    <w:p>
      <w:pPr>
        <w:pStyle w:val="5"/>
        <w:pageBreakBefore w:val="0"/>
        <w:widowControl/>
        <w:kinsoku/>
        <w:wordWrap/>
        <w:overflowPunct/>
        <w:topLinePunct w:val="0"/>
        <w:autoSpaceDE/>
        <w:autoSpaceDN/>
        <w:bidi w:val="0"/>
        <w:adjustRightInd/>
        <w:snapToGrid/>
        <w:spacing w:after="0" w:line="560" w:lineRule="exact"/>
        <w:ind w:left="636"/>
        <w:jc w:val="both"/>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二、年度工作报告和财务会计报告公开情况</w:t>
      </w:r>
    </w:p>
    <w:p>
      <w:pPr>
        <w:pageBreakBefore w:val="0"/>
        <w:widowControl/>
        <w:kinsoku/>
        <w:wordWrap/>
        <w:overflowPunct/>
        <w:topLinePunct w:val="0"/>
        <w:autoSpaceDE/>
        <w:autoSpaceDN/>
        <w:bidi w:val="0"/>
        <w:adjustRightInd/>
        <w:snapToGrid/>
        <w:spacing w:after="0" w:line="560" w:lineRule="exact"/>
        <w:ind w:left="-15" w:right="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规定时限在“慈善中国”平台公开年度工作报告和财务会计报告，包括但不限于慈善组织年度开展募捐以及接受捐赠情况、慈善财产的管理使用情况、慈善组织工作人员的工资福利情况等信息。具有公开募捐资格的慈善组织的财务会计报告需经审计。</w:t>
      </w:r>
    </w:p>
    <w:p>
      <w:pPr>
        <w:pStyle w:val="5"/>
        <w:pageBreakBefore w:val="0"/>
        <w:widowControl/>
        <w:kinsoku/>
        <w:wordWrap/>
        <w:overflowPunct/>
        <w:topLinePunct w:val="0"/>
        <w:autoSpaceDE/>
        <w:autoSpaceDN/>
        <w:bidi w:val="0"/>
        <w:adjustRightInd/>
        <w:snapToGrid/>
        <w:spacing w:after="0" w:line="560" w:lineRule="exact"/>
        <w:ind w:left="636"/>
        <w:jc w:val="both"/>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三、公开募捐活动公开情况</w:t>
      </w:r>
    </w:p>
    <w:p>
      <w:pPr>
        <w:pageBreakBefore w:val="0"/>
        <w:widowControl/>
        <w:kinsoku/>
        <w:wordWrap/>
        <w:overflowPunct/>
        <w:topLinePunct w:val="0"/>
        <w:autoSpaceDE/>
        <w:autoSpaceDN/>
        <w:bidi w:val="0"/>
        <w:adjustRightInd/>
        <w:snapToGrid/>
        <w:spacing w:after="0" w:line="560" w:lineRule="exact"/>
        <w:ind w:left="0" w:leftChars="0" w:right="145" w:firstLine="640" w:firstLineChars="200"/>
        <w:jc w:val="both"/>
        <w:textAlignment w:val="auto"/>
        <w:rPr>
          <w:rFonts w:hint="eastAsia" w:ascii="仿宋_GB2312" w:hAnsi="仿宋_GB2312" w:eastAsia="仿宋_GB2312" w:cs="仿宋_GB2312"/>
          <w:sz w:val="32"/>
          <w:szCs w:val="32"/>
        </w:rPr>
        <w:sectPr>
          <w:footerReference r:id="rId5" w:type="default"/>
          <w:footerReference r:id="rId6" w:type="even"/>
          <w:pgSz w:w="11916" w:h="16848"/>
          <w:pgMar w:top="2189" w:right="1325" w:bottom="2148" w:left="1586" w:header="720" w:footer="1486" w:gutter="0"/>
          <w:pgNumType w:fmt="numberInDash"/>
          <w:cols w:space="720" w:num="1"/>
        </w:sectPr>
      </w:pPr>
      <w:r>
        <w:rPr>
          <w:rFonts w:hint="eastAsia" w:ascii="仿宋_GB2312" w:hAnsi="仿宋_GB2312" w:eastAsia="仿宋_GB2312" w:cs="仿宋_GB2312"/>
          <w:sz w:val="32"/>
          <w:szCs w:val="32"/>
        </w:rPr>
        <w:t>在募捐活动现场或者募捐活动载体的显著位置，公布组织</w:t>
      </w:r>
    </w:p>
    <w:p>
      <w:pPr>
        <w:pageBreakBefore w:val="0"/>
        <w:widowControl/>
        <w:kinsoku/>
        <w:wordWrap/>
        <w:overflowPunct/>
        <w:topLinePunct w:val="0"/>
        <w:autoSpaceDE/>
        <w:autoSpaceDN/>
        <w:bidi w:val="0"/>
        <w:adjustRightInd/>
        <w:snapToGrid/>
        <w:spacing w:after="0" w:line="560" w:lineRule="exact"/>
        <w:ind w:left="0" w:leftChars="0" w:right="0" w:firstLine="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名</w:t>
      </w:r>
      <w:r>
        <w:rPr>
          <w:rFonts w:hint="eastAsia" w:ascii="仿宋_GB2312" w:hAnsi="仿宋_GB2312" w:eastAsia="仿宋_GB2312" w:cs="仿宋_GB2312"/>
          <w:sz w:val="32"/>
          <w:szCs w:val="32"/>
        </w:rPr>
        <w:t>查询方法等，并在“慈善中国”平台向社会公开。慈善组织与其他组织或者个人合作开展公开募捐的，公开合作方的有关信息。公开募捐活动结束后三个月内公开募得款物情况、已经使用的募得款物用于慈善项目和其他用途的支出情况、尚未使用的募得款物的使用计划；公开募捐周期超过六个月的，至少每三个月公开一次募得款物有关信息。</w:t>
      </w:r>
    </w:p>
    <w:p>
      <w:pPr>
        <w:pStyle w:val="5"/>
        <w:pageBreakBefore w:val="0"/>
        <w:widowControl/>
        <w:kinsoku/>
        <w:wordWrap/>
        <w:overflowPunct/>
        <w:topLinePunct w:val="0"/>
        <w:autoSpaceDE/>
        <w:autoSpaceDN/>
        <w:bidi w:val="0"/>
        <w:adjustRightInd/>
        <w:snapToGrid/>
        <w:spacing w:after="0" w:line="560" w:lineRule="exact"/>
        <w:ind w:left="636"/>
        <w:jc w:val="both"/>
        <w:textAlignment w:val="auto"/>
        <w:rPr>
          <w:rFonts w:hint="eastAsia" w:ascii="黑体" w:hAnsi="黑体" w:eastAsia="黑体" w:cs="黑体"/>
          <w:sz w:val="32"/>
          <w:szCs w:val="32"/>
        </w:rPr>
      </w:pPr>
      <w:r>
        <w:rPr>
          <w:rFonts w:hint="eastAsia" w:ascii="黑体" w:hAnsi="黑体" w:eastAsia="黑体" w:cs="黑体"/>
          <w:sz w:val="32"/>
          <w:szCs w:val="32"/>
        </w:rPr>
        <w:t>四、慈善项目公开情况</w:t>
      </w:r>
    </w:p>
    <w:p>
      <w:pPr>
        <w:pageBreakBefore w:val="0"/>
        <w:widowControl/>
        <w:kinsoku/>
        <w:wordWrap/>
        <w:overflowPunct/>
        <w:topLinePunct w:val="0"/>
        <w:autoSpaceDE/>
        <w:autoSpaceDN/>
        <w:bidi w:val="0"/>
        <w:adjustRightInd/>
        <w:snapToGrid/>
        <w:spacing w:after="0" w:line="560" w:lineRule="exact"/>
        <w:ind w:left="-15" w:right="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设立慈善项目时，在“慈善中国”平台公开该慈善项目的名称和内容；慈善项目结束后，公开有关情况。具有公开募捐资格的慈善组织为慈善项目开展公开募捐活动的，公开相关募捐活动的名称，并在慈善项目终止后三个月内向社会公开慈善项目实施情况，包括项目名称、项目内容、实施地域、受益人群、来自公开募捐和其他来源的收入、项目的支出情况，项目终止后有剩余财产的公开剩余财产的处理情况；项目实施周期超过六个月的，至少每三个月公开一次项目实施情况。</w:t>
      </w:r>
    </w:p>
    <w:p>
      <w:pPr>
        <w:pStyle w:val="5"/>
        <w:pageBreakBefore w:val="0"/>
        <w:widowControl/>
        <w:kinsoku/>
        <w:wordWrap/>
        <w:overflowPunct/>
        <w:topLinePunct w:val="0"/>
        <w:autoSpaceDE/>
        <w:autoSpaceDN/>
        <w:bidi w:val="0"/>
        <w:adjustRightInd/>
        <w:snapToGrid/>
        <w:spacing w:after="0" w:line="560" w:lineRule="exact"/>
        <w:ind w:left="0" w:firstLine="641"/>
        <w:jc w:val="both"/>
        <w:textAlignment w:val="auto"/>
        <w:rPr>
          <w:rFonts w:hint="eastAsia" w:ascii="黑体" w:hAnsi="黑体" w:eastAsia="黑体" w:cs="黑体"/>
          <w:sz w:val="32"/>
          <w:szCs w:val="32"/>
        </w:rPr>
      </w:pPr>
      <w:r>
        <w:rPr>
          <w:rFonts w:hint="eastAsia" w:ascii="黑体" w:hAnsi="黑体" w:eastAsia="黑体" w:cs="黑体"/>
          <w:sz w:val="32"/>
          <w:szCs w:val="32"/>
        </w:rPr>
        <w:t>五、重大资产变动及投资、重大交换交易及资金往来、关联交易行为等公开情况</w:t>
      </w:r>
    </w:p>
    <w:p>
      <w:pPr>
        <w:pageBreakBefore w:val="0"/>
        <w:widowControl/>
        <w:kinsoku/>
        <w:wordWrap/>
        <w:overflowPunct/>
        <w:topLinePunct w:val="0"/>
        <w:autoSpaceDE/>
        <w:autoSpaceDN/>
        <w:bidi w:val="0"/>
        <w:adjustRightInd/>
        <w:snapToGrid/>
        <w:spacing w:after="0" w:line="560" w:lineRule="exact"/>
        <w:ind w:left="-15" w:right="0"/>
        <w:jc w:val="both"/>
        <w:textAlignment w:val="auto"/>
      </w:pPr>
      <w:r>
        <w:rPr>
          <w:rFonts w:hint="eastAsia" w:ascii="仿宋_GB2312" w:hAnsi="仿宋_GB2312" w:eastAsia="仿宋_GB2312" w:cs="仿宋_GB2312"/>
          <w:sz w:val="32"/>
          <w:szCs w:val="32"/>
        </w:rPr>
        <w:t>发生重大投资变动、重大投资、重大交易及资金往来等情形</w:t>
      </w:r>
      <w:r>
        <w:rPr>
          <w:rFonts w:hint="eastAsia" w:ascii="仿宋_GB2312" w:hAnsi="仿宋_GB2312" w:eastAsia="仿宋_GB2312" w:cs="仿宋_GB2312"/>
          <w:sz w:val="32"/>
          <w:szCs w:val="32"/>
          <w:lang w:eastAsia="zh-CN"/>
        </w:rPr>
        <w:t>后</w:t>
      </w:r>
      <w:r>
        <w:rPr>
          <w:rFonts w:hint="eastAsia" w:ascii="仿宋_GB2312" w:hAnsi="仿宋_GB2312" w:eastAsia="仿宋_GB2312" w:cs="仿宋_GB2312"/>
          <w:sz w:val="32"/>
          <w:szCs w:val="32"/>
        </w:rPr>
        <w:t>30日内，以及接受重要关联方捐赠、对重要关联方进行资助、与重要关联方共同投资、委托重要关联方开展投资活动、与重要关联方交易及资金往来等行为发生后30日内，在“慈善中国”平台向社会公开具体内容和金额</w:t>
      </w:r>
      <w:r>
        <w:rPr>
          <w:rFonts w:hint="eastAsia" w:ascii="仿宋_GB2312" w:hAnsi="仿宋_GB2312" w:eastAsia="仿宋_GB2312" w:cs="仿宋_GB2312"/>
          <w:sz w:val="32"/>
          <w:szCs w:val="32"/>
          <w:lang w:eastAsia="zh-CN"/>
        </w:rPr>
        <w:t>。</w:t>
      </w:r>
    </w:p>
    <w:sectPr>
      <w:footerReference r:id="rId9" w:type="first"/>
      <w:footerReference r:id="rId7" w:type="default"/>
      <w:footerReference r:id="rId8" w:type="even"/>
      <w:pgSz w:w="11916" w:h="16848"/>
      <w:pgMar w:top="2282" w:right="1325" w:bottom="1486" w:left="1586" w:header="720" w:footer="1486"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line="259" w:lineRule="auto"/>
      <w:ind w:right="158" w:firstLine="0"/>
      <w:jc w:val="right"/>
    </w:pPr>
    <w:r>
      <w:rPr>
        <w:sz w:val="32"/>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微软雅黑"/>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snapToGrid w:val="0"/>
                      <w:rPr>
                        <w:rFonts w:hint="eastAsia" w:eastAsia="微软雅黑"/>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line="259" w:lineRule="auto"/>
      <w:ind w:right="0" w:firstLine="0"/>
    </w:pPr>
    <w:r>
      <w:rPr>
        <w:sz w:val="32"/>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微软雅黑"/>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4</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snapToGrid w:val="0"/>
                      <w:rPr>
                        <w:rFonts w:hint="eastAsia" w:eastAsia="微软雅黑"/>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4</w:t>
                    </w:r>
                    <w:r>
                      <w:rPr>
                        <w:rFonts w:hint="eastAsia"/>
                        <w:sz w:val="18"/>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line="259" w:lineRule="auto"/>
      <w:ind w:right="158" w:firstLine="0"/>
      <w:jc w:val="right"/>
    </w:pPr>
    <w:r>
      <w:rPr>
        <w:sz w:val="32"/>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微软雅黑"/>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9</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snapToGrid w:val="0"/>
                      <w:rPr>
                        <w:rFonts w:hint="eastAsia" w:eastAsia="微软雅黑"/>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9</w:t>
                    </w:r>
                    <w:r>
                      <w:rPr>
                        <w:rFonts w:hint="eastAsia"/>
                        <w:sz w:val="18"/>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line="259" w:lineRule="auto"/>
      <w:ind w:right="0" w:firstLine="0"/>
    </w:pPr>
    <w:r>
      <w:rPr>
        <w:sz w:val="32"/>
      </w:rP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微软雅黑"/>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8</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snapToGrid w:val="0"/>
                      <w:rPr>
                        <w:rFonts w:hint="eastAsia" w:eastAsia="微软雅黑"/>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8</w:t>
                    </w:r>
                    <w:r>
                      <w:rPr>
                        <w:rFonts w:hint="eastAsia"/>
                        <w:sz w:val="18"/>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line="259" w:lineRule="auto"/>
      <w:ind w:right="0" w:firstLine="0"/>
    </w:pPr>
    <w:r>
      <w:rPr>
        <w:rFonts w:ascii="宋体" w:hAnsi="宋体" w:eastAsia="宋体" w:cs="宋体"/>
        <w:sz w:val="28"/>
      </w:rPr>
      <w:t xml:space="preserve">— </w:t>
    </w:r>
    <w:r>
      <w:fldChar w:fldCharType="begin"/>
    </w:r>
    <w:r>
      <w:instrText xml:space="preserve"> PAGE   \* MERGEFORMAT </w:instrText>
    </w:r>
    <w:r>
      <w:fldChar w:fldCharType="separate"/>
    </w:r>
    <w:r>
      <w:rPr>
        <w:rFonts w:ascii="宋体" w:hAnsi="宋体" w:eastAsia="宋体" w:cs="宋体"/>
        <w:sz w:val="28"/>
      </w:rPr>
      <w:t>10</w:t>
    </w:r>
    <w:r>
      <w:rPr>
        <w:rFonts w:ascii="宋体" w:hAnsi="宋体" w:eastAsia="宋体" w:cs="宋体"/>
        <w:sz w:val="2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54" w:lineRule="auto"/>
      </w:pPr>
      <w:r>
        <w:separator/>
      </w:r>
    </w:p>
  </w:footnote>
  <w:footnote w:type="continuationSeparator" w:id="1">
    <w:p>
      <w:pPr>
        <w:spacing w:before="0" w:after="0" w:line="354"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IyNTI0NWRlN2MyMzQ2YmU0ZjExM2Q2MjYwMjg2OGEifQ=="/>
  </w:docVars>
  <w:rsids>
    <w:rsidRoot w:val="43D159DB"/>
    <w:rsid w:val="43D159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after="5" w:line="354" w:lineRule="auto"/>
      <w:ind w:right="139" w:firstLine="631"/>
    </w:pPr>
    <w:rPr>
      <w:rFonts w:ascii="微软雅黑" w:hAnsi="微软雅黑" w:eastAsia="微软雅黑" w:cs="微软雅黑"/>
      <w:color w:val="000000"/>
      <w:sz w:val="32"/>
      <w:szCs w:val="22"/>
      <w:lang w:val="en-US" w:eastAsia="en-US" w:bidi="ar-SA"/>
    </w:rPr>
  </w:style>
  <w:style w:type="paragraph" w:styleId="4">
    <w:name w:val="heading 1"/>
    <w:next w:val="1"/>
    <w:unhideWhenUsed/>
    <w:qFormat/>
    <w:uiPriority w:val="9"/>
    <w:pPr>
      <w:keepNext/>
      <w:keepLines/>
      <w:spacing w:after="281" w:line="264" w:lineRule="auto"/>
      <w:ind w:left="10" w:hanging="10"/>
      <w:jc w:val="center"/>
      <w:outlineLvl w:val="0"/>
    </w:pPr>
    <w:rPr>
      <w:rFonts w:ascii="微软雅黑" w:hAnsi="微软雅黑" w:eastAsia="微软雅黑" w:cs="微软雅黑"/>
      <w:color w:val="000000"/>
      <w:sz w:val="44"/>
      <w:szCs w:val="22"/>
      <w:lang w:val="en-US" w:eastAsia="en-US" w:bidi="ar-SA"/>
    </w:rPr>
  </w:style>
  <w:style w:type="paragraph" w:styleId="5">
    <w:name w:val="heading 2"/>
    <w:next w:val="1"/>
    <w:unhideWhenUsed/>
    <w:qFormat/>
    <w:uiPriority w:val="9"/>
    <w:pPr>
      <w:keepNext/>
      <w:keepLines/>
      <w:spacing w:after="144" w:line="259" w:lineRule="auto"/>
      <w:ind w:left="651" w:hanging="10"/>
      <w:outlineLvl w:val="1"/>
    </w:pPr>
    <w:rPr>
      <w:rFonts w:ascii="微软雅黑" w:hAnsi="微软雅黑" w:eastAsia="微软雅黑" w:cs="微软雅黑"/>
      <w:color w:val="000000"/>
      <w:sz w:val="32"/>
      <w:szCs w:val="22"/>
      <w:lang w:val="en-US" w:eastAsia="en-US" w:bidi="ar-SA"/>
    </w:rPr>
  </w:style>
  <w:style w:type="character" w:default="1" w:styleId="7">
    <w:name w:val="Default Paragraph Font"/>
    <w:semiHidden/>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left="200" w:firstLine="420" w:firstLineChars="200"/>
    </w:pPr>
    <w:rPr>
      <w:rFonts w:ascii="Times New Roman" w:eastAsia="仿宋_GB2312"/>
      <w:sz w:val="32"/>
    </w:rPr>
  </w:style>
  <w:style w:type="paragraph" w:styleId="3">
    <w:name w:val="Body Text Indent"/>
    <w:basedOn w:val="1"/>
    <w:qFormat/>
    <w:uiPriority w:val="0"/>
    <w:pPr>
      <w:ind w:firstLine="720" w:firstLineChars="200"/>
    </w:pPr>
    <w:rPr>
      <w:sz w:val="36"/>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2024-02-22T06:04:00Z</dcterms:created>
  <dc:creator>^O^独白</dc:creator>
  <cp:lastModifiedBy>^O^独白</cp:lastModifiedBy>
  <dcterms:modified xsi:type="dcterms:W3CDTF">2024-02-22T06:04:20Z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BE949FED3DC840238BEE16C70440928D_11</vt:lpwstr>
  </property>
</Properties>
</file>