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5DE55F2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jc w:val="center"/>
        <w:textAlignment w:val="auto"/>
        <w:rPr>
          <w:rFonts w:hint="default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 xml:space="preserve"> 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平罗县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养老机构基本情况及收费标准公示</w:t>
      </w:r>
    </w:p>
    <w:p w14:paraId="0B6D9429">
      <w:pPr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</w:pPr>
    </w:p>
    <w:p w14:paraId="037D240F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一、平罗县中心敬老院</w:t>
      </w:r>
    </w:p>
    <w:p w14:paraId="673B1DE5">
      <w:pPr>
        <w:numPr>
          <w:ilvl w:val="0"/>
          <w:numId w:val="0"/>
        </w:numPr>
        <w:jc w:val="center"/>
        <w:rPr>
          <w:rFonts w:hint="eastAsia" w:ascii="国标楷体" w:hAnsi="国标楷体" w:eastAsia="国标楷体" w:cs="国标楷体"/>
          <w:color w:val="auto"/>
          <w:sz w:val="32"/>
          <w:szCs w:val="32"/>
          <w:lang w:val="en-US" w:eastAsia="zh-CN"/>
        </w:rPr>
      </w:pPr>
      <w:r>
        <w:rPr>
          <w:rFonts w:hint="eastAsia" w:ascii="国标楷体" w:hAnsi="国标楷体" w:eastAsia="国标楷体" w:cs="国标楷体"/>
          <w:color w:val="auto"/>
          <w:sz w:val="32"/>
          <w:szCs w:val="32"/>
          <w:lang w:val="en-US" w:eastAsia="zh-CN"/>
        </w:rPr>
        <w:t>（公办）</w:t>
      </w:r>
    </w:p>
    <w:p w14:paraId="0D515AD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994025"/>
            <wp:effectExtent l="0" t="0" r="0" b="0"/>
            <wp:docPr id="1" name="图片 1" descr="微信图片_20250627084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27084332"/>
                    <pic:cNvPicPr>
                      <a:picLocks noChangeAspect="1"/>
                    </pic:cNvPicPr>
                  </pic:nvPicPr>
                  <pic:blipFill>
                    <a:blip r:embed="rId4"/>
                    <a:srcRect b="2414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8D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平罗县中心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敬老院</w:t>
      </w:r>
      <w:r>
        <w:rPr>
          <w:rFonts w:hint="eastAsia" w:ascii="仿宋_GB2312" w:hAnsi="仿宋_GB2312" w:eastAsia="仿宋_GB2312" w:cs="仿宋_GB2312"/>
          <w:sz w:val="32"/>
          <w:szCs w:val="32"/>
        </w:rPr>
        <w:t>是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2003</w:t>
      </w:r>
      <w:r>
        <w:rPr>
          <w:rFonts w:hint="eastAsia" w:ascii="仿宋_GB2312" w:hAnsi="仿宋_GB2312" w:eastAsia="仿宋_GB2312" w:cs="仿宋_GB2312"/>
          <w:sz w:val="32"/>
          <w:szCs w:val="32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11</w:t>
      </w:r>
      <w:r>
        <w:rPr>
          <w:rFonts w:hint="eastAsia" w:ascii="仿宋_GB2312" w:hAnsi="仿宋_GB2312" w:eastAsia="仿宋_GB2312" w:cs="仿宋_GB2312"/>
          <w:sz w:val="32"/>
          <w:szCs w:val="32"/>
        </w:rPr>
        <w:t>月在平罗县委、县政府的亲切关怀下，在中国福利彩票的大力资助下，通过自治区民政厅“星光计划”工程拨款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建设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占地面积2万多平方米。建筑面积3850平方米，设置床位110张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地理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位置优越</w:t>
      </w:r>
      <w:r>
        <w:rPr>
          <w:rFonts w:hint="eastAsia" w:ascii="仿宋_GB2312" w:hAnsi="仿宋_GB2312" w:eastAsia="仿宋_GB2312" w:cs="仿宋_GB2312"/>
          <w:sz w:val="32"/>
          <w:szCs w:val="32"/>
        </w:rPr>
        <w:t>，活动场地宽阔，院内绿化优美，空气清新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院内各类设施齐全集居住、健身、休闲、娱乐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为一体的</w:t>
      </w:r>
      <w:r>
        <w:rPr>
          <w:rFonts w:hint="eastAsia" w:ascii="仿宋_GB2312" w:hAnsi="仿宋_GB2312" w:eastAsia="仿宋_GB2312" w:cs="仿宋_GB2312"/>
          <w:sz w:val="32"/>
          <w:szCs w:val="32"/>
        </w:rPr>
        <w:t>养老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好去处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</w:p>
    <w:p w14:paraId="3D54DB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咨询电话：18295123869</w:t>
      </w:r>
    </w:p>
    <w:p w14:paraId="218F0E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  <w:t>机构地址：平罗县贺兰山路156号</w:t>
      </w:r>
    </w:p>
    <w:tbl>
      <w:tblPr>
        <w:tblStyle w:val="4"/>
        <w:tblpPr w:leftFromText="180" w:rightFromText="180" w:vertAnchor="text" w:tblpX="10214" w:tblpY="-98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"/>
      </w:tblGrid>
      <w:tr w14:paraId="6F0A1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348" w:type="dxa"/>
          </w:tcPr>
          <w:p w14:paraId="3A870E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  <w:tr w14:paraId="1FDB6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" w:hRule="atLeast"/>
        </w:trPr>
        <w:tc>
          <w:tcPr>
            <w:tcW w:w="348" w:type="dxa"/>
          </w:tcPr>
          <w:p w14:paraId="3F27E0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60" w:lineRule="exact"/>
              <w:textAlignment w:val="auto"/>
              <w:rPr>
                <w:rFonts w:hint="eastAsia" w:ascii="仿宋_GB2312" w:hAnsi="仿宋_GB2312" w:eastAsia="仿宋_GB2312" w:cs="仿宋_GB2312"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 w14:paraId="3F2866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依据平罗县人民政府办公室《关于调整平罗县中心敬老院代养老人床位费和护理费标准的通知》(平政办发</w:t>
      </w:r>
      <w:r>
        <w:rPr>
          <w:rFonts w:hint="eastAsia" w:ascii="国标仿宋" w:hAnsi="国标仿宋" w:eastAsia="国标仿宋" w:cs="国标仿宋"/>
          <w:sz w:val="32"/>
          <w:szCs w:val="32"/>
          <w:lang w:eastAsia="zh-CN"/>
        </w:rPr>
        <w:t>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2025</w:t>
      </w:r>
      <w:r>
        <w:rPr>
          <w:rFonts w:hint="eastAsia" w:ascii="国标仿宋" w:hAnsi="国标仿宋" w:eastAsia="国标仿宋" w:cs="国标仿宋"/>
          <w:sz w:val="32"/>
          <w:szCs w:val="32"/>
          <w:lang w:val="en-US" w:eastAsia="zh-CN"/>
        </w:rPr>
        <w:t>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32号)，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  <w:lang w:val="en-US" w:eastAsia="zh-CN"/>
        </w:rPr>
        <w:t>收费标准如下：</w:t>
      </w:r>
    </w:p>
    <w:tbl>
      <w:tblPr>
        <w:tblStyle w:val="4"/>
        <w:tblW w:w="9213" w:type="dxa"/>
        <w:tblInd w:w="-29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6"/>
        <w:gridCol w:w="964"/>
        <w:gridCol w:w="1172"/>
        <w:gridCol w:w="1950"/>
        <w:gridCol w:w="3701"/>
      </w:tblGrid>
      <w:tr w14:paraId="00BCCA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1" w:hRule="atLeast"/>
        </w:trPr>
        <w:tc>
          <w:tcPr>
            <w:tcW w:w="1426" w:type="dxa"/>
            <w:vMerge w:val="restart"/>
            <w:vAlign w:val="center"/>
          </w:tcPr>
          <w:p w14:paraId="6EAD5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2136" w:type="dxa"/>
            <w:gridSpan w:val="2"/>
            <w:vAlign w:val="center"/>
          </w:tcPr>
          <w:p w14:paraId="557D1B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床位费（元/人/月）</w:t>
            </w:r>
          </w:p>
        </w:tc>
        <w:tc>
          <w:tcPr>
            <w:tcW w:w="5651" w:type="dxa"/>
            <w:gridSpan w:val="2"/>
            <w:vMerge w:val="restart"/>
            <w:vAlign w:val="center"/>
          </w:tcPr>
          <w:p w14:paraId="28351F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ind w:firstLine="241" w:firstLineChars="100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护理费（元/人/月）</w:t>
            </w:r>
          </w:p>
        </w:tc>
      </w:tr>
      <w:tr w14:paraId="3AD326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1426" w:type="dxa"/>
            <w:vMerge w:val="continue"/>
            <w:vAlign w:val="center"/>
          </w:tcPr>
          <w:p w14:paraId="5CFCB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4" w:type="dxa"/>
            <w:vAlign w:val="center"/>
          </w:tcPr>
          <w:p w14:paraId="61638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阳面</w:t>
            </w:r>
          </w:p>
        </w:tc>
        <w:tc>
          <w:tcPr>
            <w:tcW w:w="1172" w:type="dxa"/>
            <w:vAlign w:val="center"/>
          </w:tcPr>
          <w:p w14:paraId="450F8D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阴面</w:t>
            </w:r>
          </w:p>
        </w:tc>
        <w:tc>
          <w:tcPr>
            <w:tcW w:w="5651" w:type="dxa"/>
            <w:gridSpan w:val="2"/>
            <w:vMerge w:val="continue"/>
            <w:vAlign w:val="center"/>
          </w:tcPr>
          <w:p w14:paraId="018B70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A9DDE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426" w:type="dxa"/>
            <w:vMerge w:val="restart"/>
            <w:vAlign w:val="center"/>
          </w:tcPr>
          <w:p w14:paraId="07ADE7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标准间</w:t>
            </w:r>
          </w:p>
        </w:tc>
        <w:tc>
          <w:tcPr>
            <w:tcW w:w="964" w:type="dxa"/>
            <w:vMerge w:val="restart"/>
            <w:vAlign w:val="center"/>
          </w:tcPr>
          <w:p w14:paraId="4615DE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380</w:t>
            </w:r>
          </w:p>
        </w:tc>
        <w:tc>
          <w:tcPr>
            <w:tcW w:w="1172" w:type="dxa"/>
            <w:vMerge w:val="restart"/>
            <w:vAlign w:val="center"/>
          </w:tcPr>
          <w:p w14:paraId="1641D4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350</w:t>
            </w:r>
          </w:p>
        </w:tc>
        <w:tc>
          <w:tcPr>
            <w:tcW w:w="1950" w:type="dxa"/>
            <w:vAlign w:val="center"/>
          </w:tcPr>
          <w:p w14:paraId="1ABDB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生活自理</w:t>
            </w:r>
          </w:p>
        </w:tc>
        <w:tc>
          <w:tcPr>
            <w:tcW w:w="3701" w:type="dxa"/>
            <w:vAlign w:val="center"/>
          </w:tcPr>
          <w:p w14:paraId="368F12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230</w:t>
            </w:r>
          </w:p>
        </w:tc>
      </w:tr>
      <w:tr w14:paraId="635FBD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426" w:type="dxa"/>
            <w:vMerge w:val="continue"/>
            <w:vAlign w:val="center"/>
          </w:tcPr>
          <w:p w14:paraId="3AA8BB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</w:pPr>
          </w:p>
        </w:tc>
        <w:tc>
          <w:tcPr>
            <w:tcW w:w="964" w:type="dxa"/>
            <w:vMerge w:val="continue"/>
            <w:vAlign w:val="center"/>
          </w:tcPr>
          <w:p w14:paraId="4C3E73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</w:pPr>
          </w:p>
        </w:tc>
        <w:tc>
          <w:tcPr>
            <w:tcW w:w="1172" w:type="dxa"/>
            <w:vMerge w:val="continue"/>
            <w:vAlign w:val="center"/>
          </w:tcPr>
          <w:p w14:paraId="6887BF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</w:pPr>
          </w:p>
        </w:tc>
        <w:tc>
          <w:tcPr>
            <w:tcW w:w="1950" w:type="dxa"/>
            <w:vAlign w:val="center"/>
          </w:tcPr>
          <w:p w14:paraId="64A41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轻度失能</w:t>
            </w:r>
          </w:p>
        </w:tc>
        <w:tc>
          <w:tcPr>
            <w:tcW w:w="3701" w:type="dxa"/>
            <w:vAlign w:val="center"/>
          </w:tcPr>
          <w:p w14:paraId="47320A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300</w:t>
            </w:r>
          </w:p>
        </w:tc>
      </w:tr>
      <w:tr w14:paraId="6DB0F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426" w:type="dxa"/>
            <w:vMerge w:val="continue"/>
            <w:vAlign w:val="center"/>
          </w:tcPr>
          <w:p w14:paraId="3FD3DB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4" w:type="dxa"/>
            <w:vMerge w:val="continue"/>
            <w:vAlign w:val="center"/>
          </w:tcPr>
          <w:p w14:paraId="5D1914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72" w:type="dxa"/>
            <w:vMerge w:val="continue"/>
            <w:vAlign w:val="center"/>
          </w:tcPr>
          <w:p w14:paraId="6AE9C6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vAlign w:val="center"/>
          </w:tcPr>
          <w:p w14:paraId="7A38A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中度失能</w:t>
            </w:r>
          </w:p>
        </w:tc>
        <w:tc>
          <w:tcPr>
            <w:tcW w:w="3701" w:type="dxa"/>
            <w:vAlign w:val="center"/>
          </w:tcPr>
          <w:p w14:paraId="319474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430</w:t>
            </w:r>
          </w:p>
        </w:tc>
      </w:tr>
      <w:tr w14:paraId="259A16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426" w:type="dxa"/>
            <w:vMerge w:val="continue"/>
            <w:vAlign w:val="center"/>
          </w:tcPr>
          <w:p w14:paraId="1FC689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4" w:type="dxa"/>
            <w:vMerge w:val="continue"/>
            <w:vAlign w:val="center"/>
          </w:tcPr>
          <w:p w14:paraId="25FA31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72" w:type="dxa"/>
            <w:vMerge w:val="continue"/>
            <w:vAlign w:val="center"/>
          </w:tcPr>
          <w:p w14:paraId="187F0A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vAlign w:val="center"/>
          </w:tcPr>
          <w:p w14:paraId="132EB7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重度失能</w:t>
            </w:r>
          </w:p>
        </w:tc>
        <w:tc>
          <w:tcPr>
            <w:tcW w:w="3701" w:type="dxa"/>
            <w:vAlign w:val="center"/>
          </w:tcPr>
          <w:p w14:paraId="74E9AE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</w:tr>
      <w:tr w14:paraId="0CF31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426" w:type="dxa"/>
            <w:vMerge w:val="continue"/>
            <w:vAlign w:val="center"/>
          </w:tcPr>
          <w:p w14:paraId="167C2A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64" w:type="dxa"/>
            <w:vMerge w:val="continue"/>
            <w:vAlign w:val="center"/>
          </w:tcPr>
          <w:p w14:paraId="0D627C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72" w:type="dxa"/>
            <w:vMerge w:val="continue"/>
            <w:vAlign w:val="center"/>
          </w:tcPr>
          <w:p w14:paraId="43DCA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950" w:type="dxa"/>
            <w:vAlign w:val="center"/>
          </w:tcPr>
          <w:p w14:paraId="1E3C46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完全失能</w:t>
            </w:r>
          </w:p>
        </w:tc>
        <w:tc>
          <w:tcPr>
            <w:tcW w:w="3701" w:type="dxa"/>
            <w:vAlign w:val="center"/>
          </w:tcPr>
          <w:p w14:paraId="0B022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4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600</w:t>
            </w:r>
          </w:p>
        </w:tc>
      </w:tr>
    </w:tbl>
    <w:p w14:paraId="694DA369"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 w14:paraId="3EC29AE8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二、平罗县颐养中心</w:t>
      </w:r>
    </w:p>
    <w:p w14:paraId="7C425F9B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国标楷体" w:hAnsi="国标楷体" w:eastAsia="国标楷体" w:cs="国标楷体"/>
          <w:color w:val="auto"/>
          <w:sz w:val="32"/>
          <w:szCs w:val="32"/>
          <w:lang w:val="en-US" w:eastAsia="zh-CN"/>
        </w:rPr>
        <w:t>（民办）</w:t>
      </w:r>
    </w:p>
    <w:p w14:paraId="3E4993EC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2405" cy="2820035"/>
            <wp:effectExtent l="0" t="0" r="635" b="14605"/>
            <wp:docPr id="2" name="图片 2" descr="5f5014e25c7d73a3fc756b2aa011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f5014e25c7d73a3fc756b2aa0114a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D5B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平罗县颐养中心是一家 “医养结合型” 养老机构，为自理、半自理及失能老年人提供生活照料、医疗护理等全方位服务，2018年正式投入运营。机构位于平罗县民族南街47号，与宁夏银北医院属同一项目，总投资2.2亿元，占地75亩，建筑面积61000㎡ ，现有养老床位480张。院内环境宜人，配备景观设施与健身场地；居室设施齐全，照护区功能完备，拥有大型餐厅及多样活动空间。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机构</w:t>
      </w:r>
      <w:r>
        <w:rPr>
          <w:rFonts w:hint="eastAsia" w:ascii="仿宋_GB2312" w:hAnsi="仿宋_GB2312" w:eastAsia="仿宋_GB2312" w:cs="仿宋_GB2312"/>
          <w:sz w:val="32"/>
          <w:szCs w:val="32"/>
        </w:rPr>
        <w:t>依托宁夏银北医院医疗专家团队，以现代医疗护理技能为支撑，以日常生活照护为基础，实现养老与医疗无缝衔接，让老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年</w:t>
      </w:r>
      <w:r>
        <w:rPr>
          <w:rFonts w:hint="eastAsia" w:ascii="仿宋_GB2312" w:hAnsi="仿宋_GB2312" w:eastAsia="仿宋_GB2312" w:cs="仿宋_GB2312"/>
          <w:sz w:val="32"/>
          <w:szCs w:val="32"/>
        </w:rPr>
        <w:t>人足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在机构内</w:t>
      </w:r>
      <w:r>
        <w:rPr>
          <w:rFonts w:hint="eastAsia" w:ascii="仿宋_GB2312" w:hAnsi="仿宋_GB2312" w:eastAsia="仿宋_GB2312" w:cs="仿宋_GB2312"/>
          <w:sz w:val="32"/>
          <w:szCs w:val="32"/>
        </w:rPr>
        <w:t>即可享受优质医养、康养服务，提升身体机能与生活质量。</w:t>
      </w:r>
    </w:p>
    <w:p w14:paraId="2C8D9C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咨询电话：0952—3817777</w:t>
      </w:r>
    </w:p>
    <w:p w14:paraId="2AB607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黑体" w:hAnsi="黑体" w:eastAsia="黑体" w:cs="黑体"/>
          <w:sz w:val="28"/>
          <w:szCs w:val="36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机构地址：宁夏平罗县民族南大街47号（银北医院旁）</w:t>
      </w:r>
    </w:p>
    <w:tbl>
      <w:tblPr>
        <w:tblStyle w:val="4"/>
        <w:tblpPr w:leftFromText="180" w:rightFromText="180" w:vertAnchor="text" w:horzAnchor="page" w:tblpXSpec="center" w:tblpY="624"/>
        <w:tblOverlap w:val="never"/>
        <w:tblW w:w="831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78"/>
        <w:gridCol w:w="1016"/>
        <w:gridCol w:w="944"/>
        <w:gridCol w:w="1070"/>
        <w:gridCol w:w="1500"/>
        <w:gridCol w:w="1500"/>
        <w:gridCol w:w="1110"/>
      </w:tblGrid>
      <w:tr w14:paraId="06D1E5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  <w:jc w:val="center"/>
        </w:trPr>
        <w:tc>
          <w:tcPr>
            <w:tcW w:w="1178" w:type="dxa"/>
            <w:vMerge w:val="restart"/>
          </w:tcPr>
          <w:p w14:paraId="7D751A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3030" w:type="dxa"/>
            <w:gridSpan w:val="3"/>
            <w:vAlign w:val="center"/>
          </w:tcPr>
          <w:p w14:paraId="2ABB2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床位费（元/人/月）</w:t>
            </w:r>
          </w:p>
        </w:tc>
        <w:tc>
          <w:tcPr>
            <w:tcW w:w="1500" w:type="dxa"/>
            <w:vMerge w:val="restart"/>
            <w:vAlign w:val="center"/>
          </w:tcPr>
          <w:p w14:paraId="5F623E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47A8D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护理费</w:t>
            </w:r>
          </w:p>
          <w:p w14:paraId="21464B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（元/人/月）</w:t>
            </w:r>
          </w:p>
        </w:tc>
        <w:tc>
          <w:tcPr>
            <w:tcW w:w="1500" w:type="dxa"/>
            <w:vMerge w:val="restart"/>
            <w:vAlign w:val="center"/>
          </w:tcPr>
          <w:p w14:paraId="340B88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 w14:paraId="5707BA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餐费</w:t>
            </w:r>
          </w:p>
          <w:p w14:paraId="600D05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（元/人/月）</w:t>
            </w:r>
          </w:p>
        </w:tc>
        <w:tc>
          <w:tcPr>
            <w:tcW w:w="1110" w:type="dxa"/>
            <w:vMerge w:val="restart"/>
            <w:vAlign w:val="center"/>
          </w:tcPr>
          <w:p w14:paraId="3F3D3C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其他费用（元/人/月）</w:t>
            </w:r>
          </w:p>
        </w:tc>
      </w:tr>
      <w:tr w14:paraId="709052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" w:hRule="atLeast"/>
          <w:jc w:val="center"/>
        </w:trPr>
        <w:tc>
          <w:tcPr>
            <w:tcW w:w="1178" w:type="dxa"/>
            <w:vMerge w:val="continue"/>
          </w:tcPr>
          <w:p w14:paraId="7DAE7F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16" w:type="dxa"/>
            <w:vAlign w:val="center"/>
          </w:tcPr>
          <w:p w14:paraId="7EE521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单人间</w:t>
            </w:r>
          </w:p>
        </w:tc>
        <w:tc>
          <w:tcPr>
            <w:tcW w:w="944" w:type="dxa"/>
            <w:vAlign w:val="center"/>
          </w:tcPr>
          <w:p w14:paraId="75D9A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双人间</w:t>
            </w:r>
          </w:p>
        </w:tc>
        <w:tc>
          <w:tcPr>
            <w:tcW w:w="1070" w:type="dxa"/>
            <w:vAlign w:val="center"/>
          </w:tcPr>
          <w:p w14:paraId="631CE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  <w:vertAlign w:val="baseline"/>
                <w:lang w:val="en-US" w:eastAsia="zh-CN"/>
              </w:rPr>
              <w:t>多人间</w:t>
            </w:r>
          </w:p>
        </w:tc>
        <w:tc>
          <w:tcPr>
            <w:tcW w:w="1500" w:type="dxa"/>
            <w:vMerge w:val="continue"/>
          </w:tcPr>
          <w:p w14:paraId="542973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00" w:type="dxa"/>
            <w:vMerge w:val="continue"/>
          </w:tcPr>
          <w:p w14:paraId="0B3E34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0" w:type="dxa"/>
            <w:vMerge w:val="continue"/>
          </w:tcPr>
          <w:p w14:paraId="72C44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481CAD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2" w:hRule="atLeast"/>
          <w:jc w:val="center"/>
        </w:trPr>
        <w:tc>
          <w:tcPr>
            <w:tcW w:w="1178" w:type="dxa"/>
            <w:vAlign w:val="center"/>
          </w:tcPr>
          <w:p w14:paraId="343FA7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能力完好</w:t>
            </w:r>
          </w:p>
        </w:tc>
        <w:tc>
          <w:tcPr>
            <w:tcW w:w="1016" w:type="dxa"/>
            <w:vAlign w:val="center"/>
          </w:tcPr>
          <w:p w14:paraId="57D059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1480</w:t>
            </w:r>
          </w:p>
        </w:tc>
        <w:tc>
          <w:tcPr>
            <w:tcW w:w="944" w:type="dxa"/>
            <w:vAlign w:val="center"/>
          </w:tcPr>
          <w:p w14:paraId="79CDFF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800</w:t>
            </w:r>
          </w:p>
        </w:tc>
        <w:tc>
          <w:tcPr>
            <w:tcW w:w="1070" w:type="dxa"/>
            <w:vAlign w:val="center"/>
          </w:tcPr>
          <w:p w14:paraId="51175A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580</w:t>
            </w:r>
          </w:p>
        </w:tc>
        <w:tc>
          <w:tcPr>
            <w:tcW w:w="1500" w:type="dxa"/>
            <w:vAlign w:val="center"/>
          </w:tcPr>
          <w:p w14:paraId="7DEC85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460</w:t>
            </w:r>
          </w:p>
        </w:tc>
        <w:tc>
          <w:tcPr>
            <w:tcW w:w="1500" w:type="dxa"/>
            <w:vAlign w:val="center"/>
          </w:tcPr>
          <w:p w14:paraId="56E494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  <w:tc>
          <w:tcPr>
            <w:tcW w:w="1110" w:type="dxa"/>
            <w:vMerge w:val="restart"/>
            <w:vAlign w:val="center"/>
          </w:tcPr>
          <w:p w14:paraId="0754AA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冬季采暖费50元/月，医疗护理费按实际请计算。</w:t>
            </w:r>
          </w:p>
        </w:tc>
      </w:tr>
      <w:tr w14:paraId="050CAB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  <w:jc w:val="center"/>
        </w:trPr>
        <w:tc>
          <w:tcPr>
            <w:tcW w:w="1178" w:type="dxa"/>
            <w:vAlign w:val="center"/>
          </w:tcPr>
          <w:p w14:paraId="5322AF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轻度失能</w:t>
            </w:r>
          </w:p>
        </w:tc>
        <w:tc>
          <w:tcPr>
            <w:tcW w:w="1016" w:type="dxa"/>
            <w:vAlign w:val="center"/>
          </w:tcPr>
          <w:p w14:paraId="280AD8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1480</w:t>
            </w:r>
          </w:p>
        </w:tc>
        <w:tc>
          <w:tcPr>
            <w:tcW w:w="944" w:type="dxa"/>
            <w:vAlign w:val="center"/>
          </w:tcPr>
          <w:p w14:paraId="740497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800</w:t>
            </w:r>
          </w:p>
        </w:tc>
        <w:tc>
          <w:tcPr>
            <w:tcW w:w="1070" w:type="dxa"/>
            <w:vAlign w:val="center"/>
          </w:tcPr>
          <w:p w14:paraId="220857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580</w:t>
            </w:r>
          </w:p>
        </w:tc>
        <w:tc>
          <w:tcPr>
            <w:tcW w:w="1500" w:type="dxa"/>
            <w:vAlign w:val="center"/>
          </w:tcPr>
          <w:p w14:paraId="59DC28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860—1580</w:t>
            </w:r>
          </w:p>
        </w:tc>
        <w:tc>
          <w:tcPr>
            <w:tcW w:w="1500" w:type="dxa"/>
            <w:vAlign w:val="center"/>
          </w:tcPr>
          <w:p w14:paraId="404A6B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  <w:tc>
          <w:tcPr>
            <w:tcW w:w="1110" w:type="dxa"/>
            <w:vMerge w:val="continue"/>
          </w:tcPr>
          <w:p w14:paraId="384892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1C8AE5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  <w:jc w:val="center"/>
        </w:trPr>
        <w:tc>
          <w:tcPr>
            <w:tcW w:w="1178" w:type="dxa"/>
            <w:vAlign w:val="center"/>
          </w:tcPr>
          <w:p w14:paraId="45E2BF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中度失能</w:t>
            </w:r>
          </w:p>
        </w:tc>
        <w:tc>
          <w:tcPr>
            <w:tcW w:w="1016" w:type="dxa"/>
            <w:vAlign w:val="center"/>
          </w:tcPr>
          <w:p w14:paraId="46C5C4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1480</w:t>
            </w:r>
          </w:p>
        </w:tc>
        <w:tc>
          <w:tcPr>
            <w:tcW w:w="944" w:type="dxa"/>
            <w:vAlign w:val="center"/>
          </w:tcPr>
          <w:p w14:paraId="6E038C0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800</w:t>
            </w:r>
          </w:p>
        </w:tc>
        <w:tc>
          <w:tcPr>
            <w:tcW w:w="1070" w:type="dxa"/>
            <w:vAlign w:val="center"/>
          </w:tcPr>
          <w:p w14:paraId="365E78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580</w:t>
            </w:r>
          </w:p>
        </w:tc>
        <w:tc>
          <w:tcPr>
            <w:tcW w:w="1500" w:type="dxa"/>
            <w:vAlign w:val="center"/>
          </w:tcPr>
          <w:p w14:paraId="65E034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2280</w:t>
            </w:r>
          </w:p>
        </w:tc>
        <w:tc>
          <w:tcPr>
            <w:tcW w:w="1500" w:type="dxa"/>
            <w:vAlign w:val="center"/>
          </w:tcPr>
          <w:p w14:paraId="319501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  <w:tc>
          <w:tcPr>
            <w:tcW w:w="1110" w:type="dxa"/>
            <w:vMerge w:val="continue"/>
          </w:tcPr>
          <w:p w14:paraId="3BF0A2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742B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  <w:jc w:val="center"/>
        </w:trPr>
        <w:tc>
          <w:tcPr>
            <w:tcW w:w="1178" w:type="dxa"/>
            <w:vAlign w:val="center"/>
          </w:tcPr>
          <w:p w14:paraId="6FECA8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重度失能</w:t>
            </w:r>
          </w:p>
        </w:tc>
        <w:tc>
          <w:tcPr>
            <w:tcW w:w="1016" w:type="dxa"/>
            <w:vAlign w:val="center"/>
          </w:tcPr>
          <w:p w14:paraId="3314E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1480</w:t>
            </w:r>
          </w:p>
        </w:tc>
        <w:tc>
          <w:tcPr>
            <w:tcW w:w="944" w:type="dxa"/>
            <w:vAlign w:val="center"/>
          </w:tcPr>
          <w:p w14:paraId="3F141C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800</w:t>
            </w:r>
          </w:p>
        </w:tc>
        <w:tc>
          <w:tcPr>
            <w:tcW w:w="1070" w:type="dxa"/>
            <w:vAlign w:val="center"/>
          </w:tcPr>
          <w:p w14:paraId="1D9738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580</w:t>
            </w:r>
          </w:p>
        </w:tc>
        <w:tc>
          <w:tcPr>
            <w:tcW w:w="1500" w:type="dxa"/>
            <w:vAlign w:val="center"/>
          </w:tcPr>
          <w:p w14:paraId="01C294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2580</w:t>
            </w:r>
          </w:p>
        </w:tc>
        <w:tc>
          <w:tcPr>
            <w:tcW w:w="1500" w:type="dxa"/>
            <w:vAlign w:val="center"/>
          </w:tcPr>
          <w:p w14:paraId="51CF2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  <w:tc>
          <w:tcPr>
            <w:tcW w:w="1110" w:type="dxa"/>
            <w:vMerge w:val="continue"/>
          </w:tcPr>
          <w:p w14:paraId="0C93F1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8009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3" w:hRule="atLeast"/>
          <w:jc w:val="center"/>
        </w:trPr>
        <w:tc>
          <w:tcPr>
            <w:tcW w:w="1178" w:type="dxa"/>
            <w:vAlign w:val="center"/>
          </w:tcPr>
          <w:p w14:paraId="25EF2F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完全失能</w:t>
            </w:r>
          </w:p>
        </w:tc>
        <w:tc>
          <w:tcPr>
            <w:tcW w:w="1016" w:type="dxa"/>
            <w:vAlign w:val="center"/>
          </w:tcPr>
          <w:p w14:paraId="6ABD2B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1480</w:t>
            </w:r>
          </w:p>
        </w:tc>
        <w:tc>
          <w:tcPr>
            <w:tcW w:w="944" w:type="dxa"/>
            <w:vAlign w:val="center"/>
          </w:tcPr>
          <w:p w14:paraId="32AAA3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800</w:t>
            </w:r>
          </w:p>
        </w:tc>
        <w:tc>
          <w:tcPr>
            <w:tcW w:w="1070" w:type="dxa"/>
            <w:vAlign w:val="center"/>
          </w:tcPr>
          <w:p w14:paraId="03692E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580</w:t>
            </w:r>
          </w:p>
        </w:tc>
        <w:tc>
          <w:tcPr>
            <w:tcW w:w="1500" w:type="dxa"/>
            <w:vAlign w:val="center"/>
          </w:tcPr>
          <w:p w14:paraId="331224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3600</w:t>
            </w:r>
          </w:p>
        </w:tc>
        <w:tc>
          <w:tcPr>
            <w:tcW w:w="1500" w:type="dxa"/>
            <w:vAlign w:val="center"/>
          </w:tcPr>
          <w:p w14:paraId="1CA4CB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  <w:t>500</w:t>
            </w:r>
          </w:p>
        </w:tc>
        <w:tc>
          <w:tcPr>
            <w:tcW w:w="1110" w:type="dxa"/>
            <w:vMerge w:val="continue"/>
          </w:tcPr>
          <w:p w14:paraId="1B488A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2E426645"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color w:val="0070C0"/>
          <w:sz w:val="32"/>
          <w:szCs w:val="32"/>
          <w:lang w:val="en-US" w:eastAsia="zh-CN"/>
        </w:rPr>
        <w:t>收费标准</w:t>
      </w:r>
      <w:r>
        <w:rPr>
          <w:rFonts w:hint="eastAsia" w:ascii="仿宋_GB2312" w:hAnsi="仿宋_GB2312" w:eastAsia="仿宋_GB2312" w:cs="仿宋_GB2312"/>
          <w:color w:val="0070C0"/>
          <w:sz w:val="32"/>
          <w:szCs w:val="32"/>
          <w:lang w:val="en-US" w:eastAsia="zh-CN"/>
        </w:rPr>
        <w:t>：</w:t>
      </w:r>
    </w:p>
    <w:p w14:paraId="74087B7B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BE7A7E0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40B1006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3DAFDFD8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4C44D70E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26B3DB12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7690122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6FCA039D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三、平罗县第二敬老院</w:t>
      </w:r>
    </w:p>
    <w:p w14:paraId="6638B8E6"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国标楷体" w:hAnsi="国标楷体" w:eastAsia="国标楷体" w:cs="国标楷体"/>
          <w:color w:val="auto"/>
          <w:sz w:val="32"/>
          <w:szCs w:val="32"/>
          <w:lang w:val="en-US" w:eastAsia="zh-CN"/>
        </w:rPr>
        <w:t>（公办）</w:t>
      </w:r>
    </w:p>
    <w:p w14:paraId="6E33791A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drawing>
          <wp:inline distT="0" distB="0" distL="114300" distR="114300">
            <wp:extent cx="5264785" cy="3947160"/>
            <wp:effectExtent l="0" t="0" r="12065" b="15240"/>
            <wp:docPr id="3" name="图片 3" descr="b018ef0bbaef8e1a1f203d2695c21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018ef0bbaef8e1a1f203d2695c210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60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平罗县第二敬老院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是在原第二敬老院的基础上搬迁后新建成的，于2021年4月29日建成并投入使用。总投资935.4万，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占地面积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6600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米，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建筑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面积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近3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000平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方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米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共有床位100张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，配有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多功能厅、餐厅、浴室、卫生间、洗衣间等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各类功能室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。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院落环境优美、设施齐全，全员职工牢固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树立“一切为了老人”的服务宗旨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规范服务管理，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加强标准化建设，不断提高服务水平，为特困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eastAsia="zh-CN"/>
        </w:rPr>
        <w:t>老年人提供集中照料护理服务。</w:t>
      </w:r>
    </w:p>
    <w:p w14:paraId="46CFC523">
      <w:pPr>
        <w:ind w:firstLine="643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咨询电话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：0952-3819339</w:t>
      </w:r>
    </w:p>
    <w:p w14:paraId="3AC29FA7">
      <w:pPr>
        <w:ind w:firstLine="643" w:firstLineChars="200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机构地址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：平罗县陶乐镇陶乐派出所东侧1-4号</w:t>
      </w:r>
    </w:p>
    <w:p w14:paraId="6328A605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 w14:paraId="7EEDE6FF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四、平罗县第三敬老院</w:t>
      </w:r>
    </w:p>
    <w:p w14:paraId="3191B5ED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 w:ascii="国标楷体" w:hAnsi="国标楷体" w:eastAsia="国标楷体" w:cs="国标楷体"/>
          <w:color w:val="auto"/>
          <w:sz w:val="32"/>
          <w:szCs w:val="32"/>
          <w:lang w:val="en-US" w:eastAsia="zh-CN"/>
        </w:rPr>
        <w:t>（公办）</w:t>
      </w:r>
    </w:p>
    <w:p w14:paraId="2470AF15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4" name="图片 4" descr="208b7e9e8029430f3097f9ed03f9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8b7e9e8029430f3097f9ed03f935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D0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420" w:firstLineChars="200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平罗县第三敬老院是2016年中央专项彩票公益金支持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建设的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基本养老服务项目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。机构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占地面积15000平方米，建筑面积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8960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平方米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设计床位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130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张，是一所集居住、生活、康复、健身、休闲娱乐、临终关怀等功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能为一体的标准化敬老院。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机构</w:t>
      </w: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紧紧围绕“品牌优质化、服务一流化、管理制度化、生活规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律化、设施齐全化、环境园林化”的发展目标，使入住敬老院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特困老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人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衣、食、住、医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等方面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得到全面保障。</w:t>
      </w:r>
    </w:p>
    <w:p w14:paraId="3B52940C">
      <w:pPr>
        <w:keepNext w:val="0"/>
        <w:keepLines w:val="0"/>
        <w:pageBreakBefore w:val="0"/>
        <w:widowControl w:val="0"/>
        <w:tabs>
          <w:tab w:val="left" w:pos="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咨询电话：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13007900884</w:t>
      </w:r>
    </w:p>
    <w:p w14:paraId="110D4E4B">
      <w:pPr>
        <w:keepNext w:val="0"/>
        <w:keepLines w:val="0"/>
        <w:pageBreakBefore w:val="0"/>
        <w:widowControl w:val="0"/>
        <w:tabs>
          <w:tab w:val="left" w:pos="80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  <w:lang w:val="en-US" w:eastAsia="zh-CN" w:bidi="ar-SA"/>
        </w:rPr>
        <w:t>机构地址：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平罗县新区42#-5（阳光南苑西侧）</w:t>
      </w:r>
    </w:p>
    <w:p w14:paraId="4E56D54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楷体">
    <w:altName w:val="楷体"/>
    <w:panose1 w:val="02000500000000000000"/>
    <w:charset w:val="86"/>
    <w:family w:val="auto"/>
    <w:pitch w:val="default"/>
    <w:sig w:usb0="00000000" w:usb1="00000000" w:usb2="00000000" w:usb3="00000000" w:csb0="00060007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国标仿宋">
    <w:altName w:val="仿宋"/>
    <w:panose1 w:val="02000500000000000000"/>
    <w:charset w:val="86"/>
    <w:family w:val="auto"/>
    <w:pitch w:val="default"/>
    <w:sig w:usb0="00000000" w:usb1="00000000" w:usb2="00000016" w:usb3="00000000" w:csb0="000600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宋体-GB2312">
    <w:altName w:val="方正书宋_GBK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wMGFhOGNiOGFiZmVhOTM0NWNhZGJkNjdhOGE1NDcifQ=="/>
  </w:docVars>
  <w:rsids>
    <w:rsidRoot w:val="57A55001"/>
    <w:rsid w:val="0FF56939"/>
    <w:rsid w:val="207A5619"/>
    <w:rsid w:val="3CD7FB04"/>
    <w:rsid w:val="3EF93368"/>
    <w:rsid w:val="54F1751B"/>
    <w:rsid w:val="57A55001"/>
    <w:rsid w:val="5CF41529"/>
    <w:rsid w:val="6DA11746"/>
    <w:rsid w:val="6FB6848C"/>
    <w:rsid w:val="7BCF1889"/>
    <w:rsid w:val="7DFF598A"/>
    <w:rsid w:val="7EDFB58F"/>
    <w:rsid w:val="7FFE8D01"/>
    <w:rsid w:val="DDF7E208"/>
    <w:rsid w:val="DFED1C81"/>
    <w:rsid w:val="E5FFF1BB"/>
    <w:rsid w:val="EADD6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366</Words>
  <Characters>422</Characters>
  <Lines>0</Lines>
  <Paragraphs>0</Paragraphs>
  <TotalTime>45</TotalTime>
  <ScaleCrop>false</ScaleCrop>
  <LinksUpToDate>false</LinksUpToDate>
  <CharactersWithSpaces>427</CharactersWithSpaces>
  <Application>WPS Office_12.8.2.1119_F1E327BC-269C-435d-A152-05C5408002CA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2025-06-29T00:43:00Z</dcterms:created>
  <dc:creator>Administrator</dc:creator>
  <cp:lastModifiedBy>゛迷茫</cp:lastModifiedBy>
  <cp:lastPrinted>2025-07-02T02:22:00Z</cp:lastPrinted>
  <dcterms:modified xsi:type="dcterms:W3CDTF">2025-07-25T11:04:00Z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2052-12.8.2.1119</vt:lpwstr>
  </property>
  <property fmtid="{D5CDD505-2E9C-101B-9397-08002B2CF9AE}" pid="3" name="ICV">
    <vt:lpwstr>220ECC273C49448BACCE2A6BA6F8CADA_13</vt:lpwstr>
  </property>
  <property fmtid="{D5CDD505-2E9C-101B-9397-08002B2CF9AE}" pid="4" name="KSOTemplateDocerSaveRecord">
    <vt:lpwstr>eyJoZGlkIjoiNjcyOWUxYTQ0ZjYzZjE4ZmYxM2NlY2YwOWMxNTkxMjMiLCJ1c2VySWQiOiI1NDQ4NTU0NDEifQ==</vt:lpwstr>
  </property>
</Properties>
</file>