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方正小标宋_GBK" w:hAnsi="方正小标宋_GBK" w:eastAsia="方正小标宋_GBK" w:cs="方正小标宋_GBK"/>
          <w:color w:val="000000"/>
          <w:sz w:val="44"/>
          <w:szCs w:val="44"/>
        </w:rPr>
      </w:pPr>
      <w:r>
        <w:rPr>
          <w:rFonts w:hint="eastAsia" w:ascii="方正小标宋_GBK" w:eastAsia="方正小标宋_GBK"/>
          <w:color w:val="000000"/>
          <w:sz w:val="44"/>
          <w:szCs w:val="44"/>
        </w:rPr>
        <mc:AlternateContent>
          <mc:Choice Requires="wpg">
            <w:drawing>
              <wp:anchor distT="0" distB="0" distL="114300" distR="114300" simplePos="0" relativeHeight="251661312" behindDoc="0" locked="0" layoutInCell="1" allowOverlap="1">
                <wp:simplePos x="0" y="0"/>
                <wp:positionH relativeFrom="character">
                  <wp:posOffset>-3036570</wp:posOffset>
                </wp:positionH>
                <wp:positionV relativeFrom="line">
                  <wp:posOffset>891540</wp:posOffset>
                </wp:positionV>
                <wp:extent cx="6120130" cy="45720"/>
                <wp:effectExtent l="0" t="13970" r="13970" b="16510"/>
                <wp:wrapSquare wrapText="bothSides"/>
                <wp:docPr id="6" name="组合 6"/>
                <wp:cNvGraphicFramePr/>
                <a:graphic xmlns:a="http://schemas.openxmlformats.org/drawingml/2006/main">
                  <a:graphicData uri="http://schemas.microsoft.com/office/word/2010/wordprocessingGroup">
                    <wpg:wgp>
                      <wpg:cNvGrpSpPr/>
                      <wpg:grpSpPr>
                        <a:xfrm>
                          <a:off x="0" y="0"/>
                          <a:ext cx="6120130" cy="45720"/>
                          <a:chOff x="-430" y="779"/>
                          <a:chExt cx="9638" cy="72"/>
                        </a:xfrm>
                      </wpg:grpSpPr>
                      <wps:wsp>
                        <wps:cNvPr id="3" name="直接连接符 3"/>
                        <wps:cNvCnPr/>
                        <wps:spPr>
                          <a:xfrm>
                            <a:off x="-430" y="779"/>
                            <a:ext cx="9638" cy="0"/>
                          </a:xfrm>
                          <a:prstGeom prst="line">
                            <a:avLst/>
                          </a:prstGeom>
                          <a:ln w="28575" cap="flat" cmpd="sng">
                            <a:solidFill>
                              <a:srgbClr val="FF0000"/>
                            </a:solidFill>
                            <a:prstDash val="solid"/>
                            <a:headEnd type="none" w="med" len="med"/>
                            <a:tailEnd type="none" w="med" len="med"/>
                          </a:ln>
                        </wps:spPr>
                        <wps:bodyPr upright="1"/>
                      </wps:wsp>
                      <wps:wsp>
                        <wps:cNvPr id="5" name="直接连接符 5"/>
                        <wps:cNvCnPr/>
                        <wps:spPr>
                          <a:xfrm>
                            <a:off x="-430" y="851"/>
                            <a:ext cx="9638" cy="0"/>
                          </a:xfrm>
                          <a:prstGeom prst="line">
                            <a:avLst/>
                          </a:prstGeom>
                          <a:ln w="317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39.1pt;margin-top:70.2pt;height:3.6pt;width:481.9pt;mso-position-horizontal-relative:char;mso-position-vertical-relative:line;mso-wrap-distance-bottom:0pt;mso-wrap-distance-left:9pt;mso-wrap-distance-right:9pt;mso-wrap-distance-top:0pt;z-index:251661312;mso-width-relative:page;mso-height-relative:page;" coordorigin="-430,779" coordsize="9638,72" o:gfxdata="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UC5eH2wAA&#10;AAwBAAAPAAAAAAAAAAEAIAAAACIAAABkcnMvZG93bnJldi54bWxQSwECFAAUAAAACACHTuJARNVc&#10;BI0CAAAbBwAADgAAAAAAAAABACAAAAAqAQAAZHJzL2Uyb0RvYy54bWxQSwUGAAAAAAYABgBZAQAA&#10;KQYAAAAA&#10;">
                <o:lock v:ext="edit" aspectratio="f"/>
                <v:line id="_x0000_s1026" o:spid="_x0000_s1026" o:spt="20" style="position:absolute;left:-430;top:779;height:0;width:9638;" filled="f"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430;top:851;height:0;width:9638;" filled="f" stroked="t" coordsize="21600,21600" o:gfxdata="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tq27sAAADa&#10;AAAADwAAAAAAAAABACAAAAAiAAAAZHJzL2Rvd25yZXYueG1sUEsBAhQAFAAAAAgAh07iQDMvBZ47&#10;AAAAOQAAABAAAAAAAAAAAQAgAAAACgEAAGRycy9zaGFwZXhtbC54bWxQSwUGAAAAAAYABgBbAQAA&#10;tAMAAAAA&#10;">
                  <v:fill on="f" focussize="0,0"/>
                  <v:stroke weight="0.25pt" color="#FF0000" joinstyle="round"/>
                  <v:imagedata o:title=""/>
                  <o:lock v:ext="edit" aspectratio="f"/>
                </v:line>
                <w10:wrap type="square"/>
              </v:group>
            </w:pict>
          </mc:Fallback>
        </mc:AlternateContent>
      </w:r>
      <w:r>
        <w:rPr>
          <w:rFonts w:hint="eastAsia" w:ascii="方正小标宋_GBK" w:hAnsi="方正小标宋_GBK" w:eastAsia="方正小标宋_GBK" w:cs="方正小标宋_GBK"/>
          <w:color w:val="000000"/>
          <w:sz w:val="44"/>
          <w:szCs w:val="44"/>
        </w:rPr>
        <w:pict>
          <v:shape id="_x0000_s1029" o:spid="_x0000_s1029" o:spt="136" type="#_x0000_t136" style="position:absolute;left:0pt;margin-left:-197.9pt;margin-top:11.45pt;height:37.95pt;width:396pt;mso-position-horizontal-relative:char;mso-position-vertical-relative:line;mso-wrap-distance-bottom:0pt;mso-wrap-distance-left:9pt;mso-wrap-distance-right:9pt;mso-wrap-distance-top:0pt;z-index:251660288;mso-width-relative:page;mso-height-relative:page;" fillcolor="#FF0000" filled="t" stroked="t" coordsize="21600,21600" o:allowoverlap="f" adj="10800">
            <v:path/>
            <v:fill on="t" color2="#FFFFFF" focussize="0,0"/>
            <v:stroke color="#FF0000"/>
            <v:imagedata o:title=""/>
            <o:lock v:ext="edit" aspectratio="f"/>
            <v:textpath on="t" fitshape="t" fitpath="t" trim="t" xscale="f" string=" 平 罗 县 民 政 局" style="font-family:方正小标宋简体;font-size:20pt;v-text-align:center;"/>
            <w10:wrap type="square"/>
          </v:shape>
        </w:pic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OLE_LINK1"/>
      <w:r>
        <w:rPr>
          <w:rFonts w:hint="eastAsia" w:ascii="方正小标宋_GBK" w:hAnsi="方正小标宋_GBK" w:eastAsia="方正小标宋_GBK" w:cs="方正小标宋_GBK"/>
          <w:color w:val="auto"/>
          <w:sz w:val="44"/>
          <w:szCs w:val="44"/>
          <w:lang w:val="en-US" w:eastAsia="zh-CN"/>
        </w:rPr>
        <w:t>关于征求《平罗县公办养老机构公办民营</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改革实施方案（征求意见稿）》意见公告</w:t>
      </w:r>
      <w:bookmarkStart w:id="1" w:name="_GoBack"/>
      <w:bookmarkEnd w:id="1"/>
    </w:p>
    <w:bookmarkEnd w:id="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right="0"/>
        <w:jc w:val="left"/>
        <w:textAlignment w:val="baseline"/>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p>
    <w:p>
      <w:pPr>
        <w:pStyle w:val="8"/>
        <w:keepNext w:val="0"/>
        <w:keepLines w:val="0"/>
        <w:pageBreakBefore w:val="0"/>
        <w:widowControl/>
        <w:suppressLineNumbers w:val="0"/>
        <w:kinsoku/>
        <w:wordWrap/>
        <w:overflowPunct/>
        <w:topLinePunct w:val="0"/>
        <w:autoSpaceDE/>
        <w:autoSpaceDN/>
        <w:bidi w:val="0"/>
        <w:adjustRightInd/>
        <w:snapToGrid/>
        <w:spacing w:line="540" w:lineRule="exact"/>
        <w:ind w:left="0" w:firstLine="640"/>
        <w:rPr>
          <w:sz w:val="32"/>
          <w:szCs w:val="32"/>
        </w:rPr>
      </w:pPr>
      <w:r>
        <w:rPr>
          <w:rFonts w:hint="eastAsia" w:ascii="仿宋_GB2312" w:eastAsia="仿宋_GB2312" w:cs="仿宋_GB2312"/>
          <w:color w:val="000000"/>
          <w:sz w:val="32"/>
          <w:szCs w:val="32"/>
          <w:lang w:val="en-US" w:eastAsia="zh-CN"/>
        </w:rPr>
        <w:t>为进一步提升全县养老服务质量，我局起草了</w:t>
      </w:r>
      <w:r>
        <w:rPr>
          <w:rFonts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平罗县公办养老机构</w:t>
      </w:r>
      <w:r>
        <w:rPr>
          <w:rFonts w:hint="eastAsia" w:ascii="仿宋_GB2312" w:eastAsia="仿宋_GB2312" w:cs="仿宋_GB2312"/>
          <w:color w:val="000000"/>
          <w:sz w:val="32"/>
          <w:szCs w:val="32"/>
          <w:lang w:eastAsia="zh-CN"/>
        </w:rPr>
        <w:t>公办民营</w:t>
      </w:r>
      <w:r>
        <w:rPr>
          <w:rFonts w:hint="eastAsia" w:ascii="仿宋_GB2312" w:eastAsia="仿宋_GB2312" w:cs="仿宋_GB2312"/>
          <w:color w:val="000000"/>
          <w:sz w:val="32"/>
          <w:szCs w:val="32"/>
          <w:lang w:val="en-US" w:eastAsia="zh-CN"/>
        </w:rPr>
        <w:t>改革实施方案</w:t>
      </w:r>
      <w:r>
        <w:rPr>
          <w:rFonts w:hint="eastAsia" w:ascii="仿宋_GB2312" w:eastAsia="仿宋_GB2312" w:cs="仿宋_GB2312"/>
          <w:color w:val="000000"/>
          <w:sz w:val="32"/>
          <w:szCs w:val="32"/>
        </w:rPr>
        <w:t>（征求意见稿）》</w:t>
      </w:r>
      <w:r>
        <w:rPr>
          <w:rFonts w:hint="eastAsia" w:ascii="仿宋_GB2312" w:eastAsia="仿宋_GB2312" w:cs="仿宋_GB2312"/>
          <w:color w:val="000000"/>
          <w:sz w:val="32"/>
          <w:szCs w:val="32"/>
          <w:lang w:val="en-US" w:eastAsia="zh-CN"/>
        </w:rPr>
        <w:t>。现广泛征求群众意见建议。请将意见建议于6月11日前反馈我局。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default"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t>联系人：吴生全          电话：13895428045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default"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t>电子邮箱：plxllb@163.com</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default"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t>附件：平罗县公办养老机构公办民营改革实施方案(</w:t>
      </w:r>
      <w:r>
        <w:rPr>
          <w:rFonts w:hint="eastAsia" w:ascii="仿宋_GB2312" w:eastAsia="仿宋_GB2312" w:cs="仿宋_GB2312"/>
          <w:color w:val="000000"/>
          <w:sz w:val="32"/>
          <w:szCs w:val="32"/>
        </w:rPr>
        <w:t>征求意见稿）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40" w:lineRule="exact"/>
        <w:rPr>
          <w:rFonts w:hint="eastAsia"/>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t xml:space="preserve">                            平罗县民政局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leftChars="0" w:right="0" w:firstLine="656" w:firstLineChars="200"/>
        <w:jc w:val="both"/>
        <w:textAlignment w:val="baseline"/>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t xml:space="preserve">                          2025年5月12日</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平罗县公办养老机构</w:t>
      </w:r>
      <w:r>
        <w:rPr>
          <w:rFonts w:hint="eastAsia" w:ascii="方正小标宋_GBK" w:hAnsi="方正小标宋_GBK" w:eastAsia="方正小标宋_GBK" w:cs="方正小标宋_GBK"/>
          <w:sz w:val="44"/>
          <w:szCs w:val="44"/>
          <w:lang w:eastAsia="zh-CN"/>
        </w:rPr>
        <w:t>公办民营</w:t>
      </w:r>
      <w:r>
        <w:rPr>
          <w:rFonts w:hint="eastAsia" w:ascii="方正小标宋_GBK" w:hAnsi="方正小标宋_GBK" w:eastAsia="方正小标宋_GBK" w:cs="方正小标宋_GBK"/>
          <w:sz w:val="44"/>
          <w:szCs w:val="44"/>
          <w:lang w:val="en-US" w:eastAsia="zh-CN"/>
        </w:rPr>
        <w:t>改革</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eastAsia="仿宋_GB2312"/>
          <w:sz w:val="32"/>
          <w:szCs w:val="32"/>
          <w:lang w:val="en-US" w:eastAsia="zh-CN"/>
        </w:rPr>
      </w:pPr>
      <w:r>
        <w:rPr>
          <w:rFonts w:hint="eastAsia" w:ascii="仿宋_GB2312" w:hAnsi="仿宋_GB2312" w:eastAsia="仿宋_GB2312" w:cs="仿宋_GB2312"/>
          <w:color w:val="auto"/>
          <w:sz w:val="32"/>
          <w:szCs w:val="32"/>
          <w:lang w:val="en-US" w:eastAsia="zh-CN"/>
        </w:rPr>
        <w:t>(征求意见稿）</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国家、自治区关于推进基本养老服务体系建设基本要求，深化我县养老服务领域改革，进一步优化养老服务资源配置，提升养老服务质量和运营效率，根据自治区民政厅等二十三部门印发的《关于支持和规范社会力量发展养老产业的若干措施》的通知（宁民发〔</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号）、自治区民政厅等九部门印发的《关于促进养老机构高质量发展的若干措施》（宁民规发〔</w:t>
      </w:r>
      <w:r>
        <w:rPr>
          <w:rFonts w:hint="default"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号）、《宁夏回族自治区养老机构公建民营实施办法》（宁民发〔2019〕50 号）、石嘴山市人民政府办公室关于印发《石嘴山市全面放开养老服务市场 加快养老服务业转型升级实施方案》的通知（石政办发﹝</w:t>
      </w:r>
      <w:r>
        <w:rPr>
          <w:rFonts w:hint="default"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223 </w:t>
      </w:r>
      <w:r>
        <w:rPr>
          <w:rFonts w:hint="eastAsia" w:ascii="仿宋_GB2312" w:hAnsi="仿宋_GB2312" w:eastAsia="仿宋_GB2312" w:cs="仿宋_GB2312"/>
          <w:color w:val="auto"/>
          <w:sz w:val="32"/>
          <w:szCs w:val="32"/>
          <w:lang w:val="en-US" w:eastAsia="zh-CN"/>
        </w:rPr>
        <w:t>号）规定及相关文件要求，拟对平罗县公办养老机构进行“公办民营”改革。为保障改革顺利推进，制定本方案。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机构</w:t>
      </w:r>
      <w:r>
        <w:rPr>
          <w:rFonts w:hint="eastAsia" w:ascii="黑体" w:hAnsi="黑体" w:eastAsia="黑体" w:cs="黑体"/>
          <w:sz w:val="32"/>
          <w:szCs w:val="32"/>
        </w:rPr>
        <w:t>简介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）平罗县中心敬老院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平罗县中心敬老院位于平罗县县城西北侧贺兰山路156号，占地面积2万平方米。其后院的2号楼建于2014年，2015年11月投入使用。该项目建筑面积3850平方米，三层框架结构，设置床位110张，项目总投资847万元。大楼内老人宿舍、多功能厅、餐厅等各项功能齐全。目前共入住老人60人，其中特困供养人员24人，社会代养老人36人。中心敬老院前院的</w:t>
      </w:r>
      <w:r>
        <w:rPr>
          <w:rFonts w:hint="eastAsia" w:eastAsia="仿宋_GB2312"/>
          <w:sz w:val="32"/>
          <w:szCs w:val="32"/>
          <w:lang w:eastAsia="zh-CN"/>
        </w:rPr>
        <w:t>养护楼</w:t>
      </w:r>
      <w:r>
        <w:rPr>
          <w:rFonts w:hint="eastAsia" w:eastAsia="仿宋_GB2312"/>
          <w:sz w:val="32"/>
          <w:szCs w:val="32"/>
          <w:lang w:val="en-US" w:eastAsia="zh-CN"/>
        </w:rPr>
        <w:t>建于2021年，2023年完工并投入使用。该项目</w:t>
      </w:r>
      <w:r>
        <w:rPr>
          <w:rFonts w:eastAsia="仿宋_GB2312"/>
          <w:sz w:val="32"/>
          <w:szCs w:val="32"/>
        </w:rPr>
        <w:t>建筑面积</w:t>
      </w:r>
      <w:r>
        <w:rPr>
          <w:rFonts w:hint="eastAsia" w:eastAsia="仿宋_GB2312"/>
          <w:sz w:val="32"/>
          <w:szCs w:val="32"/>
          <w:lang w:val="en-US" w:eastAsia="zh-CN"/>
        </w:rPr>
        <w:t>5000</w:t>
      </w:r>
      <w:r>
        <w:rPr>
          <w:rFonts w:eastAsia="仿宋_GB2312"/>
          <w:sz w:val="32"/>
          <w:szCs w:val="32"/>
        </w:rPr>
        <w:t>㎡，设置床位1</w:t>
      </w:r>
      <w:r>
        <w:rPr>
          <w:rFonts w:hint="eastAsia" w:eastAsia="仿宋_GB2312"/>
          <w:sz w:val="32"/>
          <w:szCs w:val="32"/>
          <w:lang w:val="en-US" w:eastAsia="zh-CN"/>
        </w:rPr>
        <w:t>0</w:t>
      </w:r>
      <w:r>
        <w:rPr>
          <w:rFonts w:eastAsia="仿宋_GB2312"/>
          <w:sz w:val="32"/>
          <w:szCs w:val="32"/>
        </w:rPr>
        <w:t>0张</w:t>
      </w:r>
      <w:r>
        <w:rPr>
          <w:rFonts w:hint="eastAsia" w:eastAsia="仿宋_GB2312"/>
          <w:sz w:val="32"/>
          <w:szCs w:val="32"/>
          <w:lang w:eastAsia="zh-CN"/>
        </w:rPr>
        <w:t>，</w:t>
      </w:r>
      <w:r>
        <w:rPr>
          <w:rFonts w:hint="eastAsia" w:eastAsia="仿宋_GB2312"/>
          <w:sz w:val="32"/>
          <w:szCs w:val="32"/>
          <w:lang w:val="en-US" w:eastAsia="zh-CN"/>
        </w:rPr>
        <w:t>项目</w:t>
      </w:r>
      <w:r>
        <w:rPr>
          <w:rFonts w:eastAsia="仿宋_GB2312"/>
          <w:sz w:val="32"/>
          <w:szCs w:val="32"/>
        </w:rPr>
        <w:t>总投资</w:t>
      </w:r>
      <w:r>
        <w:rPr>
          <w:rFonts w:hint="default" w:ascii="Times New Roman" w:hAnsi="Times New Roman" w:eastAsia="仿宋" w:cs="Times New Roman"/>
          <w:color w:val="000000"/>
          <w:sz w:val="32"/>
          <w:szCs w:val="32"/>
          <w:lang w:val="en-US" w:eastAsia="zh-CN"/>
        </w:rPr>
        <w:t>1997.61</w:t>
      </w:r>
      <w:r>
        <w:rPr>
          <w:rFonts w:eastAsia="仿宋_GB2312"/>
          <w:sz w:val="32"/>
          <w:szCs w:val="32"/>
        </w:rPr>
        <w:t>万元，</w:t>
      </w:r>
      <w:r>
        <w:rPr>
          <w:rFonts w:hint="eastAsia" w:eastAsia="仿宋_GB2312"/>
          <w:sz w:val="32"/>
          <w:szCs w:val="32"/>
          <w:lang w:val="en-US" w:eastAsia="zh-CN"/>
        </w:rPr>
        <w:t>为四</w:t>
      </w:r>
      <w:r>
        <w:rPr>
          <w:rFonts w:eastAsia="仿宋_GB2312"/>
          <w:sz w:val="32"/>
          <w:szCs w:val="32"/>
        </w:rPr>
        <w:t>层框架结构。</w:t>
      </w:r>
      <w:r>
        <w:rPr>
          <w:rFonts w:hint="eastAsia" w:eastAsia="仿宋" w:cs="Times New Roman"/>
          <w:color w:val="000000"/>
          <w:sz w:val="32"/>
          <w:szCs w:val="32"/>
          <w:lang w:val="en-US" w:eastAsia="zh-CN"/>
        </w:rPr>
        <w:t>大楼内老人</w:t>
      </w:r>
      <w:r>
        <w:rPr>
          <w:rFonts w:hint="default" w:ascii="Times New Roman" w:hAnsi="Times New Roman" w:eastAsia="仿宋" w:cs="Times New Roman"/>
          <w:color w:val="000000"/>
          <w:sz w:val="32"/>
          <w:szCs w:val="32"/>
        </w:rPr>
        <w:t>宿舍、餐厅、康复娱乐等功能室</w:t>
      </w:r>
      <w:r>
        <w:rPr>
          <w:rFonts w:hint="eastAsia" w:eastAsia="仿宋_GB2312"/>
          <w:sz w:val="32"/>
          <w:szCs w:val="32"/>
          <w:lang w:val="en-US" w:eastAsia="zh-CN"/>
        </w:rPr>
        <w:t>齐全</w:t>
      </w:r>
      <w:r>
        <w:rPr>
          <w:rFonts w:eastAsia="仿宋_GB2312"/>
          <w:sz w:val="32"/>
          <w:szCs w:val="32"/>
        </w:rPr>
        <w:t>。</w:t>
      </w:r>
      <w:r>
        <w:rPr>
          <w:rFonts w:hint="eastAsia" w:eastAsia="仿宋_GB2312"/>
          <w:sz w:val="32"/>
          <w:szCs w:val="32"/>
          <w:lang w:val="en-US" w:eastAsia="zh-CN"/>
        </w:rPr>
        <w:t>目前入住老人47人。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（二）平罗县第二敬老院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平罗县第二敬老院</w:t>
      </w:r>
      <w:r>
        <w:rPr>
          <w:rFonts w:hint="eastAsia" w:ascii="仿宋_GB2312" w:hAnsi="仿宋_GB2312" w:eastAsia="仿宋_GB2312" w:cs="仿宋_GB2312"/>
          <w:b w:val="0"/>
          <w:bCs w:val="0"/>
          <w:sz w:val="32"/>
          <w:szCs w:val="32"/>
          <w:lang w:val="en-US" w:eastAsia="zh-CN"/>
        </w:rPr>
        <w:t>位于平罗县陶乐镇西侧，建于2019年，2021年完工并投入使用。该项目</w:t>
      </w:r>
      <w:r>
        <w:rPr>
          <w:rFonts w:hint="eastAsia" w:ascii="仿宋_GB2312" w:hAnsi="仿宋_GB2312" w:eastAsia="仿宋_GB2312" w:cs="仿宋_GB2312"/>
          <w:b w:val="0"/>
          <w:bCs w:val="0"/>
          <w:sz w:val="32"/>
          <w:szCs w:val="32"/>
        </w:rPr>
        <w:t>占地面积</w:t>
      </w:r>
      <w:r>
        <w:rPr>
          <w:rFonts w:hint="eastAsia" w:ascii="仿宋_GB2312" w:hAnsi="仿宋_GB2312" w:eastAsia="仿宋_GB2312" w:cs="仿宋_GB2312"/>
          <w:b w:val="0"/>
          <w:bCs w:val="0"/>
          <w:sz w:val="32"/>
          <w:szCs w:val="32"/>
          <w:lang w:val="en-US" w:eastAsia="zh-CN"/>
        </w:rPr>
        <w:t>6600</w:t>
      </w:r>
      <w:r>
        <w:rPr>
          <w:rFonts w:hint="eastAsia" w:ascii="仿宋_GB2312" w:hAnsi="仿宋_GB2312" w:eastAsia="仿宋_GB2312" w:cs="仿宋_GB2312"/>
          <w:b w:val="0"/>
          <w:bCs w:val="0"/>
          <w:sz w:val="32"/>
          <w:szCs w:val="32"/>
        </w:rPr>
        <w:t>平</w:t>
      </w:r>
      <w:r>
        <w:rPr>
          <w:rFonts w:hint="eastAsia" w:ascii="仿宋_GB2312" w:hAnsi="仿宋_GB2312" w:eastAsia="仿宋_GB2312" w:cs="仿宋_GB2312"/>
          <w:b w:val="0"/>
          <w:bCs w:val="0"/>
          <w:sz w:val="32"/>
          <w:szCs w:val="32"/>
          <w:lang w:val="en-US" w:eastAsia="zh-CN"/>
        </w:rPr>
        <w:t>方</w:t>
      </w:r>
      <w:r>
        <w:rPr>
          <w:rFonts w:hint="eastAsia" w:ascii="仿宋_GB2312" w:hAnsi="仿宋_GB2312" w:eastAsia="仿宋_GB2312" w:cs="仿宋_GB2312"/>
          <w:b w:val="0"/>
          <w:bCs w:val="0"/>
          <w:sz w:val="32"/>
          <w:szCs w:val="32"/>
        </w:rPr>
        <w:t>米，</w:t>
      </w:r>
      <w:r>
        <w:rPr>
          <w:rFonts w:hint="eastAsia" w:ascii="仿宋_GB2312" w:hAnsi="仿宋_GB2312" w:eastAsia="仿宋_GB2312" w:cs="仿宋_GB2312"/>
          <w:b w:val="0"/>
          <w:bCs w:val="0"/>
          <w:sz w:val="32"/>
          <w:szCs w:val="32"/>
          <w:lang w:val="en-US" w:eastAsia="zh-CN"/>
        </w:rPr>
        <w:t>建筑</w:t>
      </w:r>
      <w:r>
        <w:rPr>
          <w:rFonts w:hint="eastAsia" w:ascii="仿宋_GB2312" w:hAnsi="仿宋_GB2312" w:eastAsia="仿宋_GB2312" w:cs="仿宋_GB2312"/>
          <w:b w:val="0"/>
          <w:bCs w:val="0"/>
          <w:sz w:val="32"/>
          <w:szCs w:val="32"/>
        </w:rPr>
        <w:t>面积</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000平</w:t>
      </w:r>
      <w:r>
        <w:rPr>
          <w:rFonts w:hint="eastAsia" w:ascii="仿宋_GB2312" w:hAnsi="仿宋_GB2312" w:eastAsia="仿宋_GB2312" w:cs="仿宋_GB2312"/>
          <w:b w:val="0"/>
          <w:bCs w:val="0"/>
          <w:sz w:val="32"/>
          <w:szCs w:val="32"/>
          <w:lang w:val="en-US" w:eastAsia="zh-CN"/>
        </w:rPr>
        <w:t>方</w:t>
      </w:r>
      <w:r>
        <w:rPr>
          <w:rFonts w:hint="eastAsia" w:ascii="仿宋_GB2312" w:hAnsi="仿宋_GB2312" w:eastAsia="仿宋_GB2312" w:cs="仿宋_GB2312"/>
          <w:b w:val="0"/>
          <w:bCs w:val="0"/>
          <w:sz w:val="32"/>
          <w:szCs w:val="32"/>
        </w:rPr>
        <w:t>米</w:t>
      </w:r>
      <w:r>
        <w:rPr>
          <w:rFonts w:hint="eastAsia" w:ascii="仿宋_GB2312" w:hAnsi="仿宋_GB2312" w:eastAsia="仿宋_GB2312" w:cs="仿宋_GB2312"/>
          <w:b w:val="0"/>
          <w:bCs w:val="0"/>
          <w:sz w:val="32"/>
          <w:szCs w:val="32"/>
          <w:lang w:eastAsia="zh-CN"/>
        </w:rPr>
        <w:t>，</w:t>
      </w:r>
      <w:r>
        <w:rPr>
          <w:rFonts w:eastAsia="仿宋_GB2312"/>
          <w:sz w:val="32"/>
          <w:szCs w:val="32"/>
        </w:rPr>
        <w:t>设置床位1</w:t>
      </w:r>
      <w:r>
        <w:rPr>
          <w:rFonts w:hint="eastAsia" w:eastAsia="仿宋_GB2312"/>
          <w:sz w:val="32"/>
          <w:szCs w:val="32"/>
          <w:lang w:val="en-US" w:eastAsia="zh-CN"/>
        </w:rPr>
        <w:t>0</w:t>
      </w:r>
      <w:r>
        <w:rPr>
          <w:rFonts w:eastAsia="仿宋_GB2312"/>
          <w:sz w:val="32"/>
          <w:szCs w:val="32"/>
        </w:rPr>
        <w:t>0张</w:t>
      </w:r>
      <w:r>
        <w:rPr>
          <w:rFonts w:hint="eastAsia" w:eastAsia="仿宋_GB2312"/>
          <w:sz w:val="32"/>
          <w:szCs w:val="32"/>
          <w:lang w:eastAsia="zh-CN"/>
        </w:rPr>
        <w:t>，</w:t>
      </w:r>
      <w:r>
        <w:rPr>
          <w:rFonts w:hint="eastAsia" w:ascii="仿宋_GB2312" w:hAnsi="仿宋_GB2312" w:eastAsia="仿宋_GB2312" w:cs="仿宋_GB2312"/>
          <w:b w:val="0"/>
          <w:bCs w:val="0"/>
          <w:sz w:val="32"/>
          <w:szCs w:val="32"/>
          <w:lang w:val="en-US" w:eastAsia="zh-CN"/>
        </w:rPr>
        <w:t>项目总投资935.4万元。机构内</w:t>
      </w:r>
      <w:r>
        <w:rPr>
          <w:rFonts w:hint="eastAsia" w:ascii="仿宋_GB2312" w:hAnsi="仿宋_GB2312" w:eastAsia="仿宋_GB2312" w:cs="仿宋_GB2312"/>
          <w:b w:val="0"/>
          <w:bCs w:val="0"/>
          <w:sz w:val="32"/>
          <w:szCs w:val="32"/>
          <w:lang w:eastAsia="zh-CN"/>
        </w:rPr>
        <w:t>目前入住人员</w:t>
      </w:r>
      <w:r>
        <w:rPr>
          <w:rFonts w:hint="eastAsia" w:ascii="仿宋_GB2312" w:hAnsi="仿宋_GB2312" w:eastAsia="仿宋_GB2312" w:cs="仿宋_GB2312"/>
          <w:b w:val="0"/>
          <w:bCs w:val="0"/>
          <w:sz w:val="32"/>
          <w:szCs w:val="32"/>
          <w:lang w:val="en-US" w:eastAsia="zh-CN"/>
        </w:rPr>
        <w:t>特困人员78人。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（三）平罗县第三敬老院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平罗县第三敬老院位于平罗县城西南侧，该项目和平罗县第一老年活动中心项目是2016年中央专项彩票公益金共同立项建设的，2017年12月建成投入使用。项目总投资2815.86万元，共设计床位250张。项目占地面积15000平方米，建筑面积8960平方米。目前第三敬老院共入住农村特困人员108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本方案所称</w:t>
      </w:r>
      <w:r>
        <w:rPr>
          <w:rFonts w:hint="eastAsia" w:eastAsia="仿宋_GB2312"/>
          <w:sz w:val="32"/>
          <w:szCs w:val="32"/>
          <w:lang w:eastAsia="zh-CN"/>
        </w:rPr>
        <w:t>公办民营</w:t>
      </w:r>
      <w:r>
        <w:rPr>
          <w:rFonts w:eastAsia="仿宋_GB2312"/>
          <w:sz w:val="32"/>
          <w:szCs w:val="32"/>
        </w:rPr>
        <w:t>是指由政府投入建设用地、房屋及附属设施，通过招标方式，择优引入运营单位（</w:t>
      </w:r>
      <w:r>
        <w:rPr>
          <w:rFonts w:hint="eastAsia" w:eastAsia="仿宋_GB2312"/>
          <w:sz w:val="32"/>
          <w:szCs w:val="32"/>
          <w:lang w:val="en-US" w:eastAsia="zh-CN"/>
        </w:rPr>
        <w:t>社会</w:t>
      </w:r>
      <w:r>
        <w:rPr>
          <w:rFonts w:eastAsia="仿宋_GB2312"/>
          <w:sz w:val="32"/>
          <w:szCs w:val="32"/>
        </w:rPr>
        <w:t>资本）进行</w:t>
      </w:r>
      <w:r>
        <w:rPr>
          <w:rFonts w:hint="eastAsia" w:eastAsia="仿宋_GB2312"/>
          <w:sz w:val="32"/>
          <w:szCs w:val="32"/>
          <w:lang w:val="en-US" w:eastAsia="zh-CN"/>
        </w:rPr>
        <w:t>社会化运营</w:t>
      </w:r>
      <w:r>
        <w:rPr>
          <w:rFonts w:eastAsia="仿宋_GB2312"/>
          <w:sz w:val="32"/>
          <w:szCs w:val="32"/>
        </w:rPr>
        <w:t>，为老年人提供集中居住和照料服务。实施</w:t>
      </w:r>
      <w:r>
        <w:rPr>
          <w:rFonts w:hint="eastAsia" w:eastAsia="仿宋_GB2312"/>
          <w:sz w:val="32"/>
          <w:szCs w:val="32"/>
          <w:lang w:eastAsia="zh-CN"/>
        </w:rPr>
        <w:t>公办民营</w:t>
      </w:r>
      <w:r>
        <w:rPr>
          <w:rFonts w:eastAsia="仿宋_GB2312"/>
          <w:sz w:val="32"/>
          <w:szCs w:val="32"/>
        </w:rPr>
        <w:t>后，国有资产性质不变，所有权和使用权分离。</w:t>
      </w:r>
      <w:r>
        <w:rPr>
          <w:rFonts w:hint="eastAsia" w:eastAsia="仿宋_GB2312"/>
          <w:sz w:val="32"/>
          <w:szCs w:val="32"/>
          <w:lang w:val="en-US" w:eastAsia="zh-CN"/>
        </w:rPr>
        <w:t>平罗县公办敬老院</w:t>
      </w:r>
      <w:r>
        <w:rPr>
          <w:rFonts w:eastAsia="仿宋_GB2312"/>
          <w:sz w:val="32"/>
          <w:szCs w:val="32"/>
        </w:rPr>
        <w:t>所有权人为</w:t>
      </w:r>
      <w:r>
        <w:rPr>
          <w:rFonts w:hint="eastAsia" w:eastAsia="仿宋_GB2312"/>
          <w:sz w:val="32"/>
          <w:szCs w:val="32"/>
          <w:lang w:val="en-US" w:eastAsia="zh-CN"/>
        </w:rPr>
        <w:t>平罗县</w:t>
      </w:r>
      <w:r>
        <w:rPr>
          <w:rFonts w:eastAsia="仿宋_GB2312"/>
          <w:sz w:val="32"/>
          <w:szCs w:val="32"/>
        </w:rPr>
        <w:t>民政局，作为委托方（甲方）</w:t>
      </w:r>
      <w:r>
        <w:rPr>
          <w:rFonts w:hint="eastAsia" w:eastAsia="仿宋_GB2312"/>
          <w:sz w:val="32"/>
          <w:szCs w:val="32"/>
          <w:lang w:val="en-US" w:eastAsia="zh-CN"/>
        </w:rPr>
        <w:t>分别</w:t>
      </w:r>
      <w:r>
        <w:rPr>
          <w:rFonts w:eastAsia="仿宋_GB2312"/>
          <w:sz w:val="32"/>
          <w:szCs w:val="32"/>
        </w:rPr>
        <w:t>与中标运营方（乙方）签订《</w:t>
      </w:r>
      <w:r>
        <w:rPr>
          <w:rFonts w:hint="eastAsia" w:eastAsia="仿宋_GB2312"/>
          <w:sz w:val="32"/>
          <w:szCs w:val="32"/>
          <w:lang w:eastAsia="zh-CN"/>
        </w:rPr>
        <w:t>公办民营</w:t>
      </w:r>
      <w:r>
        <w:rPr>
          <w:rFonts w:hint="eastAsia" w:eastAsia="仿宋_GB2312"/>
          <w:sz w:val="32"/>
          <w:szCs w:val="32"/>
          <w:lang w:val="en-US" w:eastAsia="zh-CN"/>
        </w:rPr>
        <w:t>合作协议</w:t>
      </w:r>
      <w:r>
        <w:rPr>
          <w:rFonts w:eastAsia="仿宋_GB2312"/>
          <w:sz w:val="32"/>
          <w:szCs w:val="32"/>
        </w:rPr>
        <w:t>》。</w:t>
      </w:r>
      <w:r>
        <w:rPr>
          <w:rFonts w:hint="eastAsia" w:eastAsia="仿宋_GB2312"/>
          <w:sz w:val="32"/>
          <w:szCs w:val="32"/>
          <w:lang w:val="en-US" w:eastAsia="zh-CN"/>
        </w:rPr>
        <w:t>平罗县</w:t>
      </w:r>
      <w:r>
        <w:rPr>
          <w:rFonts w:eastAsia="仿宋_GB2312"/>
          <w:sz w:val="32"/>
          <w:szCs w:val="32"/>
        </w:rPr>
        <w:t>民政局同时作为该项目实施运营的监管责任主体，积极履行监管责任，确保项目正常运营。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w:t>
      </w:r>
      <w:r>
        <w:rPr>
          <w:rFonts w:hint="default" w:ascii="黑体" w:hAnsi="黑体" w:eastAsia="黑体" w:cs="黑体"/>
          <w:b w:val="0"/>
          <w:bCs w:val="0"/>
          <w:kern w:val="2"/>
          <w:sz w:val="32"/>
          <w:szCs w:val="32"/>
          <w:lang w:val="en-US" w:eastAsia="zh-CN" w:bidi="ar-SA"/>
        </w:rPr>
        <w:t>基本原则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（一）坚持公益属性</w:t>
      </w:r>
    </w:p>
    <w:p>
      <w:pPr>
        <w:keepNext w:val="0"/>
        <w:keepLines w:val="0"/>
        <w:pageBreakBefore w:val="0"/>
        <w:widowControl/>
        <w:kinsoku/>
        <w:wordWrap/>
        <w:overflowPunct/>
        <w:topLinePunct w:val="0"/>
        <w:autoSpaceDE/>
        <w:autoSpaceDN/>
        <w:bidi w:val="0"/>
        <w:adjustRightInd/>
        <w:snapToGrid/>
        <w:spacing w:beforeLines="0" w:line="560" w:lineRule="exact"/>
        <w:ind w:left="0" w:leftChars="0" w:right="0" w:rightChars="0" w:firstLine="640" w:firstLineChars="200"/>
        <w:jc w:val="left"/>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hint="default" w:eastAsia="仿宋_GB2312" w:asciiTheme="minorHAnsi" w:hAnsiTheme="minorHAnsi" w:cstheme="minorBidi"/>
          <w:b w:val="0"/>
          <w:bCs w:val="0"/>
          <w:kern w:val="2"/>
          <w:sz w:val="32"/>
          <w:szCs w:val="32"/>
          <w:lang w:val="en-US" w:eastAsia="zh-CN" w:bidi="ar-SA"/>
        </w:rPr>
        <w:t>公办养老机构作为政府举办的养老服务设施，必须坚持公益属性，</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运营方</w:t>
      </w:r>
      <w:r>
        <w:rPr>
          <w:rFonts w:hint="eastAsia" w:ascii="仿宋_GB2312" w:hAnsi="仿宋_GB2312" w:eastAsia="仿宋_GB2312" w:cs="仿宋_GB2312"/>
          <w:color w:val="000000" w:themeColor="text1"/>
          <w:kern w:val="0"/>
          <w:sz w:val="32"/>
          <w:szCs w:val="32"/>
          <w14:textFill>
            <w14:solidFill>
              <w14:schemeClr w14:val="tx1"/>
            </w14:solidFill>
          </w14:textFill>
        </w:rPr>
        <w:t>在保障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本县</w:t>
      </w:r>
      <w:r>
        <w:rPr>
          <w:rFonts w:hint="eastAsia" w:ascii="仿宋_GB2312" w:hAnsi="仿宋_GB2312" w:eastAsia="仿宋_GB2312" w:cs="仿宋_GB2312"/>
          <w:color w:val="000000" w:themeColor="text1"/>
          <w:kern w:val="0"/>
          <w:sz w:val="32"/>
          <w:szCs w:val="32"/>
          <w14:textFill>
            <w14:solidFill>
              <w14:schemeClr w14:val="tx1"/>
            </w14:solidFill>
          </w14:textFill>
        </w:rPr>
        <w:t>特困供养人员养老服务需求的基础上，可将空余床位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面向社会</w:t>
      </w:r>
      <w:r>
        <w:rPr>
          <w:rFonts w:hint="eastAsia" w:ascii="仿宋_GB2312" w:hAnsi="仿宋_GB2312" w:eastAsia="仿宋_GB2312" w:cs="仿宋_GB2312"/>
          <w:color w:val="000000" w:themeColor="text1"/>
          <w:kern w:val="0"/>
          <w:sz w:val="32"/>
          <w:szCs w:val="32"/>
          <w14:textFill>
            <w14:solidFill>
              <w14:schemeClr w14:val="tx1"/>
            </w14:solidFill>
          </w14:textFill>
        </w:rPr>
        <w:t>老年人开放。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开放床位</w:t>
      </w:r>
      <w:r>
        <w:rPr>
          <w:rFonts w:hint="default" w:eastAsia="仿宋_GB2312" w:asciiTheme="minorHAnsi" w:hAnsiTheme="minorHAnsi" w:cstheme="minorBidi"/>
          <w:b w:val="0"/>
          <w:bCs w:val="0"/>
          <w:kern w:val="2"/>
          <w:sz w:val="32"/>
          <w:szCs w:val="32"/>
          <w:lang w:val="en-US" w:eastAsia="zh-CN" w:bidi="ar-SA"/>
        </w:rPr>
        <w:t>优先</w:t>
      </w:r>
      <w:r>
        <w:rPr>
          <w:rFonts w:hint="eastAsia" w:ascii="仿宋_GB2312" w:hAnsi="仿宋_GB2312" w:eastAsia="仿宋_GB2312" w:cs="仿宋_GB2312"/>
          <w:color w:val="000000" w:themeColor="text1"/>
          <w:kern w:val="0"/>
          <w:sz w:val="32"/>
          <w:szCs w:val="32"/>
          <w14:textFill>
            <w14:solidFill>
              <w14:schemeClr w14:val="tx1"/>
            </w14:solidFill>
          </w14:textFill>
        </w:rPr>
        <w:t>满足</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下列</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60岁及以上</w:t>
      </w:r>
      <w:r>
        <w:rPr>
          <w:rFonts w:hint="eastAsia" w:ascii="仿宋_GB2312" w:hAnsi="仿宋_GB2312" w:eastAsia="仿宋_GB2312" w:cs="仿宋_GB2312"/>
          <w:color w:val="000000" w:themeColor="text1"/>
          <w:kern w:val="0"/>
          <w:sz w:val="32"/>
          <w:szCs w:val="32"/>
          <w14:textFill>
            <w14:solidFill>
              <w14:schemeClr w14:val="tx1"/>
            </w14:solidFill>
          </w14:textFill>
        </w:rPr>
        <w:t>老年人基本养老服务需求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default" w:eastAsia="仿宋_GB2312" w:asciiTheme="minorHAnsi" w:hAnsiTheme="minorHAnsi" w:cstheme="minorBidi"/>
          <w:b w:val="0"/>
          <w:bCs w:val="0"/>
          <w:kern w:val="2"/>
          <w:sz w:val="32"/>
          <w:szCs w:val="32"/>
          <w:lang w:val="en-US" w:eastAsia="zh-CN" w:bidi="ar-SA"/>
        </w:rPr>
        <w:t>确保养老服务的公平性和可及性。</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Lines="0" w:line="560" w:lineRule="exact"/>
        <w:ind w:left="0" w:leftChars="0" w:right="0" w:rightChars="0"/>
        <w:jc w:val="left"/>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最低生活保障</w:t>
      </w:r>
      <w:r>
        <w:rPr>
          <w:rFonts w:hint="eastAsia" w:ascii="仿宋_GB2312" w:hAnsi="仿宋_GB2312" w:eastAsia="仿宋_GB2312" w:cs="仿宋_GB2312"/>
          <w:color w:val="000000" w:themeColor="text1"/>
          <w:kern w:val="0"/>
          <w:sz w:val="32"/>
          <w:szCs w:val="32"/>
          <w14:textFill>
            <w14:solidFill>
              <w14:schemeClr w14:val="tx1"/>
            </w14:solidFill>
          </w14:textFill>
        </w:rPr>
        <w:t>家庭及低收入家庭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中的</w:t>
      </w:r>
      <w:r>
        <w:rPr>
          <w:rFonts w:hint="eastAsia" w:ascii="仿宋_GB2312" w:hAnsi="仿宋_GB2312" w:eastAsia="仿宋_GB2312" w:cs="仿宋_GB2312"/>
          <w:color w:val="000000" w:themeColor="text1"/>
          <w:kern w:val="0"/>
          <w:sz w:val="32"/>
          <w:szCs w:val="32"/>
          <w14:textFill>
            <w14:solidFill>
              <w14:schemeClr w14:val="tx1"/>
            </w14:solidFill>
          </w14:textFill>
        </w:rPr>
        <w:t>失能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、高龄、独居</w:t>
      </w:r>
      <w:r>
        <w:rPr>
          <w:rFonts w:hint="eastAsia" w:ascii="仿宋_GB2312" w:hAnsi="仿宋_GB2312" w:eastAsia="仿宋_GB2312" w:cs="仿宋_GB2312"/>
          <w:color w:val="000000" w:themeColor="text1"/>
          <w:kern w:val="0"/>
          <w:sz w:val="32"/>
          <w:szCs w:val="32"/>
          <w14:textFill>
            <w14:solidFill>
              <w14:schemeClr w14:val="tx1"/>
            </w14:solidFill>
          </w14:textFill>
        </w:rPr>
        <w:t>老人；</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Lines="0" w:line="560" w:lineRule="exact"/>
        <w:ind w:left="0" w:leftChars="0" w:right="0" w:rightChars="0"/>
        <w:jc w:val="left"/>
        <w:textAlignment w:val="auto"/>
        <w:outlineLvl w:val="9"/>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优抚对象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eastAsia" w:eastAsia="仿宋_GB2312" w:asciiTheme="minorHAnsi" w:hAnsiTheme="minorHAnsi" w:cstheme="minorBidi"/>
          <w:b w:val="0"/>
          <w:bCs w:val="0"/>
          <w:kern w:val="2"/>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计划生育特殊家庭、劳动模范等有特殊困难</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或对国家和社会作出贡献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的老年人。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（二）确保国有资产安全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eastAsia="仿宋_GB2312" w:asciiTheme="minorHAnsi" w:hAnsiTheme="minorHAnsi" w:cstheme="minorBidi"/>
          <w:b w:val="0"/>
          <w:bCs w:val="0"/>
          <w:kern w:val="2"/>
          <w:sz w:val="32"/>
          <w:szCs w:val="32"/>
          <w:lang w:val="en-US" w:eastAsia="zh-CN" w:bidi="ar-SA"/>
        </w:rPr>
      </w:pPr>
      <w:r>
        <w:rPr>
          <w:rFonts w:hint="default" w:eastAsia="仿宋_GB2312" w:asciiTheme="minorHAnsi" w:hAnsiTheme="minorHAnsi" w:cstheme="minorBidi"/>
          <w:b w:val="0"/>
          <w:bCs w:val="0"/>
          <w:kern w:val="2"/>
          <w:sz w:val="32"/>
          <w:szCs w:val="32"/>
          <w:lang w:val="en-US" w:eastAsia="zh-CN" w:bidi="ar-SA"/>
        </w:rPr>
        <w:t>在改革过程中，严格遵守国有资产管理相关规定，确保国有资产产权明晰、保值增值，防止国有资产流失。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（三）保障服务质量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eastAsia="仿宋_GB2312" w:asciiTheme="minorHAnsi" w:hAnsiTheme="minorHAnsi" w:cstheme="minorBidi"/>
          <w:b w:val="0"/>
          <w:bCs w:val="0"/>
          <w:kern w:val="2"/>
          <w:sz w:val="32"/>
          <w:szCs w:val="32"/>
          <w:lang w:val="en-US" w:eastAsia="zh-CN" w:bidi="ar-SA"/>
        </w:rPr>
      </w:pPr>
      <w:r>
        <w:rPr>
          <w:rFonts w:hint="default" w:eastAsia="仿宋_GB2312" w:asciiTheme="minorHAnsi" w:hAnsiTheme="minorHAnsi" w:cstheme="minorBidi"/>
          <w:b w:val="0"/>
          <w:bCs w:val="0"/>
          <w:kern w:val="2"/>
          <w:sz w:val="32"/>
          <w:szCs w:val="32"/>
          <w:lang w:val="en-US" w:eastAsia="zh-CN" w:bidi="ar-SA"/>
        </w:rPr>
        <w:t>引入的专业运营机构应具备专业养老服务能力和资质，能够提供优质、安全、规范的养老服务，保障老年人的合法权益，提升老年人的生活质量和幸福感。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（四）促进可持续发展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eastAsia" w:eastAsia="仿宋_GB2312" w:asciiTheme="minorHAnsi" w:hAnsiTheme="minorHAnsi" w:cstheme="minorBidi"/>
          <w:b w:val="0"/>
          <w:bCs w:val="0"/>
          <w:kern w:val="2"/>
          <w:sz w:val="32"/>
          <w:szCs w:val="32"/>
          <w:lang w:val="en-US" w:eastAsia="zh-CN" w:bidi="ar-SA"/>
        </w:rPr>
      </w:pPr>
      <w:r>
        <w:rPr>
          <w:rFonts w:hint="default" w:eastAsia="仿宋_GB2312" w:asciiTheme="minorHAnsi" w:hAnsiTheme="minorHAnsi" w:cstheme="minorBidi"/>
          <w:b w:val="0"/>
          <w:bCs w:val="0"/>
          <w:kern w:val="2"/>
          <w:sz w:val="32"/>
          <w:szCs w:val="32"/>
          <w:lang w:val="en-US" w:eastAsia="zh-CN" w:bidi="ar-SA"/>
        </w:rPr>
        <w:t>通过改革激发公办养老机构的运营活力和发展动力，实现公办养老机构可持续发展，推动养老服务模式创新和服务质量提升，为全县养老服务体系建设提供有力支撑。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rPr>
        <w:t>、实施范围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eastAsia="仿宋_GB2312"/>
          <w:sz w:val="32"/>
          <w:szCs w:val="32"/>
          <w:lang w:val="en-US" w:eastAsia="zh-CN"/>
        </w:rPr>
        <w:t>按照</w:t>
      </w:r>
      <w:r>
        <w:rPr>
          <w:rFonts w:hint="eastAsia" w:ascii="仿宋" w:hAnsi="仿宋" w:eastAsia="仿宋" w:cs="仿宋"/>
          <w:color w:val="000000" w:themeColor="text1"/>
          <w:sz w:val="32"/>
          <w:szCs w:val="32"/>
          <w14:textFill>
            <w14:solidFill>
              <w14:schemeClr w14:val="tx1"/>
            </w14:solidFill>
          </w14:textFill>
        </w:rPr>
        <w:t>兜底保障型、普惠支持型、完全市场型分类推进养老机构改革。中心敬老院承担兜底保障功能，</w:t>
      </w:r>
      <w:r>
        <w:rPr>
          <w:rFonts w:hint="eastAsia" w:ascii="仿宋" w:hAnsi="仿宋" w:eastAsia="仿宋" w:cs="仿宋"/>
          <w:color w:val="000000" w:themeColor="text1"/>
          <w:sz w:val="32"/>
          <w:szCs w:val="32"/>
          <w:lang w:val="en-US" w:eastAsia="zh-CN"/>
          <w14:textFill>
            <w14:solidFill>
              <w14:schemeClr w14:val="tx1"/>
            </w14:solidFill>
          </w14:textFill>
        </w:rPr>
        <w:t>实行公办公营；中心敬老院养护楼部分功能可由第三方运营；将</w:t>
      </w:r>
      <w:r>
        <w:rPr>
          <w:rFonts w:hint="eastAsia" w:ascii="仿宋" w:hAnsi="仿宋" w:eastAsia="仿宋" w:cs="仿宋"/>
          <w:color w:val="000000" w:themeColor="text1"/>
          <w:sz w:val="32"/>
          <w:szCs w:val="32"/>
          <w14:textFill>
            <w14:solidFill>
              <w14:schemeClr w14:val="tx1"/>
            </w14:solidFill>
          </w14:textFill>
        </w:rPr>
        <w:t>第二和第三敬老院</w:t>
      </w:r>
      <w:r>
        <w:rPr>
          <w:rFonts w:hint="eastAsia" w:ascii="仿宋" w:hAnsi="仿宋" w:eastAsia="仿宋" w:cs="仿宋"/>
          <w:color w:val="000000" w:themeColor="text1"/>
          <w:sz w:val="32"/>
          <w:szCs w:val="32"/>
          <w:lang w:val="en-US" w:eastAsia="zh-CN"/>
          <w14:textFill>
            <w14:solidFill>
              <w14:schemeClr w14:val="tx1"/>
            </w14:solidFill>
          </w14:textFill>
        </w:rPr>
        <w:t>打造</w:t>
      </w:r>
      <w:r>
        <w:rPr>
          <w:rFonts w:hint="eastAsia" w:ascii="仿宋" w:hAnsi="仿宋" w:eastAsia="仿宋" w:cs="仿宋"/>
          <w:color w:val="000000" w:themeColor="text1"/>
          <w:sz w:val="32"/>
          <w:szCs w:val="32"/>
          <w14:textFill>
            <w14:solidFill>
              <w14:schemeClr w14:val="tx1"/>
            </w14:solidFill>
          </w14:textFill>
        </w:rPr>
        <w:t>成普惠支持型养老机构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eastAsia="仿宋_GB2312"/>
          <w:sz w:val="32"/>
          <w:szCs w:val="32"/>
          <w:lang w:val="en-US" w:eastAsia="zh-CN"/>
        </w:rPr>
        <w:t>纳入公办民营改革实施范围</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运营主体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根据《宁夏回族自治区养老机构</w:t>
      </w:r>
      <w:r>
        <w:rPr>
          <w:rFonts w:hint="eastAsia" w:eastAsia="仿宋_GB2312"/>
          <w:sz w:val="32"/>
          <w:szCs w:val="32"/>
          <w:lang w:eastAsia="zh-CN"/>
        </w:rPr>
        <w:t>公</w:t>
      </w:r>
      <w:r>
        <w:rPr>
          <w:rFonts w:hint="eastAsia" w:eastAsia="仿宋_GB2312"/>
          <w:sz w:val="32"/>
          <w:szCs w:val="32"/>
          <w:lang w:val="en-US" w:eastAsia="zh-CN"/>
        </w:rPr>
        <w:t>建</w:t>
      </w:r>
      <w:r>
        <w:rPr>
          <w:rFonts w:hint="eastAsia" w:eastAsia="仿宋_GB2312"/>
          <w:sz w:val="32"/>
          <w:szCs w:val="32"/>
          <w:lang w:eastAsia="zh-CN"/>
        </w:rPr>
        <w:t>民营</w:t>
      </w:r>
      <w:r>
        <w:rPr>
          <w:rFonts w:eastAsia="仿宋_GB2312"/>
          <w:sz w:val="32"/>
          <w:szCs w:val="32"/>
        </w:rPr>
        <w:t>实施办法（试行）》精神，申请</w:t>
      </w:r>
      <w:r>
        <w:rPr>
          <w:rFonts w:hint="eastAsia" w:eastAsia="仿宋_GB2312"/>
          <w:sz w:val="32"/>
          <w:szCs w:val="32"/>
          <w:lang w:eastAsia="zh-CN"/>
        </w:rPr>
        <w:t>平罗县</w:t>
      </w:r>
      <w:r>
        <w:rPr>
          <w:rFonts w:hint="eastAsia" w:eastAsia="仿宋_GB2312"/>
          <w:sz w:val="32"/>
          <w:szCs w:val="32"/>
          <w:lang w:val="en-US" w:eastAsia="zh-CN"/>
        </w:rPr>
        <w:t>公办敬老院</w:t>
      </w:r>
      <w:r>
        <w:rPr>
          <w:rFonts w:hint="eastAsia" w:eastAsia="仿宋_GB2312"/>
          <w:sz w:val="32"/>
          <w:szCs w:val="32"/>
          <w:lang w:eastAsia="zh-CN"/>
        </w:rPr>
        <w:t>公办民营</w:t>
      </w:r>
      <w:r>
        <w:rPr>
          <w:rFonts w:eastAsia="仿宋_GB2312"/>
          <w:sz w:val="32"/>
          <w:szCs w:val="32"/>
        </w:rPr>
        <w:t>的企业、社会组织必须具备以下条件：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（一）具备独立法人资格；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（二）具有专业的</w:t>
      </w:r>
      <w:r>
        <w:rPr>
          <w:rFonts w:hint="eastAsia" w:eastAsia="仿宋_GB2312"/>
          <w:sz w:val="32"/>
          <w:szCs w:val="32"/>
          <w:lang w:val="en-US" w:eastAsia="zh-CN"/>
        </w:rPr>
        <w:t>健康养老或医疗</w:t>
      </w:r>
      <w:r>
        <w:rPr>
          <w:rFonts w:eastAsia="仿宋_GB2312"/>
          <w:sz w:val="32"/>
          <w:szCs w:val="32"/>
        </w:rPr>
        <w:t>服务团队；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u w:val="none"/>
        </w:rPr>
      </w:pPr>
      <w:r>
        <w:rPr>
          <w:rFonts w:eastAsia="仿宋_GB2312"/>
          <w:sz w:val="32"/>
          <w:szCs w:val="32"/>
          <w:u w:val="none"/>
        </w:rPr>
        <w:t>（三）具有与其服务内容和规模相适应的经济实力；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（四）最近3年在经营活动中无违法违规和失信记录；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（五）符合《中华人民共和国政府采购法》及《政府购买服务管理办法（暂行）》规定的供应商、承接主体应当具备的条件。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、运营</w:t>
      </w:r>
      <w:r>
        <w:rPr>
          <w:rFonts w:hint="eastAsia" w:ascii="黑体" w:hAnsi="黑体" w:eastAsia="黑体" w:cs="黑体"/>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（一）</w:t>
      </w:r>
      <w:r>
        <w:rPr>
          <w:rFonts w:hint="eastAsia" w:ascii="楷体" w:hAnsi="楷体" w:eastAsia="楷体" w:cs="楷体"/>
          <w:b w:val="0"/>
          <w:bCs w:val="0"/>
          <w:kern w:val="2"/>
          <w:sz w:val="32"/>
          <w:szCs w:val="32"/>
          <w:lang w:val="en-US" w:eastAsia="zh-CN" w:bidi="ar-SA"/>
        </w:rPr>
        <w:t>主体责任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运营方拥有独立的法人、财务、人事权，以自己名义对外自主经营，自负盈亏，</w:t>
      </w:r>
      <w:r>
        <w:rPr>
          <w:rFonts w:hint="eastAsia" w:eastAsia="仿宋_GB2312"/>
          <w:sz w:val="32"/>
          <w:szCs w:val="32"/>
          <w:lang w:val="en-US" w:eastAsia="zh-CN"/>
        </w:rPr>
        <w:t>独立</w:t>
      </w:r>
      <w:r>
        <w:rPr>
          <w:rFonts w:eastAsia="仿宋_GB2312"/>
          <w:sz w:val="32"/>
          <w:szCs w:val="32"/>
        </w:rPr>
        <w:t>承担运营过程中的债权债务</w:t>
      </w:r>
      <w:r>
        <w:rPr>
          <w:rFonts w:hint="eastAsia" w:eastAsia="仿宋_GB2312"/>
          <w:sz w:val="32"/>
          <w:szCs w:val="32"/>
          <w:lang w:eastAsia="zh-CN"/>
        </w:rPr>
        <w:t>、</w:t>
      </w:r>
      <w:r>
        <w:rPr>
          <w:rFonts w:hint="eastAsia" w:ascii="仿宋_GB2312" w:hAnsi="仿宋_GB2312" w:eastAsia="仿宋_GB2312" w:cs="仿宋_GB2312"/>
          <w:color w:val="000000" w:themeColor="text1"/>
          <w:kern w:val="0"/>
          <w:sz w:val="32"/>
          <w:szCs w:val="32"/>
          <w14:textFill>
            <w14:solidFill>
              <w14:schemeClr w14:val="tx1"/>
            </w14:solidFill>
          </w14:textFill>
        </w:rPr>
        <w:t>经济、安全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法律责任</w:t>
      </w:r>
      <w:r>
        <w:rPr>
          <w:rFonts w:eastAsia="仿宋_GB2312"/>
          <w:sz w:val="32"/>
          <w:szCs w:val="32"/>
        </w:rPr>
        <w:t>，且不得以产权方名义运营。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w:t>
      </w:r>
      <w:r>
        <w:rPr>
          <w:rFonts w:hint="default" w:ascii="楷体" w:hAnsi="楷体" w:eastAsia="楷体" w:cs="楷体"/>
          <w:b w:val="0"/>
          <w:bCs w:val="0"/>
          <w:kern w:val="2"/>
          <w:sz w:val="32"/>
          <w:szCs w:val="32"/>
          <w:lang w:val="en-US" w:eastAsia="zh-CN" w:bidi="ar-SA"/>
        </w:rPr>
        <w:t>运营模式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default" w:eastAsia="仿宋_GB2312"/>
          <w:sz w:val="32"/>
          <w:szCs w:val="32"/>
          <w:lang w:val="en-US" w:eastAsia="zh-CN"/>
        </w:rPr>
        <w:t>委托运营</w:t>
      </w:r>
      <w:r>
        <w:rPr>
          <w:rFonts w:hint="eastAsia" w:eastAsia="仿宋_GB2312"/>
          <w:sz w:val="32"/>
          <w:szCs w:val="32"/>
          <w:lang w:val="en-US" w:eastAsia="zh-CN"/>
        </w:rPr>
        <w:t>。</w:t>
      </w:r>
      <w:r>
        <w:rPr>
          <w:rFonts w:hint="default" w:eastAsia="仿宋_GB2312"/>
          <w:sz w:val="32"/>
          <w:szCs w:val="32"/>
          <w:lang w:val="en-US" w:eastAsia="zh-CN"/>
        </w:rPr>
        <w:t>中标运营机构按照合同约定，负责公办养老机构的日常运营管理，包括人员管理、财务管理、服务提供、安全管理等，确保养老机构正常运转和服务质量。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w:t>
      </w:r>
      <w:r>
        <w:rPr>
          <w:rFonts w:hint="eastAsia" w:ascii="楷体" w:hAnsi="楷体" w:eastAsia="楷体" w:cs="楷体"/>
          <w:b w:val="0"/>
          <w:bCs w:val="0"/>
          <w:kern w:val="2"/>
          <w:sz w:val="32"/>
          <w:szCs w:val="32"/>
          <w:lang w:val="en-US" w:eastAsia="zh-CN" w:bidi="ar-SA"/>
        </w:rPr>
        <w:t>三</w:t>
      </w:r>
      <w:r>
        <w:rPr>
          <w:rFonts w:hint="default" w:ascii="楷体" w:hAnsi="楷体" w:eastAsia="楷体" w:cs="楷体"/>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eastAsia" w:eastAsia="仿宋_GB2312"/>
          <w:sz w:val="32"/>
          <w:szCs w:val="32"/>
          <w:lang w:val="en-US" w:eastAsia="zh-CN"/>
        </w:rPr>
        <w:t>1.</w:t>
      </w:r>
      <w:r>
        <w:rPr>
          <w:rFonts w:hint="default" w:eastAsia="仿宋_GB2312"/>
          <w:sz w:val="32"/>
          <w:szCs w:val="32"/>
          <w:lang w:val="en-US" w:eastAsia="zh-CN"/>
        </w:rPr>
        <w:t>生活照料服务</w:t>
      </w:r>
      <w:r>
        <w:rPr>
          <w:rFonts w:hint="eastAsia" w:eastAsia="仿宋_GB2312"/>
          <w:sz w:val="32"/>
          <w:szCs w:val="32"/>
          <w:lang w:val="en-US" w:eastAsia="zh-CN"/>
        </w:rPr>
        <w:t>。</w:t>
      </w:r>
      <w:r>
        <w:rPr>
          <w:rFonts w:hint="default" w:eastAsia="仿宋_GB2312"/>
          <w:sz w:val="32"/>
          <w:szCs w:val="32"/>
          <w:lang w:val="en-US" w:eastAsia="zh-CN"/>
        </w:rPr>
        <w:t>为入住老年人提供饮食、起居、清洁卫生、代购代买等基本生活照料服务，确保老年人的生活需求得到满足。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eastAsia" w:eastAsia="仿宋_GB2312"/>
          <w:sz w:val="32"/>
          <w:szCs w:val="32"/>
          <w:lang w:val="en-US" w:eastAsia="zh-CN"/>
        </w:rPr>
        <w:t>2.</w:t>
      </w:r>
      <w:r>
        <w:rPr>
          <w:rFonts w:hint="default" w:eastAsia="仿宋_GB2312"/>
          <w:sz w:val="32"/>
          <w:szCs w:val="32"/>
          <w:lang w:val="en-US" w:eastAsia="zh-CN"/>
        </w:rPr>
        <w:t>医疗护理服务</w:t>
      </w:r>
      <w:r>
        <w:rPr>
          <w:rFonts w:hint="eastAsia" w:eastAsia="仿宋_GB2312"/>
          <w:sz w:val="32"/>
          <w:szCs w:val="32"/>
          <w:lang w:val="en-US" w:eastAsia="zh-CN"/>
        </w:rPr>
        <w:t>。</w:t>
      </w:r>
      <w:r>
        <w:rPr>
          <w:rFonts w:hint="default" w:eastAsia="仿宋_GB2312"/>
          <w:sz w:val="32"/>
          <w:szCs w:val="32"/>
          <w:lang w:val="en-US" w:eastAsia="zh-CN"/>
        </w:rPr>
        <w:t>配合当地医疗机构，为老年人提供基本医疗服务和康复护理服务，建立老年人健康档案，定期开展健康体检和健康讲座，提高老年人的健康水平。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eastAsia" w:eastAsia="仿宋_GB2312"/>
          <w:sz w:val="32"/>
          <w:szCs w:val="32"/>
          <w:lang w:val="en-US" w:eastAsia="zh-CN"/>
        </w:rPr>
        <w:t>3.</w:t>
      </w:r>
      <w:r>
        <w:rPr>
          <w:rFonts w:hint="default" w:eastAsia="仿宋_GB2312"/>
          <w:sz w:val="32"/>
          <w:szCs w:val="32"/>
          <w:lang w:val="en-US" w:eastAsia="zh-CN"/>
        </w:rPr>
        <w:t>精神慰藉服务</w:t>
      </w:r>
      <w:r>
        <w:rPr>
          <w:rFonts w:hint="eastAsia" w:eastAsia="仿宋_GB2312"/>
          <w:sz w:val="32"/>
          <w:szCs w:val="32"/>
          <w:lang w:val="en-US" w:eastAsia="zh-CN"/>
        </w:rPr>
        <w:t>。</w:t>
      </w:r>
      <w:r>
        <w:rPr>
          <w:rFonts w:hint="default" w:eastAsia="仿宋_GB2312"/>
          <w:sz w:val="32"/>
          <w:szCs w:val="32"/>
          <w:lang w:val="en-US" w:eastAsia="zh-CN"/>
        </w:rPr>
        <w:t>组织开展文化娱乐活动，如文艺演出、书画展览、棋牌比赛等，丰富老年人的精神文化生活，缓解老年人的孤独感和寂寞感。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eastAsia" w:eastAsia="仿宋_GB2312"/>
          <w:sz w:val="32"/>
          <w:szCs w:val="32"/>
          <w:lang w:val="en-US" w:eastAsia="zh-CN"/>
        </w:rPr>
        <w:t>4.</w:t>
      </w:r>
      <w:r>
        <w:rPr>
          <w:rFonts w:hint="default" w:eastAsia="仿宋_GB2312"/>
          <w:sz w:val="32"/>
          <w:szCs w:val="32"/>
          <w:lang w:val="en-US" w:eastAsia="zh-CN"/>
        </w:rPr>
        <w:t>社会参与服务</w:t>
      </w:r>
      <w:r>
        <w:rPr>
          <w:rFonts w:hint="eastAsia" w:eastAsia="仿宋_GB2312"/>
          <w:sz w:val="32"/>
          <w:szCs w:val="32"/>
          <w:lang w:val="en-US" w:eastAsia="zh-CN"/>
        </w:rPr>
        <w:t>。</w:t>
      </w:r>
      <w:r>
        <w:rPr>
          <w:rFonts w:hint="default" w:eastAsia="仿宋_GB2312"/>
          <w:sz w:val="32"/>
          <w:szCs w:val="32"/>
          <w:lang w:val="en-US" w:eastAsia="zh-CN"/>
        </w:rPr>
        <w:t>鼓励老年人参与社会公益活动，发挥余热，增强老年人的社会归属感和自信心。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val="0"/>
          <w:bCs w:val="0"/>
          <w:kern w:val="2"/>
          <w:sz w:val="32"/>
          <w:szCs w:val="32"/>
          <w:lang w:val="en-US" w:eastAsia="zh-CN" w:bidi="ar-SA"/>
        </w:rPr>
      </w:pPr>
      <w:r>
        <w:rPr>
          <w:rFonts w:hint="default" w:ascii="楷体" w:hAnsi="楷体" w:eastAsia="楷体" w:cs="楷体"/>
          <w:b w:val="0"/>
          <w:bCs w:val="0"/>
          <w:kern w:val="2"/>
          <w:sz w:val="32"/>
          <w:szCs w:val="32"/>
          <w:lang w:val="en-US" w:eastAsia="zh-CN" w:bidi="ar-SA"/>
        </w:rPr>
        <w:t>（</w:t>
      </w:r>
      <w:r>
        <w:rPr>
          <w:rFonts w:hint="eastAsia" w:ascii="楷体" w:hAnsi="楷体" w:eastAsia="楷体" w:cs="楷体"/>
          <w:b w:val="0"/>
          <w:bCs w:val="0"/>
          <w:kern w:val="2"/>
          <w:sz w:val="32"/>
          <w:szCs w:val="32"/>
          <w:lang w:val="en-US" w:eastAsia="zh-CN" w:bidi="ar-SA"/>
        </w:rPr>
        <w:t>四</w:t>
      </w:r>
      <w:r>
        <w:rPr>
          <w:rFonts w:hint="default" w:ascii="楷体" w:hAnsi="楷体" w:eastAsia="楷体" w:cs="楷体"/>
          <w:b w:val="0"/>
          <w:bCs w:val="0"/>
          <w:kern w:val="2"/>
          <w:sz w:val="32"/>
          <w:szCs w:val="32"/>
          <w:lang w:val="en-US" w:eastAsia="zh-CN" w:bidi="ar-SA"/>
        </w:rPr>
        <w:t>）收费标准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1.</w:t>
      </w:r>
      <w:r>
        <w:rPr>
          <w:rFonts w:hint="default" w:eastAsia="仿宋_GB2312"/>
          <w:sz w:val="32"/>
          <w:szCs w:val="32"/>
          <w:lang w:val="en-US" w:eastAsia="zh-CN"/>
        </w:rPr>
        <w:t>特困人员供养费用</w:t>
      </w:r>
      <w:r>
        <w:rPr>
          <w:rFonts w:hint="eastAsia" w:eastAsia="仿宋_GB2312"/>
          <w:sz w:val="32"/>
          <w:szCs w:val="32"/>
          <w:lang w:eastAsia="zh-CN"/>
        </w:rPr>
        <w:t>。</w:t>
      </w:r>
      <w:r>
        <w:rPr>
          <w:rFonts w:hint="default" w:eastAsia="仿宋_GB2312"/>
          <w:sz w:val="32"/>
          <w:szCs w:val="32"/>
          <w:lang w:val="en-US" w:eastAsia="zh-CN"/>
        </w:rPr>
        <w:t>由政府按照相关政策标准拨付，</w:t>
      </w:r>
      <w:r>
        <w:rPr>
          <w:rFonts w:eastAsia="仿宋_GB2312"/>
          <w:sz w:val="32"/>
          <w:szCs w:val="32"/>
        </w:rPr>
        <w:t>运营方</w:t>
      </w:r>
      <w:r>
        <w:rPr>
          <w:rFonts w:hint="default" w:eastAsia="仿宋_GB2312"/>
          <w:sz w:val="32"/>
          <w:szCs w:val="32"/>
          <w:lang w:val="en-US" w:eastAsia="zh-CN"/>
        </w:rPr>
        <w:t>不得向特困人员收取任何费用。</w:t>
      </w:r>
      <w:r>
        <w:rPr>
          <w:rFonts w:hint="eastAsia" w:eastAsia="仿宋_GB2312"/>
          <w:sz w:val="32"/>
          <w:szCs w:val="32"/>
          <w:lang w:val="en-US" w:eastAsia="zh-CN"/>
        </w:rPr>
        <w:t>为保障公办民营养老机构的公益属性，</w:t>
      </w:r>
      <w:r>
        <w:rPr>
          <w:rFonts w:hint="default" w:eastAsia="仿宋_GB2312"/>
          <w:sz w:val="32"/>
          <w:szCs w:val="32"/>
          <w:lang w:val="en-US" w:eastAsia="zh-CN"/>
        </w:rPr>
        <w:t>中标运营机构</w:t>
      </w:r>
      <w:r>
        <w:rPr>
          <w:rFonts w:eastAsia="仿宋_GB2312"/>
          <w:sz w:val="32"/>
          <w:szCs w:val="32"/>
        </w:rPr>
        <w:t>必须按比例要求有不低于</w:t>
      </w:r>
      <w:r>
        <w:rPr>
          <w:rFonts w:hint="eastAsia" w:eastAsia="仿宋_GB2312"/>
          <w:sz w:val="32"/>
          <w:szCs w:val="32"/>
          <w:lang w:val="en-US" w:eastAsia="zh-CN"/>
        </w:rPr>
        <w:t>30</w:t>
      </w:r>
      <w:r>
        <w:rPr>
          <w:rFonts w:eastAsia="仿宋_GB2312"/>
          <w:sz w:val="32"/>
          <w:szCs w:val="32"/>
        </w:rPr>
        <w:t>%的床位优先满足</w:t>
      </w:r>
      <w:r>
        <w:rPr>
          <w:rFonts w:hint="eastAsia" w:eastAsia="仿宋_GB2312"/>
          <w:sz w:val="32"/>
          <w:szCs w:val="32"/>
          <w:lang w:eastAsia="zh-CN"/>
        </w:rPr>
        <w:t>平罗县</w:t>
      </w:r>
      <w:r>
        <w:rPr>
          <w:rFonts w:eastAsia="仿宋_GB2312"/>
          <w:sz w:val="32"/>
          <w:szCs w:val="32"/>
        </w:rPr>
        <w:t>辖区内特困供养对象入住需求，在此基础上可积极发展康养、旅居、医养结合等项目。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eastAsia" w:eastAsia="仿宋_GB2312"/>
          <w:sz w:val="32"/>
          <w:szCs w:val="32"/>
          <w:lang w:val="en-US" w:eastAsia="zh-CN"/>
        </w:rPr>
        <w:t>2.代养</w:t>
      </w:r>
      <w:r>
        <w:rPr>
          <w:rFonts w:hint="default" w:eastAsia="仿宋_GB2312"/>
          <w:sz w:val="32"/>
          <w:szCs w:val="32"/>
          <w:lang w:val="en-US" w:eastAsia="zh-CN"/>
        </w:rPr>
        <w:t>社会老人收费</w:t>
      </w:r>
      <w:r>
        <w:rPr>
          <w:rFonts w:hint="eastAsia" w:eastAsia="仿宋_GB2312"/>
          <w:sz w:val="32"/>
          <w:szCs w:val="32"/>
          <w:lang w:val="en-US" w:eastAsia="zh-CN"/>
        </w:rPr>
        <w:t>。根据自治区民政厅等二十三部门印发的《关于支持和规范社会力量发展养老产业的若干措施》的通知（宁民发〔</w:t>
      </w:r>
      <w:r>
        <w:rPr>
          <w:rFonts w:hint="default" w:eastAsia="仿宋_GB2312"/>
          <w:sz w:val="32"/>
          <w:szCs w:val="32"/>
          <w:lang w:val="en-US" w:eastAsia="zh-CN"/>
        </w:rPr>
        <w:t>2025</w:t>
      </w:r>
      <w:r>
        <w:rPr>
          <w:rFonts w:hint="eastAsia" w:eastAsia="仿宋_GB2312"/>
          <w:sz w:val="32"/>
          <w:szCs w:val="32"/>
          <w:lang w:val="en-US" w:eastAsia="zh-CN"/>
        </w:rPr>
        <w:t>〕</w:t>
      </w:r>
      <w:r>
        <w:rPr>
          <w:rFonts w:hint="default" w:eastAsia="仿宋_GB2312"/>
          <w:sz w:val="32"/>
          <w:szCs w:val="32"/>
          <w:lang w:val="en-US" w:eastAsia="zh-CN"/>
        </w:rPr>
        <w:t>15</w:t>
      </w:r>
      <w:r>
        <w:rPr>
          <w:rFonts w:hint="eastAsia" w:eastAsia="仿宋_GB2312"/>
          <w:sz w:val="32"/>
          <w:szCs w:val="32"/>
          <w:lang w:val="en-US" w:eastAsia="zh-CN"/>
        </w:rPr>
        <w:t>号）“公建民营养老机构运营方依据委托协议等合理确定收费标准”之规定，我县公办民营养老机构按照普惠型养老机构进行建设和管理，代养</w:t>
      </w:r>
      <w:r>
        <w:rPr>
          <w:rFonts w:hint="default" w:eastAsia="仿宋_GB2312"/>
          <w:sz w:val="32"/>
          <w:szCs w:val="32"/>
          <w:lang w:val="en-US" w:eastAsia="zh-CN"/>
        </w:rPr>
        <w:t>社会老人的收费标准由中标运营机构根据市场情况和运营成本</w:t>
      </w:r>
      <w:r>
        <w:rPr>
          <w:rFonts w:hint="eastAsia" w:eastAsia="仿宋_GB2312"/>
          <w:sz w:val="32"/>
          <w:szCs w:val="32"/>
          <w:lang w:val="en-US" w:eastAsia="zh-CN"/>
        </w:rPr>
        <w:t>商县民政局同意后执行</w:t>
      </w:r>
      <w:r>
        <w:rPr>
          <w:rFonts w:hint="default" w:eastAsia="仿宋_GB2312"/>
          <w:sz w:val="32"/>
          <w:szCs w:val="32"/>
          <w:lang w:val="en-US" w:eastAsia="zh-CN"/>
        </w:rPr>
        <w:t>。收费标准应合理、透明，不得高于市场价格，确保社会老年人能够承受。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)运营期限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rPr>
      </w:pPr>
      <w:r>
        <w:rPr>
          <w:rFonts w:hint="eastAsia" w:eastAsia="仿宋_GB2312"/>
          <w:sz w:val="32"/>
          <w:szCs w:val="32"/>
          <w:lang w:eastAsia="zh-CN"/>
        </w:rPr>
        <w:t>公办民营</w:t>
      </w:r>
      <w:r>
        <w:rPr>
          <w:rFonts w:hint="eastAsia" w:eastAsia="仿宋_GB2312"/>
          <w:sz w:val="32"/>
          <w:szCs w:val="32"/>
          <w:lang w:val="en-US" w:eastAsia="zh-CN"/>
        </w:rPr>
        <w:t>首次合同</w:t>
      </w:r>
      <w:r>
        <w:rPr>
          <w:rFonts w:eastAsia="仿宋_GB2312"/>
          <w:sz w:val="32"/>
          <w:szCs w:val="32"/>
        </w:rPr>
        <w:t>运营期限</w:t>
      </w:r>
      <w:r>
        <w:rPr>
          <w:rFonts w:hint="eastAsia" w:eastAsia="仿宋_GB2312"/>
          <w:sz w:val="32"/>
          <w:szCs w:val="32"/>
          <w:lang w:val="en-US" w:eastAsia="zh-CN"/>
        </w:rPr>
        <w:t>不超过10年（由双方在合同中明确）</w:t>
      </w:r>
      <w:r>
        <w:rPr>
          <w:rFonts w:eastAsia="仿宋_GB2312"/>
          <w:sz w:val="32"/>
          <w:szCs w:val="32"/>
        </w:rPr>
        <w:t>。合同期内正常履约，运营良好，社会反映好，未发生应解除合同的情况，且有意向继续运营的运营方，应在合同期满提前</w:t>
      </w:r>
      <w:r>
        <w:rPr>
          <w:rFonts w:hint="eastAsia" w:eastAsia="仿宋_GB2312"/>
          <w:sz w:val="32"/>
          <w:szCs w:val="32"/>
          <w:lang w:val="en-US" w:eastAsia="zh-CN"/>
        </w:rPr>
        <w:t>6</w:t>
      </w:r>
      <w:r>
        <w:rPr>
          <w:rFonts w:eastAsia="仿宋_GB2312"/>
          <w:sz w:val="32"/>
          <w:szCs w:val="32"/>
        </w:rPr>
        <w:t>个月，以书面形式提出继续运营的申请，在满足招标条件的同等条件下，同时满足运营方在每年民政部门委托</w:t>
      </w:r>
      <w:r>
        <w:rPr>
          <w:rFonts w:hint="eastAsia" w:eastAsia="仿宋_GB2312"/>
          <w:sz w:val="32"/>
          <w:szCs w:val="32"/>
          <w:lang w:val="en-US" w:eastAsia="zh-CN"/>
        </w:rPr>
        <w:t>的</w:t>
      </w:r>
      <w:r>
        <w:rPr>
          <w:rFonts w:eastAsia="仿宋_GB2312"/>
          <w:sz w:val="32"/>
          <w:szCs w:val="32"/>
        </w:rPr>
        <w:t>第三方评估总分70分以上，且服务对象满意度在70%以上等条件时，享有优先运营权。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rPr>
        <w:t>）费用</w:t>
      </w:r>
      <w:r>
        <w:rPr>
          <w:rFonts w:hint="eastAsia" w:ascii="楷体_GB2312" w:hAnsi="楷体_GB2312" w:eastAsia="楷体_GB2312" w:cs="楷体_GB2312"/>
          <w:b w:val="0"/>
          <w:bCs w:val="0"/>
          <w:sz w:val="32"/>
          <w:szCs w:val="32"/>
          <w:lang w:val="en-US" w:eastAsia="zh-CN"/>
        </w:rPr>
        <w:t>缴纳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lang w:val="en-US"/>
        </w:rPr>
      </w:pPr>
      <w:r>
        <w:rPr>
          <w:rFonts w:eastAsia="仿宋_GB2312"/>
          <w:sz w:val="32"/>
          <w:szCs w:val="32"/>
        </w:rPr>
        <w:t>1.</w:t>
      </w:r>
      <w:r>
        <w:rPr>
          <w:rFonts w:hint="eastAsia" w:eastAsia="仿宋_GB2312"/>
          <w:sz w:val="32"/>
          <w:szCs w:val="32"/>
          <w:lang w:val="en-US" w:eastAsia="zh-CN"/>
        </w:rPr>
        <w:t>履约保函。</w:t>
      </w:r>
      <w:r>
        <w:rPr>
          <w:rFonts w:eastAsia="仿宋_GB2312"/>
          <w:sz w:val="32"/>
          <w:szCs w:val="32"/>
        </w:rPr>
        <w:t>为保证合同的履行，</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增强养老机构抗风险能力，</w:t>
      </w:r>
      <w:r>
        <w:rPr>
          <w:rFonts w:hint="eastAsia" w:eastAsia="仿宋_GB2312"/>
          <w:sz w:val="32"/>
          <w:szCs w:val="32"/>
          <w:lang w:val="en-US" w:eastAsia="zh-CN"/>
        </w:rPr>
        <w:t>县</w:t>
      </w:r>
      <w:r>
        <w:rPr>
          <w:rFonts w:eastAsia="仿宋_GB2312"/>
          <w:sz w:val="32"/>
          <w:szCs w:val="32"/>
        </w:rPr>
        <w:t>民政局与</w:t>
      </w:r>
      <w:r>
        <w:rPr>
          <w:rFonts w:hint="eastAsia" w:eastAsia="仿宋_GB2312"/>
          <w:sz w:val="32"/>
          <w:szCs w:val="32"/>
          <w:lang w:val="en-US" w:eastAsia="zh-CN"/>
        </w:rPr>
        <w:t>中标</w:t>
      </w:r>
      <w:r>
        <w:rPr>
          <w:rFonts w:eastAsia="仿宋_GB2312"/>
          <w:sz w:val="32"/>
          <w:szCs w:val="32"/>
        </w:rPr>
        <w:t>运营方签订合同时向运营方收</w:t>
      </w:r>
      <w:r>
        <w:rPr>
          <w:rFonts w:eastAsia="仿宋_GB2312"/>
          <w:color w:val="000000" w:themeColor="text1"/>
          <w:sz w:val="32"/>
          <w:szCs w:val="32"/>
          <w14:textFill>
            <w14:solidFill>
              <w14:schemeClr w14:val="tx1"/>
            </w14:solidFill>
          </w14:textFill>
        </w:rPr>
        <w:t>取</w:t>
      </w:r>
      <w:r>
        <w:rPr>
          <w:rFonts w:hint="eastAsia" w:eastAsia="仿宋_GB2312"/>
          <w:color w:val="000000" w:themeColor="text1"/>
          <w:sz w:val="32"/>
          <w:szCs w:val="32"/>
          <w:lang w:val="en-US" w:eastAsia="zh-CN"/>
          <w14:textFill>
            <w14:solidFill>
              <w14:schemeClr w14:val="tx1"/>
            </w14:solidFill>
          </w14:textFill>
        </w:rPr>
        <w:t>固定资产投资额2%左右</w:t>
      </w:r>
      <w:r>
        <w:rPr>
          <w:rFonts w:eastAsia="仿宋_GB2312"/>
          <w:color w:val="000000" w:themeColor="text1"/>
          <w:sz w:val="32"/>
          <w:szCs w:val="32"/>
          <w14:textFill>
            <w14:solidFill>
              <w14:schemeClr w14:val="tx1"/>
            </w14:solidFill>
          </w14:textFill>
        </w:rPr>
        <w:t>的</w:t>
      </w:r>
      <w:r>
        <w:rPr>
          <w:rFonts w:hint="eastAsia" w:eastAsia="仿宋_GB2312"/>
          <w:color w:val="000000" w:themeColor="text1"/>
          <w:sz w:val="32"/>
          <w:szCs w:val="32"/>
          <w:lang w:val="en-US" w:eastAsia="zh-CN"/>
          <w14:textFill>
            <w14:solidFill>
              <w14:schemeClr w14:val="tx1"/>
            </w14:solidFill>
          </w14:textFill>
        </w:rPr>
        <w:t>履约保函（</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具体数额和期限由双方在合同中约定</w:t>
      </w:r>
      <w:r>
        <w:rPr>
          <w:rFonts w:hint="eastAsia" w:eastAsia="仿宋_GB2312"/>
          <w:color w:val="000000" w:themeColor="text1"/>
          <w:sz w:val="32"/>
          <w:szCs w:val="32"/>
          <w:lang w:val="en-US" w:eastAsia="zh-CN"/>
          <w14:textFill>
            <w14:solidFill>
              <w14:schemeClr w14:val="tx1"/>
            </w14:solidFill>
          </w14:textFill>
        </w:rPr>
        <w:t>）</w:t>
      </w:r>
      <w:r>
        <w:rPr>
          <w:rFonts w:eastAsia="仿宋_GB2312"/>
          <w:sz w:val="32"/>
          <w:szCs w:val="32"/>
        </w:rPr>
        <w:t>，期满后</w:t>
      </w:r>
      <w:r>
        <w:rPr>
          <w:rFonts w:hint="eastAsia" w:eastAsia="仿宋_GB2312"/>
          <w:sz w:val="32"/>
          <w:szCs w:val="32"/>
          <w:lang w:val="en-US" w:eastAsia="zh-CN"/>
        </w:rPr>
        <w:t>如无违约情况则</w:t>
      </w:r>
      <w:r>
        <w:rPr>
          <w:rFonts w:eastAsia="仿宋_GB2312"/>
          <w:sz w:val="32"/>
          <w:szCs w:val="32"/>
        </w:rPr>
        <w:t>无息返还给运营方。</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履约</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保函资金</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用于运营方造成的设施设备异常损坏的赔偿、运营方异常退出的风险化解等。</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如出现索赔情况，运营方应在完成赔付后10个工作日内补充保函资金至约定金额。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hint="eastAsia" w:eastAsia="仿宋_GB2312"/>
          <w:sz w:val="32"/>
          <w:szCs w:val="32"/>
          <w:lang w:val="en-US" w:eastAsia="zh-CN"/>
        </w:rPr>
        <w:t>2.</w:t>
      </w:r>
      <w:r>
        <w:rPr>
          <w:rFonts w:eastAsia="仿宋_GB2312"/>
          <w:sz w:val="32"/>
          <w:szCs w:val="32"/>
        </w:rPr>
        <w:t>国有资产有偿使用费</w:t>
      </w:r>
      <w:r>
        <w:rPr>
          <w:rFonts w:hint="eastAsia" w:eastAsia="仿宋_GB2312"/>
          <w:sz w:val="32"/>
          <w:szCs w:val="32"/>
          <w:lang w:eastAsia="zh-CN"/>
        </w:rPr>
        <w:t>。</w:t>
      </w:r>
      <w:r>
        <w:rPr>
          <w:rFonts w:eastAsia="仿宋_GB2312"/>
          <w:sz w:val="32"/>
          <w:szCs w:val="32"/>
        </w:rPr>
        <w:t>运营方在运营期间，需缴纳国有资产有偿使用费</w:t>
      </w:r>
      <w:r>
        <w:rPr>
          <w:rFonts w:hint="eastAsia" w:eastAsia="仿宋_GB2312"/>
          <w:sz w:val="32"/>
          <w:szCs w:val="32"/>
          <w:lang w:eastAsia="zh-CN"/>
        </w:rPr>
        <w:t>。</w:t>
      </w:r>
      <w:r>
        <w:rPr>
          <w:rFonts w:eastAsia="仿宋_GB2312"/>
          <w:sz w:val="32"/>
          <w:szCs w:val="32"/>
        </w:rPr>
        <w:t>具体为：从合同签订之日起计算，前</w:t>
      </w:r>
      <w:r>
        <w:rPr>
          <w:rFonts w:hint="eastAsia" w:eastAsia="仿宋_GB2312"/>
          <w:sz w:val="32"/>
          <w:szCs w:val="32"/>
          <w:lang w:val="en-US" w:eastAsia="zh-CN"/>
        </w:rPr>
        <w:t>3</w:t>
      </w:r>
      <w:r>
        <w:rPr>
          <w:rFonts w:eastAsia="仿宋_GB2312"/>
          <w:sz w:val="32"/>
          <w:szCs w:val="32"/>
        </w:rPr>
        <w:t>年为免缴期，第</w:t>
      </w:r>
      <w:r>
        <w:rPr>
          <w:rFonts w:hint="eastAsia" w:eastAsia="仿宋_GB2312"/>
          <w:sz w:val="32"/>
          <w:szCs w:val="32"/>
          <w:lang w:val="en-US" w:eastAsia="zh-CN"/>
        </w:rPr>
        <w:t>4</w:t>
      </w:r>
      <w:r>
        <w:rPr>
          <w:rFonts w:eastAsia="仿宋_GB2312"/>
          <w:sz w:val="32"/>
          <w:szCs w:val="32"/>
        </w:rPr>
        <w:t>年开始缴纳，每年第一季度前缴纳使用费，每年收取标准以养老机构固定资产（不包括养老机构内部设施设备）投资额1%</w:t>
      </w:r>
      <w:r>
        <w:rPr>
          <w:rFonts w:eastAsia="仿宋_GB2312"/>
          <w:spacing w:val="-6"/>
          <w:sz w:val="32"/>
          <w:szCs w:val="32"/>
        </w:rPr>
        <w:t>为上限，根据投资规模、市场收益及收住对象等因素合理确定。</w:t>
      </w:r>
      <w:r>
        <w:rPr>
          <w:rFonts w:hint="eastAsia" w:ascii="仿宋_GB2312" w:hAnsi="仿宋_GB2312" w:eastAsia="仿宋_GB2312" w:cs="仿宋_GB2312"/>
          <w:color w:val="000000" w:themeColor="text1"/>
          <w:kern w:val="0"/>
          <w:sz w:val="32"/>
          <w:szCs w:val="32"/>
          <w14:textFill>
            <w14:solidFill>
              <w14:schemeClr w14:val="tx1"/>
            </w14:solidFill>
          </w14:textFill>
        </w:rPr>
        <w:t>国有资产有偿使用收入，按照政府非税收入规定实行“收支两条线”管理。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val="en-US" w:eastAsia="zh-CN"/>
        </w:rPr>
        <w:t>设备损耗折旧费。</w:t>
      </w:r>
      <w:r>
        <w:rPr>
          <w:rFonts w:eastAsia="仿宋_GB2312"/>
          <w:sz w:val="32"/>
          <w:szCs w:val="32"/>
        </w:rPr>
        <w:t>运营方在运营期间</w:t>
      </w:r>
      <w:r>
        <w:rPr>
          <w:rFonts w:hint="eastAsia" w:eastAsia="仿宋_GB2312"/>
          <w:sz w:val="32"/>
          <w:szCs w:val="32"/>
          <w:lang w:val="en-US" w:eastAsia="zh-CN"/>
        </w:rPr>
        <w:t>根据资产评估情况分类缴纳设备损耗折旧费，收取范围包括电梯、消防控制系统、电力设备、烹饪设备、护理设备、办公设备等。参照《中华人民共和国企业所得税法实施条例》规定，电梯属特种设备，折旧年限平均按15年计算，消防控制主机按10年计算，发电机、灶具、护理床、医疗设备、办公桌椅和电脑打印机等设备折旧年限平均按5年计算，折旧不考虑净残值。过了折旧年限不再收取折旧费，低值易耗品不收取损耗折旧费。折旧额按年限平均法（直线法）进行计算，即年折旧额=设备净值（设备原值减去累计折旧后的余额）</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预计使用年限。</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（七）运营投入</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Arial" w:hAnsi="Arial" w:eastAsia="仿宋_GB2312" w:cs="Arial"/>
          <w:kern w:val="2"/>
          <w:sz w:val="32"/>
          <w:szCs w:val="32"/>
          <w:lang w:val="en-US" w:eastAsia="zh-CN" w:bidi="ar-SA"/>
        </w:rPr>
      </w:pPr>
      <w:r>
        <w:rPr>
          <w:rFonts w:hint="eastAsia" w:ascii="Calibri" w:hAnsi="Calibri" w:cs="Calibri"/>
          <w:sz w:val="32"/>
          <w:szCs w:val="32"/>
          <w:lang w:val="en-US" w:eastAsia="zh-CN"/>
        </w:rPr>
        <w:t>1.</w:t>
      </w:r>
      <w:r>
        <w:rPr>
          <w:rFonts w:hint="eastAsia" w:ascii="Calibri" w:hAnsi="Calibri" w:eastAsia="仿宋_GB2312" w:cs="Calibri"/>
          <w:sz w:val="32"/>
          <w:szCs w:val="32"/>
          <w:lang w:val="en-US" w:eastAsia="zh-CN"/>
        </w:rPr>
        <w:t>政府投入</w:t>
      </w:r>
      <w:r>
        <w:rPr>
          <w:rFonts w:hint="eastAsia" w:ascii="Arial" w:hAnsi="Arial" w:eastAsia="仿宋_GB2312" w:cs="Arial"/>
          <w:kern w:val="2"/>
          <w:sz w:val="32"/>
          <w:szCs w:val="32"/>
          <w:lang w:val="en-US" w:eastAsia="zh-CN" w:bidi="ar-SA"/>
        </w:rPr>
        <w:t>：</w:t>
      </w:r>
      <w:r>
        <w:rPr>
          <w:rFonts w:hint="default" w:ascii="Arial" w:hAnsi="Arial" w:eastAsia="仿宋_GB2312" w:cs="Arial"/>
          <w:kern w:val="2"/>
          <w:sz w:val="32"/>
          <w:szCs w:val="32"/>
          <w:lang w:val="en-US" w:eastAsia="zh-CN" w:bidi="ar-SA"/>
        </w:rPr>
        <w:t>①特困人员供养费</w:t>
      </w:r>
      <w:r>
        <w:rPr>
          <w:rFonts w:hint="eastAsia" w:ascii="Arial" w:hAnsi="Arial" w:eastAsia="仿宋_GB2312" w:cs="Arial"/>
          <w:kern w:val="2"/>
          <w:sz w:val="32"/>
          <w:szCs w:val="32"/>
          <w:lang w:val="en-US" w:eastAsia="zh-CN" w:bidi="ar-SA"/>
        </w:rPr>
        <w:t>。</w:t>
      </w:r>
      <w:r>
        <w:rPr>
          <w:rFonts w:hint="default" w:ascii="Arial" w:hAnsi="Arial" w:eastAsia="仿宋_GB2312" w:cs="Arial"/>
          <w:kern w:val="2"/>
          <w:sz w:val="32"/>
          <w:szCs w:val="32"/>
          <w:lang w:val="en-US" w:eastAsia="zh-CN" w:bidi="ar-SA"/>
        </w:rPr>
        <w:t>由</w:t>
      </w:r>
      <w:r>
        <w:rPr>
          <w:rFonts w:hint="eastAsia" w:ascii="Arial" w:hAnsi="Arial" w:eastAsia="仿宋_GB2312" w:cs="Arial"/>
          <w:kern w:val="2"/>
          <w:sz w:val="32"/>
          <w:szCs w:val="32"/>
          <w:lang w:val="en-US" w:eastAsia="zh-CN" w:bidi="ar-SA"/>
        </w:rPr>
        <w:t>财政保障，县民政局核实入住的特困人员人数，并按照政策</w:t>
      </w:r>
      <w:r>
        <w:rPr>
          <w:rFonts w:hint="default" w:ascii="Arial" w:hAnsi="Arial" w:eastAsia="仿宋_GB2312" w:cs="Arial"/>
          <w:kern w:val="2"/>
          <w:sz w:val="32"/>
          <w:szCs w:val="32"/>
          <w:lang w:val="en-US" w:eastAsia="zh-CN" w:bidi="ar-SA"/>
        </w:rPr>
        <w:t>标准拨付</w:t>
      </w:r>
      <w:r>
        <w:rPr>
          <w:rFonts w:hint="eastAsia" w:ascii="Arial" w:hAnsi="Arial" w:eastAsia="仿宋_GB2312" w:cs="Arial"/>
          <w:kern w:val="2"/>
          <w:sz w:val="32"/>
          <w:szCs w:val="32"/>
          <w:lang w:val="en-US" w:eastAsia="zh-CN" w:bidi="ar-SA"/>
        </w:rPr>
        <w:t>养老机构；</w:t>
      </w:r>
      <w:r>
        <w:rPr>
          <w:rFonts w:hint="default" w:ascii="Arial" w:hAnsi="Arial" w:eastAsia="仿宋_GB2312" w:cs="Arial"/>
          <w:kern w:val="2"/>
          <w:sz w:val="32"/>
          <w:szCs w:val="32"/>
          <w:lang w:val="en-US" w:eastAsia="zh-CN" w:bidi="ar-SA"/>
        </w:rPr>
        <w:t>②</w:t>
      </w:r>
      <w:r>
        <w:rPr>
          <w:rFonts w:hint="eastAsia" w:ascii="Arial" w:hAnsi="Arial" w:eastAsia="仿宋_GB2312" w:cs="Arial"/>
          <w:kern w:val="2"/>
          <w:sz w:val="32"/>
          <w:szCs w:val="32"/>
          <w:lang w:val="en-US" w:eastAsia="zh-CN" w:bidi="ar-SA"/>
        </w:rPr>
        <w:t>特困人员护理费。按照公办公营机构护理标准和第三方老年人能力评估结果兑现护理费；</w:t>
      </w:r>
      <w:r>
        <w:rPr>
          <w:rFonts w:hint="default" w:ascii="Arial" w:hAnsi="Arial" w:eastAsia="仿宋_GB2312" w:cs="Arial"/>
          <w:kern w:val="2"/>
          <w:sz w:val="32"/>
          <w:szCs w:val="32"/>
          <w:lang w:val="en-US" w:eastAsia="zh-CN" w:bidi="ar-SA"/>
        </w:rPr>
        <w:t>③</w:t>
      </w:r>
      <w:r>
        <w:rPr>
          <w:rFonts w:hint="eastAsia" w:ascii="Arial" w:hAnsi="Arial" w:eastAsia="仿宋_GB2312" w:cs="Arial"/>
          <w:kern w:val="2"/>
          <w:sz w:val="32"/>
          <w:szCs w:val="32"/>
          <w:lang w:val="en-US" w:eastAsia="zh-CN" w:bidi="ar-SA"/>
        </w:rPr>
        <w:t>低保失能人员照护费：参与经济困难失能老年人集中照护服务机构遴选，承接服务后个人补助资金由县民政局依政策标准按月拨付入住老人账户，再由入住老人缴纳至运营方账户；集中照护服务机构绩效补贴按政策规定拨付。</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lang w:val="en-US" w:eastAsia="zh-CN"/>
        </w:rPr>
      </w:pPr>
      <w:r>
        <w:rPr>
          <w:rFonts w:hint="eastAsia" w:ascii="Calibri" w:hAnsi="Calibri" w:cs="Calibri"/>
          <w:sz w:val="32"/>
          <w:szCs w:val="32"/>
          <w:lang w:val="en-US" w:eastAsia="zh-CN"/>
        </w:rPr>
        <w:t>2.</w:t>
      </w:r>
      <w:r>
        <w:rPr>
          <w:rFonts w:hint="eastAsia" w:ascii="Calibri" w:hAnsi="Calibri" w:eastAsia="仿宋_GB2312" w:cs="Calibri"/>
          <w:sz w:val="32"/>
          <w:szCs w:val="32"/>
          <w:lang w:val="en-US" w:eastAsia="zh-CN"/>
        </w:rPr>
        <w:t>运营方投入：</w:t>
      </w:r>
      <w:r>
        <w:rPr>
          <w:rFonts w:eastAsia="仿宋_GB2312"/>
          <w:sz w:val="32"/>
          <w:szCs w:val="32"/>
        </w:rPr>
        <w:t>运营方</w:t>
      </w:r>
      <w:r>
        <w:rPr>
          <w:rFonts w:hint="eastAsia" w:eastAsia="仿宋_GB2312"/>
          <w:sz w:val="32"/>
          <w:szCs w:val="32"/>
          <w:lang w:val="en-US" w:eastAsia="zh-CN"/>
        </w:rPr>
        <w:t>在保证正常运营所需的人员工资、护理服务等开支的基础上，</w:t>
      </w:r>
      <w:r>
        <w:rPr>
          <w:rFonts w:eastAsia="仿宋_GB2312"/>
          <w:sz w:val="32"/>
          <w:szCs w:val="32"/>
        </w:rPr>
        <w:t>要按照功能定位补充投入完善设施设备</w:t>
      </w:r>
      <w:r>
        <w:rPr>
          <w:rFonts w:hint="eastAsia" w:eastAsia="仿宋_GB2312"/>
          <w:sz w:val="32"/>
          <w:szCs w:val="32"/>
          <w:lang w:eastAsia="zh-CN"/>
        </w:rPr>
        <w:t>。</w:t>
      </w:r>
      <w:r>
        <w:rPr>
          <w:rFonts w:eastAsia="仿宋_GB2312"/>
          <w:sz w:val="32"/>
          <w:szCs w:val="32"/>
        </w:rPr>
        <w:t>运营期间</w:t>
      </w:r>
      <w:r>
        <w:rPr>
          <w:rFonts w:hint="eastAsia" w:eastAsia="仿宋_GB2312"/>
          <w:sz w:val="32"/>
          <w:szCs w:val="32"/>
          <w:lang w:val="en-US" w:eastAsia="zh-CN"/>
        </w:rPr>
        <w:t>前三年每年用于设施设备采购和维修</w:t>
      </w:r>
      <w:r>
        <w:rPr>
          <w:rFonts w:eastAsia="仿宋_GB2312"/>
          <w:sz w:val="32"/>
          <w:szCs w:val="32"/>
        </w:rPr>
        <w:t>投资</w:t>
      </w:r>
      <w:r>
        <w:rPr>
          <w:rFonts w:hint="eastAsia"/>
          <w:sz w:val="32"/>
          <w:szCs w:val="32"/>
          <w:lang w:val="en-US" w:eastAsia="zh-CN"/>
        </w:rPr>
        <w:t>平均</w:t>
      </w:r>
      <w:r>
        <w:rPr>
          <w:rFonts w:eastAsia="仿宋_GB2312"/>
          <w:sz w:val="32"/>
          <w:szCs w:val="32"/>
        </w:rPr>
        <w:t>不低于</w:t>
      </w:r>
      <w:r>
        <w:rPr>
          <w:rFonts w:hint="eastAsia"/>
          <w:sz w:val="32"/>
          <w:szCs w:val="32"/>
          <w:lang w:val="en-US" w:eastAsia="zh-CN"/>
        </w:rPr>
        <w:t>4</w:t>
      </w:r>
      <w:r>
        <w:rPr>
          <w:rFonts w:eastAsia="仿宋_GB2312"/>
          <w:sz w:val="32"/>
          <w:szCs w:val="32"/>
        </w:rPr>
        <w:t>0万元（具体以甲方委托第三方审计结果为准）。</w:t>
      </w:r>
      <w:r>
        <w:rPr>
          <w:rFonts w:hint="eastAsia"/>
          <w:sz w:val="32"/>
          <w:szCs w:val="32"/>
          <w:lang w:val="en-US" w:eastAsia="zh-CN"/>
        </w:rPr>
        <w:t>其他有政策规定的投入，按政策规定执行。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八</w:t>
      </w:r>
      <w:r>
        <w:rPr>
          <w:rFonts w:hint="eastAsia" w:ascii="楷体_GB2312" w:hAnsi="楷体_GB2312" w:eastAsia="楷体_GB2312" w:cs="楷体_GB2312"/>
          <w:b w:val="0"/>
          <w:bCs w:val="0"/>
          <w:sz w:val="32"/>
          <w:szCs w:val="32"/>
        </w:rPr>
        <w:t>）运营监管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eastAsia="仿宋_GB2312"/>
          <w:sz w:val="32"/>
          <w:szCs w:val="32"/>
        </w:rPr>
        <w:t>1.资产管理。在正式运营之前，委托方和运营方应共同对</w:t>
      </w:r>
      <w:r>
        <w:rPr>
          <w:rFonts w:hint="eastAsia" w:eastAsia="仿宋_GB2312"/>
          <w:sz w:val="32"/>
          <w:szCs w:val="32"/>
          <w:lang w:val="en-US" w:eastAsia="zh-CN"/>
        </w:rPr>
        <w:t>敬老院</w:t>
      </w:r>
      <w:r>
        <w:rPr>
          <w:rFonts w:eastAsia="仿宋_GB2312"/>
          <w:sz w:val="32"/>
          <w:szCs w:val="32"/>
        </w:rPr>
        <w:t>全部资产进行登记造册。运营方在合同期内负责按照国家相关标准和规定对养老机构进行经营，对固定资产进行日常管理维护</w:t>
      </w:r>
      <w:r>
        <w:rPr>
          <w:rFonts w:hint="eastAsia" w:eastAsia="仿宋_GB2312"/>
          <w:sz w:val="32"/>
          <w:szCs w:val="32"/>
          <w:lang w:eastAsia="zh-CN"/>
        </w:rPr>
        <w:t>，</w:t>
      </w:r>
      <w:r>
        <w:rPr>
          <w:rFonts w:hint="eastAsia" w:eastAsia="仿宋_GB2312"/>
          <w:sz w:val="32"/>
          <w:szCs w:val="32"/>
          <w:lang w:val="en-US" w:eastAsia="zh-CN"/>
        </w:rPr>
        <w:t>并负责</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日常耗损性设施设备的维护和修缮。消防、地下管网等设施设备大型维修可申请由国有资产有偿使用收入或政府项目资金实施，但运营方及第三人原因造成的设施设备异常损坏除外。运营方</w:t>
      </w:r>
      <w:r>
        <w:rPr>
          <w:rFonts w:eastAsia="仿宋_GB2312"/>
          <w:sz w:val="32"/>
          <w:szCs w:val="32"/>
        </w:rPr>
        <w:t>不得从事养老服务以外的经营活动，不得出租、出借、处置国有资产，不得以</w:t>
      </w:r>
      <w:r>
        <w:rPr>
          <w:rFonts w:hint="eastAsia" w:eastAsia="仿宋_GB2312"/>
          <w:sz w:val="32"/>
          <w:szCs w:val="32"/>
          <w:lang w:val="en-US" w:eastAsia="zh-CN"/>
        </w:rPr>
        <w:t>敬老院</w:t>
      </w:r>
      <w:r>
        <w:rPr>
          <w:rFonts w:eastAsia="仿宋_GB2312"/>
          <w:sz w:val="32"/>
          <w:szCs w:val="32"/>
        </w:rPr>
        <w:t>国有资产进行抵押、融资、贷款等活动，确保国有资产不流失。合同期满后，所有资产归政府所有，运营方不得拆卸、搬迁。委托方在不影响运营方正常经营的情况下，有权随时对运营方管理的全部资产状况进行现场核查，运营方应当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lang w:val="en-US" w:eastAsia="zh-CN"/>
        </w:rPr>
      </w:pPr>
      <w:r>
        <w:rPr>
          <w:rFonts w:eastAsia="仿宋_GB2312"/>
          <w:sz w:val="32"/>
          <w:szCs w:val="32"/>
        </w:rPr>
        <w:t>2.服务管理。运营方应严格按照《养老机构管理办法》(民政部令</w:t>
      </w:r>
      <w:r>
        <w:rPr>
          <w:rFonts w:hint="eastAsia" w:ascii="宋体" w:hAnsi="宋体" w:cs="宋体"/>
          <w:sz w:val="32"/>
          <w:szCs w:val="32"/>
        </w:rPr>
        <w:t>〔</w:t>
      </w:r>
      <w:r>
        <w:rPr>
          <w:rFonts w:eastAsia="仿宋_GB2312"/>
          <w:sz w:val="32"/>
          <w:szCs w:val="32"/>
        </w:rPr>
        <w:t>2013</w:t>
      </w:r>
      <w:r>
        <w:rPr>
          <w:rFonts w:hint="eastAsia" w:ascii="宋体" w:hAnsi="宋体" w:cs="宋体"/>
          <w:sz w:val="32"/>
          <w:szCs w:val="32"/>
        </w:rPr>
        <w:t>〕</w:t>
      </w:r>
      <w:r>
        <w:rPr>
          <w:rFonts w:eastAsia="仿宋_GB2312"/>
          <w:sz w:val="32"/>
          <w:szCs w:val="32"/>
        </w:rPr>
        <w:t>第49号）有关规定执行。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按规定向民政部门进行养老机构备案，依照养老服务有关标准和规范，建立健全安全管理、医疗卫生、餐饮服务、财务管理、档案管理、老年人能力评估等规章制度并严格执行。</w:t>
      </w:r>
      <w:r>
        <w:rPr>
          <w:rFonts w:eastAsia="仿宋_GB2312"/>
          <w:sz w:val="32"/>
          <w:szCs w:val="32"/>
        </w:rPr>
        <w:t>运营方为老年人提供服务，提供符合老年人居住条件的住房，并配备适合老年人安全保护要求的设施、设备及用具，提供的饮食应当符合卫生要求、有利于老年人营养平衡、符合民族风俗习惯。</w:t>
      </w:r>
      <w:r>
        <w:rPr>
          <w:rFonts w:hint="eastAsia" w:eastAsia="仿宋_GB2312"/>
          <w:sz w:val="32"/>
          <w:szCs w:val="32"/>
          <w:lang w:val="en-US" w:eastAsia="zh-CN"/>
        </w:rPr>
        <w:t>运营方可</w:t>
      </w:r>
      <w:r>
        <w:rPr>
          <w:rFonts w:hint="eastAsia" w:ascii="仿宋_GB2312" w:hAnsi="仿宋_GB2312" w:eastAsia="仿宋_GB2312" w:cs="仿宋_GB2312"/>
          <w:b w:val="0"/>
          <w:color w:val="000000" w:themeColor="text1"/>
          <w:kern w:val="0"/>
          <w:sz w:val="32"/>
          <w:szCs w:val="32"/>
          <w:u w:val="none"/>
          <w:lang w:val="en-US" w:eastAsia="zh-CN"/>
          <w14:textFill>
            <w14:solidFill>
              <w14:schemeClr w14:val="tx1"/>
            </w14:solidFill>
          </w14:textFill>
        </w:rPr>
        <w:t>利用自身资源及服务优势</w:t>
      </w:r>
      <w:r>
        <w:rPr>
          <w:rFonts w:hint="eastAsia" w:eastAsia="仿宋_GB2312"/>
          <w:sz w:val="32"/>
          <w:szCs w:val="32"/>
          <w:lang w:val="en-US" w:eastAsia="zh-CN"/>
        </w:rPr>
        <w:t>拓展服务，</w:t>
      </w:r>
      <w:r>
        <w:rPr>
          <w:rFonts w:hint="eastAsia" w:ascii="仿宋_GB2312" w:hAnsi="仿宋_GB2312" w:eastAsia="仿宋_GB2312" w:cs="仿宋_GB2312"/>
          <w:b w:val="0"/>
          <w:color w:val="000000" w:themeColor="text1"/>
          <w:kern w:val="0"/>
          <w:sz w:val="32"/>
          <w:szCs w:val="32"/>
          <w:u w:val="none"/>
          <w:lang w:val="en-US" w:eastAsia="zh-CN"/>
          <w14:textFill>
            <w14:solidFill>
              <w14:schemeClr w14:val="tx1"/>
            </w14:solidFill>
          </w14:textFill>
        </w:rPr>
        <w:t>连锁化托管运营乡镇综合养老服务机构、社区老年人日间照料中心、农村幸福院等设施。</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pPr>
      <w:r>
        <w:rPr>
          <w:rFonts w:eastAsia="仿宋_GB2312"/>
          <w:sz w:val="32"/>
          <w:szCs w:val="32"/>
        </w:rPr>
        <w:t>3.监督管理。</w:t>
      </w:r>
      <w:r>
        <w:rPr>
          <w:rFonts w:hint="eastAsia" w:eastAsia="仿宋_GB2312"/>
          <w:sz w:val="32"/>
          <w:szCs w:val="32"/>
          <w:lang w:val="en-US" w:eastAsia="zh-CN"/>
        </w:rPr>
        <w:t>县</w:t>
      </w:r>
      <w:r>
        <w:rPr>
          <w:rFonts w:eastAsia="仿宋_GB2312"/>
          <w:sz w:val="32"/>
          <w:szCs w:val="32"/>
        </w:rPr>
        <w:t>民政局会同卫健、消防、市场监督管理等部门，不定期通过实地检查等方式对运营方的服务和管理进行监督检查，并向社会公布检查结果。建立对运营方的评估制度，每年定期对运营方的人员、设施、服务、管理、信誉、举报投诉等情况进行综合评价。</w:t>
      </w:r>
      <w:r>
        <w:rPr>
          <w:rFonts w:hint="eastAsia" w:ascii="仿宋_GB2312" w:hAnsi="仿宋_GB2312" w:eastAsia="仿宋_GB2312" w:cs="仿宋_GB2312"/>
          <w:i w:val="0"/>
          <w:iCs w:val="0"/>
          <w:caps w:val="0"/>
          <w:color w:val="060607"/>
          <w:spacing w:val="4"/>
          <w:kern w:val="0"/>
          <w:sz w:val="32"/>
          <w:szCs w:val="32"/>
          <w:shd w:val="clear" w:fill="FFFFFF"/>
          <w:vertAlign w:val="baseline"/>
          <w:lang w:val="en-US" w:eastAsia="zh-CN" w:bidi="ar"/>
        </w:rPr>
        <w:t>当运营方出现严重违反合同约定、服务质量不达标、存在重大安全隐患等情形时，政府有权提前终止合同，并依法依规追究其违约责任，确保国有资产的安全和养老服务的连续性。</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（九）优惠政策</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Calibri" w:hAnsi="Calibri" w:cs="Calibri"/>
          <w:sz w:val="32"/>
          <w:szCs w:val="32"/>
          <w:lang w:val="en-US" w:eastAsia="zh-CN"/>
        </w:rPr>
      </w:pPr>
      <w:r>
        <w:rPr>
          <w:rFonts w:hint="eastAsia" w:ascii="Calibri" w:hAnsi="Calibri" w:cs="Calibri"/>
          <w:sz w:val="32"/>
          <w:szCs w:val="32"/>
          <w:lang w:val="en-US" w:eastAsia="zh-CN"/>
        </w:rPr>
        <w:t>1.</w:t>
      </w:r>
      <w:r>
        <w:rPr>
          <w:rFonts w:hint="eastAsia" w:ascii="Calibri" w:hAnsi="Calibri" w:eastAsia="仿宋_GB2312" w:cs="Calibri"/>
          <w:sz w:val="32"/>
          <w:szCs w:val="32"/>
          <w:lang w:val="en-US" w:eastAsia="zh-CN"/>
        </w:rPr>
        <w:t>公办民营养老机构水电暖继续实行民用价格</w:t>
      </w:r>
      <w:r>
        <w:rPr>
          <w:rFonts w:hint="eastAsia" w:ascii="Calibri" w:hAnsi="Calibri" w:cs="Calibri"/>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Calibri" w:hAnsi="Calibri" w:cs="Calibri"/>
          <w:sz w:val="32"/>
          <w:szCs w:val="32"/>
          <w:lang w:val="en-US" w:eastAsia="zh-CN"/>
        </w:rPr>
      </w:pPr>
      <w:r>
        <w:rPr>
          <w:rFonts w:hint="eastAsia" w:ascii="Calibri" w:hAnsi="Calibri" w:cs="Calibri"/>
          <w:sz w:val="32"/>
          <w:szCs w:val="32"/>
          <w:lang w:val="en-US" w:eastAsia="zh-CN"/>
        </w:rPr>
        <w:t>2.</w:t>
      </w:r>
      <w:r>
        <w:rPr>
          <w:rFonts w:hint="eastAsia" w:ascii="Calibri" w:hAnsi="Calibri" w:eastAsia="仿宋_GB2312" w:cs="Calibri"/>
          <w:sz w:val="32"/>
          <w:szCs w:val="32"/>
          <w:lang w:val="en-US" w:eastAsia="zh-CN"/>
        </w:rPr>
        <w:t>公办民营养老机构与其他公办公营机构享受同等的慰问、评先评优、人才培训机会</w:t>
      </w:r>
      <w:r>
        <w:rPr>
          <w:rFonts w:hint="eastAsia" w:ascii="Calibri" w:hAnsi="Calibri" w:cs="Calibri"/>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rPr>
      </w:pPr>
      <w:r>
        <w:rPr>
          <w:rFonts w:hint="eastAsia" w:ascii="Calibri" w:hAnsi="Calibri" w:cs="Calibri"/>
          <w:sz w:val="32"/>
          <w:szCs w:val="32"/>
          <w:lang w:val="en-US" w:eastAsia="zh-CN"/>
        </w:rPr>
        <w:t>3.</w:t>
      </w:r>
      <w:r>
        <w:rPr>
          <w:rFonts w:hint="eastAsia" w:ascii="Calibri" w:hAnsi="Calibri" w:eastAsia="仿宋_GB2312" w:cs="Calibri"/>
          <w:sz w:val="32"/>
          <w:szCs w:val="32"/>
          <w:lang w:val="en-US" w:eastAsia="zh-CN"/>
        </w:rPr>
        <w:t>其他有政策规定的投入，按政策规定执行。</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实施步骤</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ascii="楷体" w:hAnsi="楷体" w:eastAsia="楷体" w:cs="楷体"/>
          <w:sz w:val="32"/>
          <w:szCs w:val="32"/>
        </w:rPr>
        <w:t>（一）前期准备（</w:t>
      </w:r>
      <w:r>
        <w:rPr>
          <w:rFonts w:hint="eastAsia" w:ascii="楷体" w:hAnsi="楷体" w:eastAsia="楷体" w:cs="楷体"/>
          <w:sz w:val="32"/>
          <w:szCs w:val="32"/>
          <w:lang w:val="en-US" w:eastAsia="zh-CN"/>
        </w:rPr>
        <w:t>2025年1月上旬—2025年6月下旬</w:t>
      </w:r>
      <w:r>
        <w:rPr>
          <w:rFonts w:hint="eastAsia" w:ascii="楷体" w:hAnsi="楷体" w:eastAsia="楷体" w:cs="楷体"/>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lang w:val="en-US"/>
        </w:rPr>
      </w:pPr>
      <w:r>
        <w:rPr>
          <w:rFonts w:hint="eastAsia"/>
          <w:sz w:val="32"/>
          <w:szCs w:val="32"/>
          <w:lang w:val="en-US" w:eastAsia="zh-CN"/>
        </w:rPr>
        <w:t>1.</w:t>
      </w:r>
      <w:r>
        <w:rPr>
          <w:rFonts w:hint="default" w:eastAsia="仿宋_GB2312"/>
          <w:sz w:val="32"/>
          <w:szCs w:val="32"/>
          <w:lang w:val="en-US" w:eastAsia="zh-CN"/>
        </w:rPr>
        <w:t>成立工作领导小组</w:t>
      </w:r>
      <w:r>
        <w:rPr>
          <w:rFonts w:hint="eastAsia"/>
          <w:sz w:val="32"/>
          <w:szCs w:val="32"/>
          <w:lang w:val="en-US" w:eastAsia="zh-CN"/>
        </w:rPr>
        <w:t>。</w:t>
      </w:r>
      <w:r>
        <w:rPr>
          <w:rFonts w:hint="default" w:eastAsia="仿宋_GB2312"/>
          <w:sz w:val="32"/>
          <w:szCs w:val="32"/>
          <w:lang w:val="en-US" w:eastAsia="zh-CN"/>
        </w:rPr>
        <w:t>成立由县政府分管领导任组长，县民政局</w:t>
      </w:r>
      <w:r>
        <w:rPr>
          <w:rFonts w:hint="eastAsia"/>
          <w:sz w:val="32"/>
          <w:szCs w:val="32"/>
          <w:lang w:val="en-US" w:eastAsia="zh-CN"/>
        </w:rPr>
        <w:t>局长为副组长，县发改局、</w:t>
      </w:r>
      <w:r>
        <w:rPr>
          <w:rFonts w:hint="default" w:eastAsia="仿宋_GB2312"/>
          <w:sz w:val="32"/>
          <w:szCs w:val="32"/>
          <w:lang w:val="en-US" w:eastAsia="zh-CN"/>
        </w:rPr>
        <w:t>财政局、</w:t>
      </w:r>
      <w:r>
        <w:rPr>
          <w:rFonts w:hint="eastAsia"/>
          <w:sz w:val="32"/>
          <w:szCs w:val="32"/>
          <w:lang w:val="en-US" w:eastAsia="zh-CN"/>
        </w:rPr>
        <w:t>民政局、卫健局、市场监管局、应急局</w:t>
      </w:r>
      <w:r>
        <w:rPr>
          <w:rFonts w:hint="default" w:eastAsia="仿宋_GB2312"/>
          <w:sz w:val="32"/>
          <w:szCs w:val="32"/>
          <w:lang w:val="en-US" w:eastAsia="zh-CN"/>
        </w:rPr>
        <w:t>等相关部门</w:t>
      </w:r>
      <w:r>
        <w:rPr>
          <w:rFonts w:hint="eastAsia"/>
          <w:sz w:val="32"/>
          <w:szCs w:val="32"/>
          <w:lang w:val="en-US" w:eastAsia="zh-CN"/>
        </w:rPr>
        <w:t>分管</w:t>
      </w:r>
      <w:r>
        <w:rPr>
          <w:rFonts w:hint="default" w:eastAsia="仿宋_GB2312"/>
          <w:sz w:val="32"/>
          <w:szCs w:val="32"/>
          <w:lang w:val="en-US" w:eastAsia="zh-CN"/>
        </w:rPr>
        <w:t>负责人为成员的养老机构公办民营改革工作领导小组，负责改革工作的统筹协调和组织实施。</w:t>
      </w:r>
      <w:r>
        <w:rPr>
          <w:rFonts w:hint="eastAsia"/>
          <w:sz w:val="32"/>
          <w:szCs w:val="32"/>
          <w:lang w:val="en-US" w:eastAsia="zh-CN"/>
        </w:rPr>
        <w:t>领导小组设办公室，设在县民政局，民政局局长兼任办公室主任。</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2.</w:t>
      </w:r>
      <w:r>
        <w:rPr>
          <w:rFonts w:hint="default" w:eastAsia="仿宋_GB2312"/>
          <w:sz w:val="32"/>
          <w:szCs w:val="32"/>
          <w:lang w:val="en-US" w:eastAsia="zh-CN"/>
        </w:rPr>
        <w:t>制定实施方案</w:t>
      </w:r>
      <w:r>
        <w:rPr>
          <w:rFonts w:hint="eastAsia"/>
          <w:sz w:val="32"/>
          <w:szCs w:val="32"/>
          <w:lang w:eastAsia="zh-CN"/>
        </w:rPr>
        <w:t>。</w:t>
      </w:r>
      <w:r>
        <w:rPr>
          <w:rFonts w:hint="eastAsia"/>
          <w:sz w:val="32"/>
          <w:szCs w:val="32"/>
          <w:lang w:val="en-US" w:eastAsia="zh-CN"/>
        </w:rPr>
        <w:t>在</w:t>
      </w:r>
      <w:r>
        <w:rPr>
          <w:rFonts w:hint="default" w:eastAsia="仿宋_GB2312"/>
          <w:sz w:val="32"/>
          <w:szCs w:val="32"/>
          <w:lang w:val="en-US" w:eastAsia="zh-CN"/>
        </w:rPr>
        <w:t>调研评估</w:t>
      </w:r>
      <w:r>
        <w:rPr>
          <w:rFonts w:hint="eastAsia"/>
          <w:sz w:val="32"/>
          <w:szCs w:val="32"/>
          <w:lang w:val="en-US" w:eastAsia="zh-CN"/>
        </w:rPr>
        <w:t>的基础上</w:t>
      </w:r>
      <w:r>
        <w:rPr>
          <w:rFonts w:hint="default" w:eastAsia="仿宋_GB2312"/>
          <w:sz w:val="32"/>
          <w:szCs w:val="32"/>
          <w:lang w:val="en-US" w:eastAsia="zh-CN"/>
        </w:rPr>
        <w:t>，结合我县实际，制定《</w:t>
      </w:r>
      <w:r>
        <w:rPr>
          <w:rFonts w:hint="eastAsia"/>
          <w:sz w:val="32"/>
          <w:szCs w:val="32"/>
          <w:lang w:val="en-US" w:eastAsia="zh-CN"/>
        </w:rPr>
        <w:t>平罗县</w:t>
      </w:r>
      <w:r>
        <w:rPr>
          <w:rFonts w:hint="default" w:eastAsia="仿宋_GB2312"/>
          <w:sz w:val="32"/>
          <w:szCs w:val="32"/>
          <w:lang w:val="en-US" w:eastAsia="zh-CN"/>
        </w:rPr>
        <w:t>公办养老机构公办民营改革实施方案》，明确改革目标、基本原则、实施范围、运营管理、实施步骤、保障措施等内容，报县</w:t>
      </w:r>
      <w:r>
        <w:rPr>
          <w:rFonts w:hint="eastAsia"/>
          <w:sz w:val="32"/>
          <w:szCs w:val="32"/>
          <w:lang w:val="en-US" w:eastAsia="zh-CN"/>
        </w:rPr>
        <w:t>人民</w:t>
      </w:r>
      <w:r>
        <w:rPr>
          <w:rFonts w:hint="default" w:eastAsia="仿宋_GB2312"/>
          <w:sz w:val="32"/>
          <w:szCs w:val="32"/>
          <w:lang w:val="en-US" w:eastAsia="zh-CN"/>
        </w:rPr>
        <w:t>政府</w:t>
      </w:r>
      <w:r>
        <w:rPr>
          <w:rFonts w:hint="eastAsia"/>
          <w:sz w:val="32"/>
          <w:szCs w:val="32"/>
          <w:lang w:val="en-US" w:eastAsia="zh-CN"/>
        </w:rPr>
        <w:t>研究</w:t>
      </w:r>
      <w:r>
        <w:rPr>
          <w:rFonts w:hint="default" w:eastAsia="仿宋_GB2312"/>
          <w:sz w:val="32"/>
          <w:szCs w:val="32"/>
          <w:lang w:val="en-US" w:eastAsia="zh-CN"/>
        </w:rPr>
        <w:t>后实施。</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3.</w:t>
      </w:r>
      <w:r>
        <w:rPr>
          <w:rFonts w:hint="default" w:eastAsia="仿宋_GB2312"/>
          <w:sz w:val="32"/>
          <w:szCs w:val="32"/>
          <w:lang w:val="en-US" w:eastAsia="zh-CN"/>
        </w:rPr>
        <w:t>资产清查与审计</w:t>
      </w:r>
      <w:r>
        <w:rPr>
          <w:rFonts w:hint="eastAsia"/>
          <w:sz w:val="32"/>
          <w:szCs w:val="32"/>
          <w:lang w:val="en-US" w:eastAsia="zh-CN"/>
        </w:rPr>
        <w:t>。</w:t>
      </w:r>
      <w:r>
        <w:rPr>
          <w:rFonts w:hint="default" w:eastAsia="仿宋_GB2312"/>
          <w:sz w:val="32"/>
          <w:szCs w:val="32"/>
          <w:lang w:val="en-US" w:eastAsia="zh-CN"/>
        </w:rPr>
        <w:t>由县财政局</w:t>
      </w:r>
      <w:r>
        <w:rPr>
          <w:rFonts w:hint="eastAsia"/>
          <w:sz w:val="32"/>
          <w:szCs w:val="32"/>
          <w:lang w:val="en-US" w:eastAsia="zh-CN"/>
        </w:rPr>
        <w:t>牵头</w:t>
      </w:r>
      <w:r>
        <w:rPr>
          <w:rFonts w:hint="default" w:eastAsia="仿宋_GB2312"/>
          <w:sz w:val="32"/>
          <w:szCs w:val="32"/>
          <w:lang w:val="en-US" w:eastAsia="zh-CN"/>
        </w:rPr>
        <w:t>，</w:t>
      </w:r>
      <w:r>
        <w:rPr>
          <w:rFonts w:hint="eastAsia"/>
          <w:sz w:val="32"/>
          <w:szCs w:val="32"/>
          <w:lang w:val="en-US" w:eastAsia="zh-CN"/>
        </w:rPr>
        <w:t>会同相关部门</w:t>
      </w:r>
      <w:r>
        <w:rPr>
          <w:rFonts w:hint="default" w:eastAsia="仿宋_GB2312"/>
          <w:sz w:val="32"/>
          <w:szCs w:val="32"/>
          <w:lang w:val="en-US" w:eastAsia="zh-CN"/>
        </w:rPr>
        <w:t>对拟改革公办养老机构的国有资产进行全面清查和审计，核实资产账目，明确资产产权关系，确保国有资产安全完整。</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default" w:ascii="楷体" w:hAnsi="楷体" w:eastAsia="楷体" w:cs="楷体"/>
          <w:sz w:val="32"/>
          <w:szCs w:val="32"/>
        </w:rPr>
        <w:t>（二）公开招标（</w:t>
      </w:r>
      <w:r>
        <w:rPr>
          <w:rFonts w:hint="eastAsia" w:ascii="楷体" w:hAnsi="楷体" w:eastAsia="楷体" w:cs="楷体"/>
          <w:sz w:val="32"/>
          <w:szCs w:val="32"/>
          <w:lang w:val="en-US" w:eastAsia="zh-CN"/>
        </w:rPr>
        <w:t>2025年7月上旬—2025年7月下旬</w:t>
      </w:r>
      <w:r>
        <w:rPr>
          <w:rFonts w:hint="default" w:ascii="楷体" w:hAnsi="楷体" w:eastAsia="楷体" w:cs="楷体"/>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制定招标方案</w:t>
      </w:r>
      <w:r>
        <w:rPr>
          <w:rFonts w:hint="eastAsia"/>
          <w:sz w:val="32"/>
          <w:szCs w:val="32"/>
          <w:lang w:eastAsia="zh-CN"/>
        </w:rPr>
        <w:t>。</w:t>
      </w:r>
      <w:r>
        <w:rPr>
          <w:rFonts w:hint="default" w:eastAsia="仿宋_GB2312"/>
          <w:sz w:val="32"/>
          <w:szCs w:val="32"/>
          <w:lang w:val="en-US" w:eastAsia="zh-CN"/>
        </w:rPr>
        <w:t>根据实施方案，制定详细的公办养老机构公办民营招标方案，明确招标方式、投标人资格条件、服务内容、服务标准、运营期限、收费标准、考核评价等内容。</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2.</w:t>
      </w:r>
      <w:r>
        <w:rPr>
          <w:rFonts w:hint="default" w:eastAsia="仿宋_GB2312"/>
          <w:sz w:val="32"/>
          <w:szCs w:val="32"/>
          <w:lang w:val="en-US" w:eastAsia="zh-CN"/>
        </w:rPr>
        <w:t>发布招标公告</w:t>
      </w:r>
      <w:r>
        <w:rPr>
          <w:rFonts w:hint="eastAsia"/>
          <w:sz w:val="32"/>
          <w:szCs w:val="32"/>
          <w:lang w:val="en-US" w:eastAsia="zh-CN"/>
        </w:rPr>
        <w:t>。</w:t>
      </w:r>
      <w:r>
        <w:rPr>
          <w:rFonts w:hint="default" w:eastAsia="仿宋_GB2312"/>
          <w:sz w:val="32"/>
          <w:szCs w:val="32"/>
          <w:lang w:val="en-US" w:eastAsia="zh-CN"/>
        </w:rPr>
        <w:t>在县政府门户网站、公共资源交易平台等媒体上发布公办养老机构公办民营招标公告，广泛征集有意向的运营机构或社会力量参与投标。</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3.</w:t>
      </w:r>
      <w:r>
        <w:rPr>
          <w:rFonts w:hint="default" w:eastAsia="仿宋_GB2312"/>
          <w:sz w:val="32"/>
          <w:szCs w:val="32"/>
          <w:lang w:val="en-US" w:eastAsia="zh-CN"/>
        </w:rPr>
        <w:t>组织招投标工作</w:t>
      </w:r>
      <w:r>
        <w:rPr>
          <w:rFonts w:hint="eastAsia"/>
          <w:sz w:val="32"/>
          <w:szCs w:val="32"/>
          <w:lang w:eastAsia="zh-CN"/>
        </w:rPr>
        <w:t>。</w:t>
      </w:r>
      <w:r>
        <w:rPr>
          <w:rFonts w:hint="default" w:eastAsia="仿宋_GB2312"/>
          <w:sz w:val="32"/>
          <w:szCs w:val="32"/>
          <w:lang w:val="en-US" w:eastAsia="zh-CN"/>
        </w:rPr>
        <w:t>按照公开、公平、公正的原则，依法依规组织招投标工作。由县公共资源交易中心负责招标工作的具体实施，县民政局、财政局、审计局等部门全程参与监督，确保招投标工作规范有序进行。</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ascii="楷体" w:hAnsi="楷体" w:eastAsia="楷体" w:cs="楷体"/>
          <w:sz w:val="32"/>
          <w:szCs w:val="32"/>
        </w:rPr>
      </w:pPr>
      <w:r>
        <w:rPr>
          <w:rFonts w:hint="default" w:ascii="楷体" w:hAnsi="楷体" w:eastAsia="楷体" w:cs="楷体"/>
          <w:sz w:val="32"/>
          <w:szCs w:val="32"/>
        </w:rPr>
        <w:t>（三）签订合同（</w:t>
      </w:r>
      <w:r>
        <w:rPr>
          <w:rFonts w:hint="eastAsia" w:ascii="楷体" w:hAnsi="楷体" w:eastAsia="楷体" w:cs="楷体"/>
          <w:sz w:val="32"/>
          <w:szCs w:val="32"/>
          <w:lang w:val="en-US" w:eastAsia="zh-CN"/>
        </w:rPr>
        <w:t>2025年8月上旬—8月中旬</w:t>
      </w:r>
      <w:r>
        <w:rPr>
          <w:rFonts w:hint="default" w:ascii="楷体" w:hAnsi="楷体" w:eastAsia="楷体" w:cs="楷体"/>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确定中标机构</w:t>
      </w:r>
      <w:r>
        <w:rPr>
          <w:rFonts w:hint="eastAsia"/>
          <w:sz w:val="32"/>
          <w:szCs w:val="32"/>
          <w:lang w:eastAsia="zh-CN"/>
        </w:rPr>
        <w:t>。</w:t>
      </w:r>
      <w:r>
        <w:rPr>
          <w:rFonts w:hint="default" w:eastAsia="仿宋_GB2312"/>
          <w:sz w:val="32"/>
          <w:szCs w:val="32"/>
          <w:lang w:val="en-US" w:eastAsia="zh-CN"/>
        </w:rPr>
        <w:t>招投标工作结束后，根据评标委员会的评审结果，确定中标运营机构，并在县政府门户网站上进行公示，接受社会监督。</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2.</w:t>
      </w:r>
      <w:r>
        <w:rPr>
          <w:rFonts w:hint="default" w:eastAsia="仿宋_GB2312"/>
          <w:sz w:val="32"/>
          <w:szCs w:val="32"/>
          <w:lang w:val="en-US" w:eastAsia="zh-CN"/>
        </w:rPr>
        <w:t>签订运营合同</w:t>
      </w:r>
      <w:r>
        <w:rPr>
          <w:rFonts w:hint="eastAsia"/>
          <w:sz w:val="32"/>
          <w:szCs w:val="32"/>
          <w:lang w:eastAsia="zh-CN"/>
        </w:rPr>
        <w:t>。</w:t>
      </w:r>
      <w:r>
        <w:rPr>
          <w:rFonts w:hint="default" w:eastAsia="仿宋_GB2312"/>
          <w:sz w:val="32"/>
          <w:szCs w:val="32"/>
          <w:lang w:val="en-US" w:eastAsia="zh-CN"/>
        </w:rPr>
        <w:t>公示期满无异议后，由县民政局与中标运营机构签订公办养老机构</w:t>
      </w:r>
      <w:r>
        <w:rPr>
          <w:rFonts w:hint="eastAsia"/>
          <w:sz w:val="32"/>
          <w:szCs w:val="32"/>
          <w:lang w:val="en-US" w:eastAsia="zh-CN"/>
        </w:rPr>
        <w:t>委托</w:t>
      </w:r>
      <w:r>
        <w:rPr>
          <w:rFonts w:hint="default" w:eastAsia="仿宋_GB2312"/>
          <w:sz w:val="32"/>
          <w:szCs w:val="32"/>
          <w:lang w:val="en-US" w:eastAsia="zh-CN"/>
        </w:rPr>
        <w:t>运营合同，明确双方的权利义务、服务内容、服务标准、运营期限、收费标准、考核评价、违约责任等内容，确保合同的合法性和有效性。</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ascii="楷体" w:hAnsi="楷体" w:eastAsia="楷体" w:cs="楷体"/>
          <w:sz w:val="32"/>
          <w:szCs w:val="32"/>
        </w:rPr>
      </w:pPr>
      <w:r>
        <w:rPr>
          <w:rFonts w:hint="default" w:ascii="楷体" w:hAnsi="楷体" w:eastAsia="楷体" w:cs="楷体"/>
          <w:sz w:val="32"/>
          <w:szCs w:val="32"/>
        </w:rPr>
        <w:t>（四）交接运营（</w:t>
      </w:r>
      <w:r>
        <w:rPr>
          <w:rFonts w:hint="eastAsia" w:ascii="楷体" w:hAnsi="楷体" w:eastAsia="楷体" w:cs="楷体"/>
          <w:sz w:val="32"/>
          <w:szCs w:val="32"/>
          <w:lang w:val="en-US" w:eastAsia="zh-CN"/>
        </w:rPr>
        <w:t>2025年8月中旬</w:t>
      </w:r>
      <w:r>
        <w:rPr>
          <w:rFonts w:hint="default" w:ascii="楷体" w:hAnsi="楷体" w:eastAsia="楷体" w:cs="楷体"/>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资产</w:t>
      </w:r>
      <w:r>
        <w:rPr>
          <w:rFonts w:hint="eastAsia"/>
          <w:sz w:val="32"/>
          <w:szCs w:val="32"/>
          <w:lang w:val="en-US" w:eastAsia="zh-CN"/>
        </w:rPr>
        <w:t>委托</w:t>
      </w:r>
      <w:r>
        <w:rPr>
          <w:rFonts w:hint="eastAsia"/>
          <w:sz w:val="32"/>
          <w:szCs w:val="32"/>
          <w:lang w:eastAsia="zh-CN"/>
        </w:rPr>
        <w:t>。</w:t>
      </w:r>
      <w:r>
        <w:rPr>
          <w:rFonts w:hint="default" w:eastAsia="仿宋_GB2312"/>
          <w:sz w:val="32"/>
          <w:szCs w:val="32"/>
          <w:lang w:val="en-US" w:eastAsia="zh-CN"/>
        </w:rPr>
        <w:t>在合同签订后，由县民政局牵头，会同县财政局等部门，将公办养老机构的国有资产</w:t>
      </w:r>
      <w:r>
        <w:rPr>
          <w:rFonts w:hint="eastAsia"/>
          <w:sz w:val="32"/>
          <w:szCs w:val="32"/>
          <w:lang w:val="en-US" w:eastAsia="zh-CN"/>
        </w:rPr>
        <w:t>委托</w:t>
      </w:r>
      <w:r>
        <w:rPr>
          <w:rFonts w:hint="default" w:eastAsia="仿宋_GB2312"/>
          <w:sz w:val="32"/>
          <w:szCs w:val="32"/>
          <w:lang w:val="en-US" w:eastAsia="zh-CN"/>
        </w:rPr>
        <w:t>给中标运营机构</w:t>
      </w:r>
      <w:r>
        <w:rPr>
          <w:rFonts w:hint="eastAsia"/>
          <w:sz w:val="32"/>
          <w:szCs w:val="32"/>
          <w:lang w:val="en-US" w:eastAsia="zh-CN"/>
        </w:rPr>
        <w:t>管理</w:t>
      </w:r>
      <w:r>
        <w:rPr>
          <w:rFonts w:hint="default" w:eastAsia="仿宋_GB2312"/>
          <w:sz w:val="32"/>
          <w:szCs w:val="32"/>
          <w:lang w:val="en-US" w:eastAsia="zh-CN"/>
        </w:rPr>
        <w:t>，并办理资产</w:t>
      </w:r>
      <w:r>
        <w:rPr>
          <w:rFonts w:hint="eastAsia"/>
          <w:sz w:val="32"/>
          <w:szCs w:val="32"/>
          <w:lang w:val="en-US" w:eastAsia="zh-CN"/>
        </w:rPr>
        <w:t>委托管理</w:t>
      </w:r>
      <w:r>
        <w:rPr>
          <w:rFonts w:hint="default" w:eastAsia="仿宋_GB2312"/>
          <w:sz w:val="32"/>
          <w:szCs w:val="32"/>
          <w:lang w:val="en-US" w:eastAsia="zh-CN"/>
        </w:rPr>
        <w:t>手续，签订资产</w:t>
      </w:r>
      <w:r>
        <w:rPr>
          <w:rFonts w:hint="eastAsia"/>
          <w:sz w:val="32"/>
          <w:szCs w:val="32"/>
          <w:lang w:val="en-US" w:eastAsia="zh-CN"/>
        </w:rPr>
        <w:t>委托管理</w:t>
      </w:r>
      <w:r>
        <w:rPr>
          <w:rFonts w:hint="default" w:eastAsia="仿宋_GB2312"/>
          <w:sz w:val="32"/>
          <w:szCs w:val="32"/>
          <w:lang w:val="en-US" w:eastAsia="zh-CN"/>
        </w:rPr>
        <w:t>清单。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2.</w:t>
      </w:r>
      <w:r>
        <w:rPr>
          <w:rFonts w:hint="default" w:eastAsia="仿宋_GB2312"/>
          <w:sz w:val="32"/>
          <w:szCs w:val="32"/>
          <w:lang w:val="en-US" w:eastAsia="zh-CN"/>
        </w:rPr>
        <w:t>正式运营</w:t>
      </w:r>
      <w:r>
        <w:rPr>
          <w:rFonts w:hint="eastAsia"/>
          <w:sz w:val="32"/>
          <w:szCs w:val="32"/>
          <w:lang w:val="en-US" w:eastAsia="zh-CN"/>
        </w:rPr>
        <w:t>。</w:t>
      </w:r>
      <w:r>
        <w:rPr>
          <w:rFonts w:hint="default" w:eastAsia="仿宋_GB2312"/>
          <w:sz w:val="32"/>
          <w:szCs w:val="32"/>
          <w:lang w:val="en-US" w:eastAsia="zh-CN"/>
        </w:rPr>
        <w:t>中标运营机构接管公办养老机构后，按照合同约定和服务标准，开展养老服务，确保养老机构正常运营。</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保障措施</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楷体" w:hAnsi="楷体" w:eastAsia="楷体" w:cs="楷体"/>
          <w:sz w:val="32"/>
          <w:szCs w:val="32"/>
        </w:rPr>
      </w:pPr>
      <w:r>
        <w:rPr>
          <w:rFonts w:hint="eastAsia" w:ascii="楷体" w:hAnsi="楷体" w:eastAsia="楷体" w:cs="楷体"/>
          <w:sz w:val="32"/>
          <w:szCs w:val="32"/>
        </w:rPr>
        <w:t>（一）加强组织领导</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各</w:t>
      </w:r>
      <w:r>
        <w:rPr>
          <w:rFonts w:hint="eastAsia"/>
          <w:sz w:val="32"/>
          <w:szCs w:val="32"/>
          <w:lang w:val="en-US" w:eastAsia="zh-CN"/>
        </w:rPr>
        <w:t>相关</w:t>
      </w:r>
      <w:r>
        <w:rPr>
          <w:rFonts w:hint="default" w:eastAsia="仿宋_GB2312"/>
          <w:sz w:val="32"/>
          <w:szCs w:val="32"/>
          <w:lang w:val="en-US" w:eastAsia="zh-CN"/>
        </w:rPr>
        <w:t>部门要高度重视养老机构公办民营改革工作，将其列入重要议事日程，</w:t>
      </w:r>
      <w:r>
        <w:rPr>
          <w:rFonts w:hint="eastAsia"/>
          <w:sz w:val="32"/>
          <w:szCs w:val="32"/>
          <w:lang w:val="en-US" w:eastAsia="zh-CN"/>
        </w:rPr>
        <w:t>加强协调配合，</w:t>
      </w:r>
      <w:r>
        <w:rPr>
          <w:rFonts w:hint="default" w:eastAsia="仿宋_GB2312"/>
          <w:sz w:val="32"/>
          <w:szCs w:val="32"/>
          <w:lang w:val="en-US" w:eastAsia="zh-CN"/>
        </w:rPr>
        <w:t>明确责任分工，确保改革工作顺利推进。</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lang w:val="en-US" w:eastAsia="zh-CN"/>
        </w:rPr>
      </w:pPr>
      <w:r>
        <w:rPr>
          <w:rFonts w:hint="eastAsia"/>
          <w:sz w:val="32"/>
          <w:szCs w:val="32"/>
          <w:lang w:val="en-US" w:eastAsia="zh-CN"/>
        </w:rPr>
        <w:t>2.</w:t>
      </w:r>
      <w:r>
        <w:rPr>
          <w:rFonts w:hint="default" w:eastAsia="仿宋_GB2312"/>
          <w:sz w:val="32"/>
          <w:szCs w:val="32"/>
          <w:lang w:val="en-US" w:eastAsia="zh-CN"/>
        </w:rPr>
        <w:t>县养老机构公办民营改革工作领导小组要定期召开会议，研究解决改革过程中遇到的困难和问题，及时协调推进改革工作。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sz w:val="32"/>
          <w:szCs w:val="32"/>
          <w:lang w:val="en-US" w:eastAsia="zh-CN"/>
        </w:rPr>
      </w:pPr>
      <w:r>
        <w:rPr>
          <w:rFonts w:hint="eastAsia"/>
          <w:sz w:val="32"/>
          <w:szCs w:val="32"/>
          <w:lang w:val="en-US" w:eastAsia="zh-CN"/>
        </w:rPr>
        <w:t>3.加强监管，要严格按照相关法律法规和政策规定，依法依规开展工作，确保改革程序合法、公开、透明。</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ascii="楷体" w:hAnsi="楷体" w:eastAsia="楷体" w:cs="楷体"/>
          <w:sz w:val="32"/>
          <w:szCs w:val="32"/>
        </w:rPr>
      </w:pPr>
      <w:r>
        <w:rPr>
          <w:rFonts w:hint="default" w:ascii="楷体" w:hAnsi="楷体" w:eastAsia="楷体" w:cs="楷体"/>
          <w:sz w:val="32"/>
          <w:szCs w:val="32"/>
        </w:rPr>
        <w:t>（二）强化政策支持</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财政支持</w:t>
      </w:r>
      <w:r>
        <w:rPr>
          <w:rFonts w:hint="eastAsia"/>
          <w:sz w:val="32"/>
          <w:szCs w:val="32"/>
          <w:lang w:val="en-US" w:eastAsia="zh-CN"/>
        </w:rPr>
        <w:t>。</w:t>
      </w:r>
      <w:r>
        <w:rPr>
          <w:rFonts w:hint="default" w:eastAsia="仿宋_GB2312"/>
          <w:sz w:val="32"/>
          <w:szCs w:val="32"/>
          <w:lang w:val="en-US" w:eastAsia="zh-CN"/>
        </w:rPr>
        <w:t>县财政局要将养老机构公办民营改革所需资金纳入财政预算，确保改革工作顺利实施。对特困人员供养费用按照相关政策标准足额</w:t>
      </w:r>
      <w:r>
        <w:rPr>
          <w:rFonts w:hint="eastAsia"/>
          <w:sz w:val="32"/>
          <w:szCs w:val="32"/>
          <w:lang w:val="en-US" w:eastAsia="zh-CN"/>
        </w:rPr>
        <w:t>保障</w:t>
      </w:r>
      <w:r>
        <w:rPr>
          <w:rFonts w:hint="default" w:eastAsia="仿宋_GB2312"/>
          <w:sz w:val="32"/>
          <w:szCs w:val="32"/>
          <w:lang w:val="en-US" w:eastAsia="zh-CN"/>
        </w:rPr>
        <w:t>，对公办养老机构运营补贴、设施设备购置等给予适当支持。</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2.</w:t>
      </w:r>
      <w:r>
        <w:rPr>
          <w:rFonts w:hint="default" w:eastAsia="仿宋_GB2312"/>
          <w:sz w:val="32"/>
          <w:szCs w:val="32"/>
          <w:lang w:val="en-US" w:eastAsia="zh-CN"/>
        </w:rPr>
        <w:t>税收优惠</w:t>
      </w:r>
      <w:r>
        <w:rPr>
          <w:rFonts w:hint="eastAsia"/>
          <w:sz w:val="32"/>
          <w:szCs w:val="32"/>
          <w:lang w:val="en-US" w:eastAsia="zh-CN"/>
        </w:rPr>
        <w:t>。</w:t>
      </w:r>
      <w:r>
        <w:rPr>
          <w:rFonts w:hint="default" w:eastAsia="仿宋_GB2312"/>
          <w:sz w:val="32"/>
          <w:szCs w:val="32"/>
          <w:lang w:val="en-US" w:eastAsia="zh-CN"/>
        </w:rPr>
        <w:t>按照国家有关规定，对中标运营机构在养老服务领域给予税收优惠政策，减轻运营机构的负担，促进养老服务事业发展。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3.</w:t>
      </w:r>
      <w:r>
        <w:rPr>
          <w:rFonts w:hint="default" w:eastAsia="仿宋_GB2312"/>
          <w:sz w:val="32"/>
          <w:szCs w:val="32"/>
          <w:lang w:val="en-US" w:eastAsia="zh-CN"/>
        </w:rPr>
        <w:t>金融支持</w:t>
      </w:r>
      <w:r>
        <w:rPr>
          <w:rFonts w:hint="eastAsia"/>
          <w:sz w:val="32"/>
          <w:szCs w:val="32"/>
          <w:lang w:eastAsia="zh-CN"/>
        </w:rPr>
        <w:t>。</w:t>
      </w:r>
      <w:r>
        <w:rPr>
          <w:rFonts w:hint="default" w:eastAsia="仿宋_GB2312"/>
          <w:sz w:val="32"/>
          <w:szCs w:val="32"/>
          <w:lang w:val="en-US" w:eastAsia="zh-CN"/>
        </w:rPr>
        <w:t>鼓励金融机构加大对养老服务领域的信贷支持力度，为中标运营机构提供融资服务，支持其开展养老服务设施建设和服务项目拓展。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ascii="楷体" w:hAnsi="楷体" w:eastAsia="楷体" w:cs="楷体"/>
          <w:sz w:val="32"/>
          <w:szCs w:val="32"/>
        </w:rPr>
      </w:pPr>
      <w:r>
        <w:rPr>
          <w:rFonts w:hint="default" w:ascii="楷体" w:hAnsi="楷体" w:eastAsia="楷体" w:cs="楷体"/>
          <w:sz w:val="32"/>
          <w:szCs w:val="32"/>
        </w:rPr>
        <w:t>（三）加强队伍建设</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人员培训</w:t>
      </w:r>
      <w:r>
        <w:rPr>
          <w:rFonts w:hint="eastAsia"/>
          <w:sz w:val="32"/>
          <w:szCs w:val="32"/>
          <w:lang w:eastAsia="zh-CN"/>
        </w:rPr>
        <w:t>。</w:t>
      </w:r>
      <w:r>
        <w:rPr>
          <w:rFonts w:hint="default" w:eastAsia="仿宋_GB2312"/>
          <w:sz w:val="32"/>
          <w:szCs w:val="32"/>
          <w:lang w:val="en-US" w:eastAsia="zh-CN"/>
        </w:rPr>
        <w:t>县民政局</w:t>
      </w:r>
      <w:r>
        <w:rPr>
          <w:rFonts w:hint="eastAsia"/>
          <w:sz w:val="32"/>
          <w:szCs w:val="32"/>
          <w:lang w:val="en-US" w:eastAsia="zh-CN"/>
        </w:rPr>
        <w:t>和人社局要定期组织开展养老护理员职业技能培训</w:t>
      </w:r>
      <w:r>
        <w:rPr>
          <w:rFonts w:hint="default" w:eastAsia="仿宋_GB2312"/>
          <w:sz w:val="32"/>
          <w:szCs w:val="32"/>
          <w:lang w:val="en-US" w:eastAsia="zh-CN"/>
        </w:rPr>
        <w:t>，提高工作人员的专业素质和服务水平。中标运营机构要加强对本单位工作人员的培训管理，确保工作人员具备相应的专业技能和服务能力。</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2.</w:t>
      </w:r>
      <w:r>
        <w:rPr>
          <w:rFonts w:hint="default" w:eastAsia="仿宋_GB2312"/>
          <w:sz w:val="32"/>
          <w:szCs w:val="32"/>
          <w:lang w:val="en-US" w:eastAsia="zh-CN"/>
        </w:rPr>
        <w:t>人才引进</w:t>
      </w:r>
      <w:r>
        <w:rPr>
          <w:rFonts w:hint="eastAsia"/>
          <w:sz w:val="32"/>
          <w:szCs w:val="32"/>
          <w:lang w:val="en-US" w:eastAsia="zh-CN"/>
        </w:rPr>
        <w:t>。</w:t>
      </w:r>
      <w:r>
        <w:rPr>
          <w:rFonts w:hint="default" w:eastAsia="仿宋_GB2312"/>
          <w:sz w:val="32"/>
          <w:szCs w:val="32"/>
          <w:lang w:val="en-US" w:eastAsia="zh-CN"/>
        </w:rPr>
        <w:t>鼓励引进养老服务专业人才，充实养老机构工作人员队伍。对引进的养老服务专业人才，按照相关政策规定给予相应的待遇和保障，吸引和留住人才。</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ascii="楷体" w:hAnsi="楷体" w:eastAsia="楷体" w:cs="楷体"/>
          <w:sz w:val="32"/>
          <w:szCs w:val="32"/>
        </w:rPr>
      </w:pPr>
      <w:r>
        <w:rPr>
          <w:rFonts w:hint="default" w:ascii="楷体" w:hAnsi="楷体" w:eastAsia="楷体" w:cs="楷体"/>
          <w:sz w:val="32"/>
          <w:szCs w:val="32"/>
        </w:rPr>
        <w:t>（四）加强宣传引导</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default" w:eastAsia="仿宋_GB2312"/>
          <w:sz w:val="32"/>
          <w:szCs w:val="32"/>
        </w:rPr>
      </w:pPr>
      <w:r>
        <w:rPr>
          <w:rFonts w:hint="eastAsia"/>
          <w:sz w:val="32"/>
          <w:szCs w:val="32"/>
          <w:lang w:val="en-US" w:eastAsia="zh-CN"/>
        </w:rPr>
        <w:t>1.</w:t>
      </w:r>
      <w:r>
        <w:rPr>
          <w:rFonts w:hint="default" w:eastAsia="仿宋_GB2312"/>
          <w:sz w:val="32"/>
          <w:szCs w:val="32"/>
          <w:lang w:val="en-US" w:eastAsia="zh-CN"/>
        </w:rPr>
        <w:t>充分利用各种媒体平台，广泛宣传公办养老机构公办民营改革的目的、意义和政策措施，提高社会各界对改革工作的知晓度和支持度。</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sz w:val="32"/>
          <w:szCs w:val="32"/>
          <w:lang w:val="en-US" w:eastAsia="zh-CN"/>
        </w:rPr>
      </w:pPr>
      <w:r>
        <w:rPr>
          <w:rFonts w:hint="eastAsia"/>
          <w:sz w:val="32"/>
          <w:szCs w:val="32"/>
          <w:lang w:val="en-US" w:eastAsia="zh-CN"/>
        </w:rPr>
        <w:t>2.</w:t>
      </w:r>
      <w:r>
        <w:rPr>
          <w:rFonts w:hint="default" w:eastAsia="仿宋_GB2312"/>
          <w:sz w:val="32"/>
          <w:szCs w:val="32"/>
          <w:lang w:val="en-US" w:eastAsia="zh-CN"/>
        </w:rPr>
        <w:t>加强对老年人及其家属的宣传引导，做好政策解释和沟通工作，消除他们的疑虑和担忧，营造良好的改革氛围。</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5220970</wp:posOffset>
              </wp:positionH>
              <wp:positionV relativeFrom="paragraph">
                <wp:posOffset>-476250</wp:posOffset>
              </wp:positionV>
              <wp:extent cx="1828800" cy="7150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715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11.1pt;margin-top:-37.5pt;height:56.3pt;width:144pt;mso-position-horizontal-relative:margin;mso-wrap-style:none;z-index:251659264;mso-width-relative:page;mso-height-relative:page;" filled="f" stroked="f" coordsize="21600,21600" o:gfxdata="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3aNa2gAAAAsBAAAPAAAAAAAAAAEAIAAAACIAAABkcnMvZG93bnJl&#10;di54bWxQSwECFAAUAAAACACHTuJACKBBFTQCAABgBAAADgAAAAAAAAABACAAAAApAQAAZHJzL2Uy&#10;b0RvYy54bWxQSwUGAAAAAAYABgBZAQAAzwUAAAAA&#10;">
              <v:fill on="f" focussize="0,0"/>
              <v:stroke on="f" weight="0.5pt"/>
              <v:imagedata o:title=""/>
              <o:lock v:ext="edit" aspectratio="f"/>
              <v:textbox inset="0mm,0mm,0mm,0mm">
                <w:txbxContent>
                  <w:p>
                    <w:pPr>
                      <w:pStyle w:val="6"/>
                    </w:pPr>
                    <w:r>
                      <w:t>—</w:t>
                    </w: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MTgzNWZmYTQ3ZWJlNzBhMTBiOTRkNTUyYjNjYjYifQ=="/>
  </w:docVars>
  <w:rsids>
    <w:rsidRoot w:val="18320CD8"/>
    <w:rsid w:val="01AA7618"/>
    <w:rsid w:val="01F954B2"/>
    <w:rsid w:val="0204335A"/>
    <w:rsid w:val="028E3199"/>
    <w:rsid w:val="02FD75C5"/>
    <w:rsid w:val="031C6AA2"/>
    <w:rsid w:val="03832351"/>
    <w:rsid w:val="03D63FB1"/>
    <w:rsid w:val="03DF1EFE"/>
    <w:rsid w:val="04575F38"/>
    <w:rsid w:val="04CE3204"/>
    <w:rsid w:val="04E10164"/>
    <w:rsid w:val="06654211"/>
    <w:rsid w:val="088F3907"/>
    <w:rsid w:val="0BA455A9"/>
    <w:rsid w:val="0BB7042D"/>
    <w:rsid w:val="0D9D0734"/>
    <w:rsid w:val="0F005887"/>
    <w:rsid w:val="0F3C1EB4"/>
    <w:rsid w:val="106E5376"/>
    <w:rsid w:val="111868BD"/>
    <w:rsid w:val="11D676B0"/>
    <w:rsid w:val="12E011CA"/>
    <w:rsid w:val="13046687"/>
    <w:rsid w:val="13D549E5"/>
    <w:rsid w:val="164A4916"/>
    <w:rsid w:val="172F68A1"/>
    <w:rsid w:val="17C67FF6"/>
    <w:rsid w:val="18320CD8"/>
    <w:rsid w:val="19B47531"/>
    <w:rsid w:val="19F619C4"/>
    <w:rsid w:val="1A0F1464"/>
    <w:rsid w:val="1A122A44"/>
    <w:rsid w:val="1B8158CB"/>
    <w:rsid w:val="1BD50E53"/>
    <w:rsid w:val="1C0E6A05"/>
    <w:rsid w:val="1C4E18ED"/>
    <w:rsid w:val="1D102CD1"/>
    <w:rsid w:val="1EBC4D00"/>
    <w:rsid w:val="1ED61CF8"/>
    <w:rsid w:val="1F470ECA"/>
    <w:rsid w:val="20D3029D"/>
    <w:rsid w:val="227F1044"/>
    <w:rsid w:val="23305E7B"/>
    <w:rsid w:val="25145328"/>
    <w:rsid w:val="254759DE"/>
    <w:rsid w:val="256000B0"/>
    <w:rsid w:val="256B13EC"/>
    <w:rsid w:val="25FE400E"/>
    <w:rsid w:val="2653066B"/>
    <w:rsid w:val="26934B5F"/>
    <w:rsid w:val="2697778D"/>
    <w:rsid w:val="2802620B"/>
    <w:rsid w:val="28B42477"/>
    <w:rsid w:val="2A7F4FF2"/>
    <w:rsid w:val="2ADE2AE6"/>
    <w:rsid w:val="2C286DB9"/>
    <w:rsid w:val="2C7D4415"/>
    <w:rsid w:val="2D630BFB"/>
    <w:rsid w:val="2E660B30"/>
    <w:rsid w:val="2F4862FA"/>
    <w:rsid w:val="301A5EE8"/>
    <w:rsid w:val="302D0EC6"/>
    <w:rsid w:val="310B02A3"/>
    <w:rsid w:val="312103F8"/>
    <w:rsid w:val="3155147F"/>
    <w:rsid w:val="31B935FE"/>
    <w:rsid w:val="321D18ED"/>
    <w:rsid w:val="322702CF"/>
    <w:rsid w:val="335C05C6"/>
    <w:rsid w:val="34CB3389"/>
    <w:rsid w:val="34F82570"/>
    <w:rsid w:val="35FD2AFF"/>
    <w:rsid w:val="36000B5E"/>
    <w:rsid w:val="36A961D8"/>
    <w:rsid w:val="36EC1D03"/>
    <w:rsid w:val="39306B0A"/>
    <w:rsid w:val="3A15327D"/>
    <w:rsid w:val="3C4936B2"/>
    <w:rsid w:val="3E1D6BA4"/>
    <w:rsid w:val="3E232006"/>
    <w:rsid w:val="3EC6265F"/>
    <w:rsid w:val="3EF43DA9"/>
    <w:rsid w:val="3F2A1578"/>
    <w:rsid w:val="3F450304"/>
    <w:rsid w:val="40026549"/>
    <w:rsid w:val="402B6D1D"/>
    <w:rsid w:val="404943BE"/>
    <w:rsid w:val="40FB7670"/>
    <w:rsid w:val="410D2F00"/>
    <w:rsid w:val="42641245"/>
    <w:rsid w:val="44D34460"/>
    <w:rsid w:val="457B0D80"/>
    <w:rsid w:val="46146EF8"/>
    <w:rsid w:val="474156B1"/>
    <w:rsid w:val="474777A5"/>
    <w:rsid w:val="47645901"/>
    <w:rsid w:val="47F225C0"/>
    <w:rsid w:val="493D00FA"/>
    <w:rsid w:val="4A3E6EFF"/>
    <w:rsid w:val="4BA56C4C"/>
    <w:rsid w:val="4BA91610"/>
    <w:rsid w:val="4D2770F7"/>
    <w:rsid w:val="4EEE25C2"/>
    <w:rsid w:val="4F587A3C"/>
    <w:rsid w:val="4FC450D1"/>
    <w:rsid w:val="509D2EC6"/>
    <w:rsid w:val="50A84624"/>
    <w:rsid w:val="51220301"/>
    <w:rsid w:val="5224454D"/>
    <w:rsid w:val="52972C9C"/>
    <w:rsid w:val="52D000D0"/>
    <w:rsid w:val="53C804AF"/>
    <w:rsid w:val="55E37314"/>
    <w:rsid w:val="565C7DC0"/>
    <w:rsid w:val="585C5C9E"/>
    <w:rsid w:val="586E7D86"/>
    <w:rsid w:val="589464D9"/>
    <w:rsid w:val="58AB0BF5"/>
    <w:rsid w:val="592A1049"/>
    <w:rsid w:val="59994517"/>
    <w:rsid w:val="59B94BEC"/>
    <w:rsid w:val="5BCF382F"/>
    <w:rsid w:val="5C8956D8"/>
    <w:rsid w:val="5D003399"/>
    <w:rsid w:val="5D9C143B"/>
    <w:rsid w:val="5EBF1885"/>
    <w:rsid w:val="5F6F7B24"/>
    <w:rsid w:val="5FCF2989"/>
    <w:rsid w:val="600D6620"/>
    <w:rsid w:val="60DB227B"/>
    <w:rsid w:val="615C785F"/>
    <w:rsid w:val="620221EA"/>
    <w:rsid w:val="63520F1A"/>
    <w:rsid w:val="647D1DF0"/>
    <w:rsid w:val="65B60595"/>
    <w:rsid w:val="680D18B3"/>
    <w:rsid w:val="683412BE"/>
    <w:rsid w:val="692A4563"/>
    <w:rsid w:val="6AB46016"/>
    <w:rsid w:val="6DEB1B66"/>
    <w:rsid w:val="6E0E3C8F"/>
    <w:rsid w:val="6E3B6A4F"/>
    <w:rsid w:val="6E952291"/>
    <w:rsid w:val="6EE7387C"/>
    <w:rsid w:val="6F4A6F49"/>
    <w:rsid w:val="710D136E"/>
    <w:rsid w:val="721455EC"/>
    <w:rsid w:val="722A12B4"/>
    <w:rsid w:val="72D66D46"/>
    <w:rsid w:val="72E954EE"/>
    <w:rsid w:val="739A369F"/>
    <w:rsid w:val="747D2C19"/>
    <w:rsid w:val="765B5D88"/>
    <w:rsid w:val="76E063E5"/>
    <w:rsid w:val="76F6073B"/>
    <w:rsid w:val="777C1ECB"/>
    <w:rsid w:val="7AF550FB"/>
    <w:rsid w:val="7B98728E"/>
    <w:rsid w:val="7C423EA4"/>
    <w:rsid w:val="7C896BD7"/>
    <w:rsid w:val="7CAF6B09"/>
    <w:rsid w:val="7CB86EEB"/>
    <w:rsid w:val="7CF46746"/>
    <w:rsid w:val="7DBA173E"/>
    <w:rsid w:val="7E0943E2"/>
    <w:rsid w:val="7E9F73D8"/>
    <w:rsid w:val="7ED973A3"/>
    <w:rsid w:val="7FF9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1"/>
    <w:qFormat/>
    <w:uiPriority w:val="0"/>
    <w:pPr>
      <w:ind w:left="420"/>
    </w:pPr>
    <w:rPr>
      <w:rFonts w:ascii="仿宋_GB2312" w:eastAsia="仿宋_GB2312"/>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5"/>
    <w:next w:val="1"/>
    <w:qFormat/>
    <w:uiPriority w:val="0"/>
    <w:pPr>
      <w:spacing w:after="120"/>
      <w:ind w:leftChars="200" w:firstLine="420" w:firstLineChars="200"/>
    </w:pPr>
    <w:rPr>
      <w:rFonts w:ascii="Times New Roman"/>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6330</Words>
  <Characters>6536</Characters>
  <Lines>0</Lines>
  <Paragraphs>0</Paragraphs>
  <TotalTime>37</TotalTime>
  <ScaleCrop>false</ScaleCrop>
  <LinksUpToDate>false</LinksUpToDate>
  <CharactersWithSpaces>6643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2025-03-25T09:44:00Z</dcterms:created>
  <dc:creator>WPS_1672193045</dc:creator>
  <cp:lastModifiedBy>兜兜 （Ruthless）</cp:lastModifiedBy>
  <cp:lastPrinted>2025-06-10T00:59:30Z</cp:lastPrinted>
  <dcterms:modified xsi:type="dcterms:W3CDTF">2025-06-10T01:16:04Z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54ABE9BE938C4507A441FC9E11C9D022_13</vt:lpwstr>
  </property>
  <property fmtid="{D5CDD505-2E9C-101B-9397-08002B2CF9AE}" pid="4" name="KSOTemplateDocerSaveRecord">
    <vt:lpwstr>eyJoZGlkIjoiMzRhYzZkMDc3YTNmZWI0ODc5NDljZTY3MmY0OTcxZWQiLCJ1c2VySWQiOiIxNDYyNjQ1Nzg0In0=</vt:lpwstr>
  </property>
</Properties>
</file>