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340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44"/>
          <w:szCs w:val="44"/>
          <w:vertAlign w:val="baseline"/>
          <w:lang w:eastAsia="zh-CN"/>
        </w:rPr>
        <w:t>灵沙乡202</w:t>
      </w:r>
      <w:r>
        <w:rPr>
          <w:rFonts w:hint="eastAsia" w:ascii="方正小标宋简体" w:hAnsi="方正小标宋简体" w:eastAsia="方正小标宋简体" w:cs="方正小标宋简体"/>
          <w:b w:val="0"/>
          <w:bCs w:val="0"/>
          <w:sz w:val="44"/>
          <w:szCs w:val="44"/>
          <w:vertAlign w:val="baseline"/>
          <w:lang w:val="en-US" w:eastAsia="zh-CN"/>
        </w:rPr>
        <w:t>5</w:t>
      </w:r>
      <w:r>
        <w:rPr>
          <w:rFonts w:hint="eastAsia" w:ascii="方正小标宋简体" w:hAnsi="方正小标宋简体" w:eastAsia="方正小标宋简体" w:cs="方正小标宋简体"/>
          <w:b w:val="0"/>
          <w:bCs w:val="0"/>
          <w:sz w:val="44"/>
          <w:szCs w:val="44"/>
          <w:vertAlign w:val="baseline"/>
          <w:lang w:eastAsia="zh-CN"/>
        </w:rPr>
        <w:t>年法治政府建设年度报告</w:t>
      </w:r>
    </w:p>
    <w:p w14:paraId="74D526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灵沙乡始终以习近平新时代中国特色社会主义思想为指导，深入践行习近平法治思想，全面落实党的二十大及二十届历次全会精神，紧扣《法治政府建设实施纲要（2021—2025年）》部署要求，立足乡村治理实际，将法治政府建设与乡村振兴、平安建设深度融合，以“制度筑基、执法提效、普法惠民、治理赋能”为主线，推动政府治理法治化水平全面提升，为全乡经济社会高质量发展提供了坚实法治保障。现将全年工作情况报告如下：</w:t>
      </w:r>
    </w:p>
    <w:p w14:paraId="5C21C1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一、202</w:t>
      </w:r>
      <w:r>
        <w:rPr>
          <w:rFonts w:hint="eastAsia" w:ascii="黑体" w:hAnsi="黑体" w:eastAsia="黑体" w:cs="黑体"/>
          <w:sz w:val="32"/>
          <w:szCs w:val="32"/>
          <w:lang w:val="en-US" w:eastAsia="zh-CN"/>
        </w:rPr>
        <w:t>5</w:t>
      </w:r>
      <w:r>
        <w:rPr>
          <w:rFonts w:hint="eastAsia" w:ascii="黑体" w:hAnsi="黑体" w:eastAsia="黑体" w:cs="黑体"/>
          <w:sz w:val="32"/>
          <w:szCs w:val="32"/>
        </w:rPr>
        <w:t>年度推进法治政府建设的主要举措和成效</w:t>
      </w:r>
    </w:p>
    <w:p w14:paraId="26737DD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（一）强化政治引领，构建法治建设责任闭环。</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高度重视法治政府建设工作，乡党政主要负责人切实履行推进法治政府建设第一责任人职责，构建“党委领导、政府负责、部门协同、村社联动”工作格局，对重要工作亲自部署、重大问题亲自过问、重点环节亲自协调、重要任务亲自督办，及时调整工作领导小组，定期听取法治政府建设工作情况汇报，研究解决推进法治政府建设工作困难和问题，形成了主要领导亲自抓、分管领导具体抓、其他领导密切配合、上下齐抓共管的工作格局，确保各项工作落地落细；</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扎实推动习近平法治思想学习走深走实，将习近平法治思想纳入党员干部教育体系，结合深入贯彻中央八项规定精神学习教育，聚焦重要时间节点，通过举办法治宣传专题讲座等多种方式普及法律法规知识。今年以来，利用理论学习中心组会议、例会等形式开展集中学习14次，领导干部参加年度学法考试，采取以会代训、网络培训等方式开展专题法治讲座3次，切实推动习近平法治思想入脑入心、走深走实；</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提升领导干部依法行政意识习惯，结合季度、年度考核注重考察领导干部遵守法律和党规党纪及依法行政情况，引导和督促全乡领导干部自觉养成办事依法、遇事找法、解决问题用法良好习惯。</w:t>
      </w:r>
    </w:p>
    <w:p w14:paraId="30B00E4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（二）规范行政行为，筑牢依法行政制度根基。</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强化行政决策程序，积极推进政务公开、健全党内情况通报制度、情况反映制度、重大决策征求意见制度，对重大事项决策、重要项目安排、大额资金的使用均由乡党委会议讨论研究决定，年内召开党委会议12次，对项目建设、民生保障等决策在群众参与、调查研究、民主讨论和科学论证的基础上，充分听取社会各界意见。</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建立健全政府法律顾问体系，乡政府与大潮人律师事务所签订法律顾问合同，充分发挥法律顾问在法治工作中的作用，让法律顾问参与到重大行政决策的制定和合同的审查等过程，本年度法律顾问审查各类合同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8份，参与诉讼代理3件，</w:t>
      </w:r>
      <w:r>
        <w:rPr>
          <w:rFonts w:hint="eastAsia" w:ascii="仿宋_GB2312" w:hAnsi="仿宋_GB2312" w:eastAsia="仿宋_GB2312" w:cs="仿宋_GB2312"/>
          <w:sz w:val="32"/>
          <w:szCs w:val="32"/>
          <w:lang w:val="en-US" w:eastAsia="zh-CN"/>
        </w:rPr>
        <w:t>有效防范了行政决策的法律风险。</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切实加强行政规范性文件管理，建立健全行政规范性文件清理工作机制，经审查本乡无行政规范性文件。</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lang w:val="en-US" w:eastAsia="zh-CN"/>
        </w:rPr>
        <w:t>加强执法人员资格管理，严</w:t>
      </w:r>
      <w:r>
        <w:rPr>
          <w:rFonts w:hint="eastAsia" w:ascii="仿宋_GB2312" w:hAnsi="仿宋_GB2312" w:eastAsia="仿宋_GB2312" w:cs="仿宋_GB2312"/>
          <w:sz w:val="32"/>
          <w:szCs w:val="32"/>
        </w:rPr>
        <w:t>格执行行政人员持证上岗制度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凡是申领行政执法证人员，需进行网上报名和参加统一考试，目前全乡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持证人员17人，</w:t>
      </w:r>
      <w:r>
        <w:rPr>
          <w:rFonts w:hint="eastAsia" w:ascii="仿宋_GB2312" w:hAnsi="仿宋_GB2312" w:eastAsia="仿宋_GB2312" w:cs="仿宋_GB2312"/>
          <w:sz w:val="32"/>
          <w:szCs w:val="32"/>
          <w:lang w:val="en-US" w:eastAsia="zh-CN"/>
        </w:rPr>
        <w:t>确保行政执法的合法性。</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lang w:val="en-US" w:eastAsia="zh-CN"/>
        </w:rPr>
        <w:t>深化行政执法全过程记录工作，坚持推</w:t>
      </w:r>
      <w:r>
        <w:rPr>
          <w:rFonts w:hint="eastAsia" w:ascii="仿宋_GB2312" w:hAnsi="仿宋_GB2312" w:eastAsia="仿宋_GB2312" w:cs="仿宋_GB2312"/>
          <w:sz w:val="32"/>
          <w:szCs w:val="32"/>
        </w:rPr>
        <w:t>进法治工作，严格落实行政执法全过程记录制度。乡政府执法部门均配备执法记录仪，保障现场执法全过程记录，有效减少后续隐患和问题，提高执法透明度。</w:t>
      </w:r>
    </w:p>
    <w:p w14:paraId="71A6C77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（三）创新普法宣传，厚植全民法治信仰根基。</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深入实施“八五”普法工作，认真贯彻落实“八五”普法规划，充分发挥亚运会马拉松冠军何杰所在何家村灵沙乡法治教育基地作用，组织开展专题法治宣传活动，有效引导群众“有纠纷找调解”。</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做好重要时间节点法治宣传活动，加强对刑满释放、社区矫正、涉邪教和戒毒等重点人员宣传教育，重点对民族宗教、食品药品安全、道路交通安全、生产安全、网络电信诈骗等群众关心关注的问题，开展常态化法治宣传。今年开展乡村两级各类法治宣传活动120余场次，发放各类法治宣传资料10000余份，解答法律咨询500余人次。</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不断充实宣传队伍。以人民调解员、网格员、老党员等为重点开展“法律明白人”培养工程，累计培育“法律明白人”143人，开展“法律明白人”专题业务培训活动4次。</w:t>
      </w:r>
    </w:p>
    <w:p w14:paraId="73E697C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（四）深化治理融合，提升法治服务惠民效能。</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加强矛盾纠纷排查化解工作，坚持和发展新时代“枫桥经验”，充分发挥人民调解组织职能作用，打造灵沙乡数字乡村平台，对各类突发事件、紧急情况实时在线监测，对发生在村内的群众矛盾纠纷，及时发现并妥善处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本年度通过枫桥经验矛盾纠纷系统录入各类矛盾纠纷527件，成功化解524件，化解率达99.43%。</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持续推进一村一法律顾问工作制度。11个村实现法律顾问全覆盖，围绕中心工作，着力做好重点工程、重大项目等领域的专业法律服务工作，组织“一村一法律顾问”到辖区村委会开展“法治问诊”11场次，对村集体重大决策事项决议、村集体合同进行审查，发现并排除村集体面临的法律风险点5件。</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做好信访法治化工作，让法治促进信访工作再上新台阶，积极引导群众通过综治中心表达诉求，及时受理群众线上线下信访事项，紧盯群众难心事、烦心事、揪心事，促进办事依法、遇事找法、解决问题用法、化解矛盾靠法，有事好商量、众人的事由众人商量。按照“统一受理、统一研判、统一处置、统一办结”的原则，强化工作合力，保障好群众的合法权益。2025年共接待来访群众90余批200余人次，</w:t>
      </w:r>
      <w:bookmarkStart w:id="0" w:name="_GoBack"/>
      <w:bookmarkEnd w:id="0"/>
      <w:r>
        <w:rPr>
          <w:rFonts w:hint="eastAsia" w:ascii="仿宋_GB2312" w:hAnsi="仿宋_GB2312" w:eastAsia="仿宋_GB2312" w:cs="仿宋_GB2312"/>
          <w:sz w:val="32"/>
          <w:szCs w:val="32"/>
          <w:lang w:val="en-US" w:eastAsia="zh-CN"/>
        </w:rPr>
        <w:t>受理来访登记17件，受理信访系统转办件21件，办结19件，2件正在按程序推进。</w:t>
      </w:r>
    </w:p>
    <w:p w14:paraId="2D73F3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二、202</w:t>
      </w:r>
      <w:r>
        <w:rPr>
          <w:rFonts w:hint="eastAsia" w:ascii="黑体" w:hAnsi="黑体" w:eastAsia="黑体" w:cs="黑体"/>
          <w:sz w:val="32"/>
          <w:szCs w:val="32"/>
          <w:lang w:val="en-US" w:eastAsia="zh-CN"/>
        </w:rPr>
        <w:t>5</w:t>
      </w:r>
      <w:r>
        <w:rPr>
          <w:rFonts w:hint="eastAsia" w:ascii="黑体" w:hAnsi="黑体" w:eastAsia="黑体" w:cs="黑体"/>
          <w:sz w:val="32"/>
          <w:szCs w:val="32"/>
        </w:rPr>
        <w:t>年度推进法治政府建设存在的不足</w:t>
      </w:r>
    </w:p>
    <w:p w14:paraId="03C84C4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（一）专业力量仍显薄弱。</w:t>
      </w:r>
      <w:r>
        <w:rPr>
          <w:rFonts w:hint="eastAsia" w:ascii="仿宋_GB2312" w:hAnsi="仿宋_GB2312" w:eastAsia="仿宋_GB2312" w:cs="仿宋_GB2312"/>
          <w:sz w:val="32"/>
          <w:szCs w:val="32"/>
          <w:lang w:eastAsia="zh-CN"/>
        </w:rPr>
        <w:t>法律专业人才相对匮乏，基层执法力量配备不充足，法律专业人才较为缺乏，工作人员运用法治思维和法治方式处理日常工作的能力仍不够强，对推进依法行政、加快法治政府建设的重要性认识还需加强。</w:t>
      </w:r>
    </w:p>
    <w:p w14:paraId="677472C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法治思维建设有待加强。</w:t>
      </w:r>
      <w:r>
        <w:rPr>
          <w:rFonts w:hint="eastAsia" w:ascii="仿宋_GB2312" w:hAnsi="仿宋_GB2312" w:eastAsia="仿宋_GB2312" w:cs="仿宋_GB2312"/>
          <w:sz w:val="32"/>
          <w:szCs w:val="32"/>
          <w:lang w:eastAsia="zh-CN"/>
        </w:rPr>
        <w:t>部分干部缺乏学习法律法规的主动性、自觉性，运用法治思维、法治手段解决问题的意识和能力有待提高。</w:t>
      </w:r>
    </w:p>
    <w:p w14:paraId="7A9A0CB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）普法实效有待提升。</w:t>
      </w:r>
      <w:r>
        <w:rPr>
          <w:rFonts w:hint="eastAsia" w:ascii="仿宋_GB2312" w:hAnsi="仿宋_GB2312" w:eastAsia="仿宋_GB2312" w:cs="仿宋_GB2312"/>
          <w:sz w:val="32"/>
          <w:szCs w:val="32"/>
          <w:lang w:eastAsia="zh-CN"/>
        </w:rPr>
        <w:t>普法宣传采用老办法、硬方式较多，部分村普法仍停留在“发资料、挂横幅”层面，互动性、实践性不足，“互联网+普法”形式创新性不足，短视频等新媒体内容针对性不强，对年轻群体吸引力不强。</w:t>
      </w:r>
    </w:p>
    <w:p w14:paraId="08DB6A1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kern w:val="2"/>
          <w:sz w:val="32"/>
          <w:szCs w:val="32"/>
          <w:lang w:val="en-US" w:eastAsia="zh-CN" w:bidi="ar-SA"/>
        </w:rPr>
        <w:t>（四）执法协同仍需加强。</w:t>
      </w:r>
      <w:r>
        <w:rPr>
          <w:rFonts w:hint="eastAsia" w:ascii="仿宋_GB2312" w:hAnsi="仿宋_GB2312" w:eastAsia="仿宋_GB2312" w:cs="仿宋_GB2312"/>
          <w:sz w:val="32"/>
          <w:szCs w:val="32"/>
          <w:lang w:eastAsia="zh-CN"/>
        </w:rPr>
        <w:t>乡、村两级执法联动机制运行不够顺畅，复杂涉农案件协同处置效率不高，部分执法人员对裁量基准掌握不够熟练，相似案件处理一致性有待提升。</w:t>
      </w:r>
    </w:p>
    <w:p w14:paraId="6BF9BD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三、202</w:t>
      </w:r>
      <w:r>
        <w:rPr>
          <w:rFonts w:hint="eastAsia" w:ascii="黑体" w:hAnsi="黑体" w:eastAsia="黑体" w:cs="黑体"/>
          <w:sz w:val="32"/>
          <w:szCs w:val="32"/>
          <w:lang w:val="en-US" w:eastAsia="zh-CN"/>
        </w:rPr>
        <w:t>6</w:t>
      </w:r>
      <w:r>
        <w:rPr>
          <w:rFonts w:hint="eastAsia" w:ascii="黑体" w:hAnsi="黑体" w:eastAsia="黑体" w:cs="黑体"/>
          <w:sz w:val="32"/>
          <w:szCs w:val="32"/>
        </w:rPr>
        <w:t>年度推进法治政府建设的主要安排</w:t>
      </w:r>
    </w:p>
    <w:p w14:paraId="0F0744D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（一）进一步提高法治政府建设意识，做到政府建设法治化。</w:t>
      </w:r>
      <w:r>
        <w:rPr>
          <w:rFonts w:hint="eastAsia" w:ascii="仿宋_GB2312" w:hAnsi="仿宋_GB2312" w:eastAsia="仿宋_GB2312" w:cs="仿宋_GB2312"/>
          <w:sz w:val="32"/>
          <w:szCs w:val="32"/>
        </w:rPr>
        <w:t>深入学习贯彻习近平法治思想，将法治建设摆在政府建设的突出位置，严格落实党政主要负责人履行推进法治建设第一责任人的职责，不断提高领导干部的法律意识和法律素养，进一步提高依法行政水平。同时，坚持以群众法律需求为导向，不断创新活动形式，丰富活动载体，提高普法的针对性、时效性、趣味性和精准性。</w:t>
      </w:r>
    </w:p>
    <w:p w14:paraId="4FFEF69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（二）进一步加强法治宣传教育，维护社会和谐稳定。</w:t>
      </w:r>
      <w:r>
        <w:rPr>
          <w:rFonts w:hint="eastAsia" w:ascii="仿宋_GB2312" w:hAnsi="仿宋_GB2312" w:eastAsia="仿宋_GB2312" w:cs="仿宋_GB2312"/>
          <w:sz w:val="32"/>
          <w:szCs w:val="32"/>
        </w:rPr>
        <w:t>结合实际开展普法宣传活动，及时化解问题，积极创建法治政府。树立民本意识，强化源头治理，坚持依法治访，努力畅通渠道，增强服务效能，为群众提供更加便捷高效的诉求表达平台；坚持和发展新时代“枫桥经验”，继续推进矛盾纠纷多元化解机制，有效整合调解资源，强化调解职能，及时有效化解矛盾纠纷。</w:t>
      </w:r>
    </w:p>
    <w:p w14:paraId="4523A2B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（三）进一步严格规范公正文明执法，提高依法行政水平。</w:t>
      </w:r>
      <w:r>
        <w:rPr>
          <w:rFonts w:hint="eastAsia" w:ascii="仿宋_GB2312" w:hAnsi="仿宋_GB2312" w:eastAsia="仿宋_GB2312" w:cs="仿宋_GB2312"/>
          <w:sz w:val="32"/>
          <w:szCs w:val="32"/>
        </w:rPr>
        <w:t>贯彻落实行政执法“三项制度”，做好行政执法公示相关工作，把好行政执法全过程记录制度质量关，积极开展重大执法决定法制审核。进一步强化法治思维，依法行政，规范执法，持续提升行政执法标准化、规范化、精细化水平。进一步发挥法律顾问作用，健全工作机制和程序，让法律顾问参与到行政决策、行政执行以及行政诉讼等行政工作的全过程中。</w:t>
      </w:r>
    </w:p>
    <w:p w14:paraId="51CD2032">
      <w:pPr>
        <w:keepNext w:val="0"/>
        <w:keepLines w:val="0"/>
        <w:pageBreakBefore w:val="0"/>
        <w:widowControl w:val="0"/>
        <w:kinsoku/>
        <w:wordWrap/>
        <w:overflowPunct/>
        <w:topLinePunct w:val="0"/>
        <w:autoSpaceDE/>
        <w:autoSpaceDN/>
        <w:bidi w:val="0"/>
        <w:adjustRightInd/>
        <w:snapToGrid/>
        <w:spacing w:line="560" w:lineRule="exact"/>
        <w:ind w:left="0" w:leftChars="0" w:firstLine="5120" w:firstLineChars="1600"/>
        <w:textAlignment w:val="auto"/>
        <w:rPr>
          <w:rFonts w:hint="eastAsia" w:ascii="仿宋_GB2312" w:hAnsi="仿宋_GB2312" w:eastAsia="仿宋_GB2312" w:cs="仿宋_GB2312"/>
          <w:sz w:val="32"/>
          <w:szCs w:val="32"/>
          <w:lang w:val="en-US" w:eastAsia="zh-CN"/>
        </w:rPr>
      </w:pPr>
    </w:p>
    <w:p w14:paraId="5D5405F8">
      <w:pPr>
        <w:pStyle w:val="2"/>
        <w:rPr>
          <w:rFonts w:hint="eastAsia" w:ascii="仿宋_GB2312" w:hAnsi="仿宋_GB2312" w:eastAsia="仿宋_GB2312" w:cs="仿宋_GB2312"/>
          <w:sz w:val="32"/>
          <w:szCs w:val="32"/>
          <w:lang w:val="en-US" w:eastAsia="zh-CN"/>
        </w:rPr>
      </w:pPr>
    </w:p>
    <w:p w14:paraId="69CC994A">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2940" w:firstLineChars="1400"/>
        <w:textAlignment w:val="auto"/>
        <w:rPr>
          <w:rFonts w:hint="default"/>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808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D143D">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BD143D">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lY2QyODdlZWNhODIwODU5ZDNiNzg1NTZlMWQyNzcifQ=="/>
  </w:docVars>
  <w:rsids>
    <w:rsidRoot w:val="35C65B95"/>
    <w:rsid w:val="080A32C2"/>
    <w:rsid w:val="30471F21"/>
    <w:rsid w:val="31CF69DC"/>
    <w:rsid w:val="331C074F"/>
    <w:rsid w:val="35C65B95"/>
    <w:rsid w:val="365163AF"/>
    <w:rsid w:val="3A2D06E8"/>
    <w:rsid w:val="3AD11FA1"/>
    <w:rsid w:val="44780111"/>
    <w:rsid w:val="47EC5F8C"/>
    <w:rsid w:val="4B06426C"/>
    <w:rsid w:val="51501312"/>
    <w:rsid w:val="529253F5"/>
    <w:rsid w:val="58290EFA"/>
    <w:rsid w:val="5AFD10E3"/>
    <w:rsid w:val="654A46E3"/>
    <w:rsid w:val="66B73531"/>
    <w:rsid w:val="673D3B23"/>
    <w:rsid w:val="689A52B4"/>
    <w:rsid w:val="6A0333FA"/>
    <w:rsid w:val="6CD44BB0"/>
    <w:rsid w:val="75905670"/>
    <w:rsid w:val="75971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ind w:firstLine="420" w:firstLineChars="200"/>
    </w:pPr>
    <w:rPr>
      <w:rFonts w:ascii="Times New Roman" w:hAnsi="Times New Roman" w:eastAsia="宋体" w:cs="Times New Roman"/>
    </w:rPr>
  </w:style>
  <w:style w:type="paragraph" w:customStyle="1" w:styleId="3">
    <w:name w:val="Body Text Indent1"/>
    <w:basedOn w:val="1"/>
    <w:autoRedefine/>
    <w:qFormat/>
    <w:uiPriority w:val="0"/>
    <w:pPr>
      <w:spacing w:after="120" w:afterLines="0"/>
      <w:ind w:left="420" w:leftChars="200"/>
    </w:pPr>
    <w:rPr>
      <w:rFonts w:ascii="Times New Roman" w:hAnsi="Times New Roman" w:eastAsia="宋体" w:cs="Times New Roman"/>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3062</Words>
  <Characters>3116</Characters>
  <Lines>0</Lines>
  <Paragraphs>0</Paragraphs>
  <TotalTime>212</TotalTime>
  <ScaleCrop>false</ScaleCrop>
  <LinksUpToDate>false</LinksUpToDate>
  <CharactersWithSpaces>3116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2024-01-18T01:59:00Z</dcterms:created>
  <dc:creator>黄桃桃º</dc:creator>
  <cp:lastModifiedBy>马聪</cp:lastModifiedBy>
  <cp:lastPrinted>2025-12-30T03:37:00Z</cp:lastPrinted>
  <dcterms:modified xsi:type="dcterms:W3CDTF">2026-03-26T07:17:36Z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75AE253F71254A86A4011ED70851467A_13</vt:lpwstr>
  </property>
  <property fmtid="{D5CDD505-2E9C-101B-9397-08002B2CF9AE}" pid="4" name="KSOTemplateDocerSaveRecord">
    <vt:lpwstr>eyJoZGlkIjoiMGVlY2QyODdlZWNhODIwODU5ZDNiNzg1NTZlMWQyNzciLCJ1c2VySWQiOiIxNzAzNjkyNDYyIn0=</vt:lpwstr>
  </property>
</Properties>
</file>