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8962">
      <w:pPr>
        <w:pStyle w:val="11"/>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500" w:lineRule="exact"/>
        <w:jc w:val="center"/>
        <w:textAlignment w:val="auto"/>
        <w:rPr>
          <w:rFonts w:hint="eastAsia"/>
          <w:lang w:eastAsia="zh-CN"/>
        </w:rPr>
      </w:pPr>
      <w:r>
        <w:rPr>
          <w:rFonts w:hint="eastAsia" w:ascii="方正小标宋简体" w:hAnsi="方正小标宋简体" w:eastAsia="方正小标宋简体" w:cs="方正小标宋简体"/>
          <w:color w:val="auto"/>
          <w:sz w:val="44"/>
          <w:szCs w:val="44"/>
          <w:lang w:val="en-US" w:eastAsia="zh-CN"/>
        </w:rPr>
        <w:t>2025年度黄渠桥镇法治政府建设年度报告</w:t>
      </w:r>
    </w:p>
    <w:p w14:paraId="60D57C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s="Times New Roman"/>
          <w:spacing w:val="-8"/>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eastAsia="仿宋_GB2312"/>
          <w:spacing w:val="-8"/>
          <w:sz w:val="32"/>
          <w:szCs w:val="32"/>
        </w:rPr>
        <w:t>黄渠桥镇</w:t>
      </w:r>
      <w:r>
        <w:rPr>
          <w:rFonts w:hint="eastAsia" w:ascii="仿宋_GB2312" w:hAnsi="仿宋_GB2312" w:eastAsia="仿宋_GB2312" w:cs="仿宋_GB2312"/>
          <w:color w:val="auto"/>
          <w:sz w:val="32"/>
          <w:szCs w:val="32"/>
          <w:lang w:val="en-US" w:eastAsia="zh-CN"/>
        </w:rPr>
        <w:t>在县委、县政府正确领导下，坚持</w:t>
      </w:r>
      <w:r>
        <w:rPr>
          <w:rFonts w:hint="eastAsia" w:ascii="仿宋_GB2312" w:eastAsia="仿宋_GB2312"/>
          <w:spacing w:val="-8"/>
          <w:sz w:val="32"/>
          <w:szCs w:val="32"/>
        </w:rPr>
        <w:t>以习近平</w:t>
      </w:r>
      <w:r>
        <w:rPr>
          <w:rFonts w:hint="eastAsia" w:ascii="仿宋_GB2312" w:eastAsia="仿宋_GB2312" w:cs="Times New Roman"/>
          <w:spacing w:val="-8"/>
          <w:sz w:val="32"/>
          <w:szCs w:val="32"/>
        </w:rPr>
        <w:t>新时代中国特色社会主义思想为指导，</w:t>
      </w:r>
      <w:r>
        <w:rPr>
          <w:rFonts w:hint="eastAsia" w:ascii="仿宋_GB2312" w:eastAsia="仿宋_GB2312" w:cs="Times New Roman"/>
          <w:spacing w:val="-8"/>
          <w:sz w:val="32"/>
          <w:szCs w:val="32"/>
          <w:lang w:val="en-US" w:eastAsia="zh-CN"/>
        </w:rPr>
        <w:t>全面贯彻</w:t>
      </w:r>
      <w:r>
        <w:rPr>
          <w:rFonts w:hint="eastAsia" w:ascii="仿宋_GB2312" w:eastAsia="仿宋_GB2312" w:cs="Times New Roman"/>
          <w:spacing w:val="-8"/>
          <w:sz w:val="32"/>
          <w:szCs w:val="32"/>
        </w:rPr>
        <w:t>党的二十大</w:t>
      </w:r>
      <w:r>
        <w:rPr>
          <w:rFonts w:hint="eastAsia" w:ascii="仿宋_GB2312" w:eastAsia="仿宋_GB2312" w:cs="Times New Roman"/>
          <w:spacing w:val="-8"/>
          <w:sz w:val="32"/>
          <w:szCs w:val="32"/>
          <w:lang w:eastAsia="zh-CN"/>
        </w:rPr>
        <w:t>和二十届历次全会精神</w:t>
      </w:r>
      <w:r>
        <w:rPr>
          <w:rFonts w:hint="eastAsia" w:ascii="仿宋_GB2312" w:eastAsia="仿宋_GB2312" w:cs="Times New Roman"/>
          <w:spacing w:val="-8"/>
          <w:sz w:val="32"/>
          <w:szCs w:val="32"/>
        </w:rPr>
        <w:t>，深入</w:t>
      </w:r>
      <w:r>
        <w:rPr>
          <w:rFonts w:hint="eastAsia" w:ascii="仿宋_GB2312" w:eastAsia="仿宋_GB2312" w:cs="Times New Roman"/>
          <w:spacing w:val="-8"/>
          <w:sz w:val="32"/>
          <w:szCs w:val="32"/>
          <w:lang w:val="en-US" w:eastAsia="zh-CN"/>
        </w:rPr>
        <w:t>学习</w:t>
      </w:r>
      <w:r>
        <w:rPr>
          <w:rFonts w:hint="eastAsia" w:ascii="仿宋_GB2312" w:eastAsia="仿宋_GB2312" w:cs="Times New Roman"/>
          <w:spacing w:val="-8"/>
          <w:sz w:val="32"/>
          <w:szCs w:val="32"/>
        </w:rPr>
        <w:t>贯彻习近平法治思想</w:t>
      </w:r>
      <w:r>
        <w:rPr>
          <w:rFonts w:hint="eastAsia" w:ascii="仿宋_GB2312" w:eastAsia="仿宋_GB2312" w:cs="Times New Roman"/>
          <w:spacing w:val="-8"/>
          <w:sz w:val="32"/>
          <w:szCs w:val="32"/>
          <w:lang w:eastAsia="zh-CN"/>
        </w:rPr>
        <w:t>，</w:t>
      </w:r>
      <w:r>
        <w:rPr>
          <w:rFonts w:hint="eastAsia" w:ascii="仿宋_GB2312" w:hAnsi="仿宋_GB2312" w:eastAsia="仿宋_GB2312" w:cs="仿宋_GB2312"/>
          <w:color w:val="auto"/>
          <w:sz w:val="32"/>
          <w:szCs w:val="32"/>
        </w:rPr>
        <w:t>紧紧围绕法治政府建设各项</w:t>
      </w:r>
      <w:r>
        <w:rPr>
          <w:rFonts w:hint="eastAsia" w:ascii="仿宋_GB2312" w:hAnsi="仿宋_GB2312" w:eastAsia="仿宋_GB2312" w:cs="仿宋_GB2312"/>
          <w:color w:val="auto"/>
          <w:sz w:val="32"/>
          <w:szCs w:val="32"/>
          <w:lang w:eastAsia="zh-CN"/>
        </w:rPr>
        <w:t>工作任务</w:t>
      </w:r>
      <w:r>
        <w:rPr>
          <w:rFonts w:hint="eastAsia" w:ascii="仿宋_GB2312" w:hAnsi="仿宋_GB2312" w:eastAsia="仿宋_GB2312" w:cs="仿宋_GB2312"/>
          <w:color w:val="auto"/>
          <w:sz w:val="32"/>
          <w:szCs w:val="32"/>
        </w:rPr>
        <w:t>，</w:t>
      </w:r>
      <w:r>
        <w:rPr>
          <w:rFonts w:hint="eastAsia" w:ascii="仿宋_GB2312" w:eastAsia="仿宋_GB2312" w:cs="Times New Roman"/>
          <w:spacing w:val="-8"/>
          <w:sz w:val="32"/>
          <w:szCs w:val="32"/>
          <w:lang w:val="en-US" w:eastAsia="zh-CN"/>
        </w:rPr>
        <w:t>依法全面履行政府职能</w:t>
      </w:r>
      <w:r>
        <w:rPr>
          <w:rFonts w:hint="eastAsia" w:ascii="仿宋_GB2312" w:eastAsia="仿宋_GB2312" w:cs="Times New Roman"/>
          <w:spacing w:val="-8"/>
          <w:sz w:val="32"/>
          <w:szCs w:val="32"/>
        </w:rPr>
        <w:t>，</w:t>
      </w:r>
      <w:r>
        <w:rPr>
          <w:rFonts w:hint="eastAsia" w:ascii="仿宋_GB2312" w:eastAsia="仿宋_GB2312" w:cs="Times New Roman"/>
          <w:spacing w:val="-8"/>
          <w:sz w:val="32"/>
          <w:szCs w:val="32"/>
          <w:lang w:val="en-US" w:eastAsia="zh-CN"/>
        </w:rPr>
        <w:t>扎实</w:t>
      </w:r>
      <w:r>
        <w:rPr>
          <w:rFonts w:hint="eastAsia" w:ascii="仿宋_GB2312" w:eastAsia="仿宋_GB2312" w:cs="Times New Roman"/>
          <w:spacing w:val="-8"/>
          <w:sz w:val="32"/>
          <w:szCs w:val="32"/>
        </w:rPr>
        <w:t>推进法治建设工作有序开展。现将</w:t>
      </w:r>
      <w:r>
        <w:rPr>
          <w:rFonts w:hint="eastAsia" w:ascii="仿宋_GB2312" w:eastAsia="仿宋_GB2312" w:cs="Times New Roman"/>
          <w:spacing w:val="-8"/>
          <w:sz w:val="32"/>
          <w:szCs w:val="32"/>
          <w:lang w:eastAsia="zh-CN"/>
        </w:rPr>
        <w:t>全镇202</w:t>
      </w:r>
      <w:r>
        <w:rPr>
          <w:rFonts w:hint="eastAsia" w:ascii="仿宋_GB2312" w:eastAsia="仿宋_GB2312" w:cs="Times New Roman"/>
          <w:spacing w:val="-8"/>
          <w:sz w:val="32"/>
          <w:szCs w:val="32"/>
          <w:lang w:val="en-US" w:eastAsia="zh-CN"/>
        </w:rPr>
        <w:t>5</w:t>
      </w:r>
      <w:r>
        <w:rPr>
          <w:rFonts w:hint="eastAsia" w:ascii="仿宋_GB2312" w:eastAsia="仿宋_GB2312" w:cs="Times New Roman"/>
          <w:spacing w:val="-8"/>
          <w:sz w:val="32"/>
          <w:szCs w:val="32"/>
        </w:rPr>
        <w:t>年度法治政府建设情况</w:t>
      </w:r>
      <w:r>
        <w:rPr>
          <w:rFonts w:hint="eastAsia" w:ascii="仿宋_GB2312" w:eastAsia="仿宋_GB2312" w:cs="Times New Roman"/>
          <w:spacing w:val="-8"/>
          <w:sz w:val="32"/>
          <w:szCs w:val="32"/>
          <w:lang w:val="en-US" w:eastAsia="zh-CN"/>
        </w:rPr>
        <w:t>报告</w:t>
      </w:r>
      <w:r>
        <w:rPr>
          <w:rFonts w:hint="eastAsia" w:ascii="仿宋_GB2312" w:eastAsia="仿宋_GB2312" w:cs="Times New Roman"/>
          <w:spacing w:val="-8"/>
          <w:sz w:val="32"/>
          <w:szCs w:val="32"/>
        </w:rPr>
        <w:t>如下：</w:t>
      </w:r>
    </w:p>
    <w:p w14:paraId="16FF4342">
      <w:pPr>
        <w:pStyle w:val="11"/>
        <w:keepNext w:val="0"/>
        <w:keepLines w:val="0"/>
        <w:pageBreakBefore w:val="0"/>
        <w:kinsoku/>
        <w:wordWrap/>
        <w:overflowPunct/>
        <w:topLinePunct w:val="0"/>
        <w:bidi w:val="0"/>
        <w:snapToGrid/>
        <w:spacing w:line="550" w:lineRule="exact"/>
        <w:ind w:firstLine="640" w:firstLineChars="200"/>
        <w:rPr>
          <w:rFonts w:hint="eastAsia"/>
        </w:rPr>
      </w:pPr>
      <w:r>
        <w:rPr>
          <w:rFonts w:hint="eastAsia" w:ascii="黑体" w:hAnsi="黑体" w:eastAsia="黑体" w:cs="黑体"/>
          <w:color w:val="auto"/>
          <w:sz w:val="32"/>
          <w:szCs w:val="32"/>
          <w:lang w:val="en-US" w:eastAsia="zh-CN"/>
        </w:rPr>
        <w:t>一、2025年度法治政府建设主要工作举措及成效</w:t>
      </w:r>
    </w:p>
    <w:p w14:paraId="536B23CE">
      <w:pPr>
        <w:pStyle w:val="1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（一）加强党的领导，统筹协调推进法治政府建设。</w:t>
      </w:r>
      <w:r>
        <w:rPr>
          <w:rFonts w:hint="eastAsia" w:ascii="仿宋_GB2312" w:hAnsi="Calibri" w:eastAsia="仿宋_GB2312" w:cs="Times New Roman"/>
          <w:b/>
          <w:bCs/>
          <w:spacing w:val="-8"/>
          <w:kern w:val="2"/>
          <w:sz w:val="32"/>
          <w:szCs w:val="32"/>
          <w:lang w:val="en-US" w:eastAsia="zh-CN" w:bidi="ar-SA"/>
        </w:rPr>
        <w:t>一是</w:t>
      </w:r>
      <w:r>
        <w:rPr>
          <w:rFonts w:hint="eastAsia" w:ascii="仿宋_GB2312" w:hAnsi="Calibri" w:eastAsia="仿宋_GB2312" w:cs="Times New Roman"/>
          <w:spacing w:val="-8"/>
          <w:kern w:val="2"/>
          <w:sz w:val="32"/>
          <w:szCs w:val="32"/>
          <w:lang w:val="en-US" w:eastAsia="zh-CN" w:bidi="ar-SA"/>
        </w:rPr>
        <w:t>深入学习宣传贯彻习近平法治思想。强化理论武装，始终将学习贯彻习近平法治思想作为一项重大政治任务，通过镇党委会议、理论学习中心组、专题讲座等会议开展学习，将习近平法治思想贯彻落实到法治政府建设全领域、各环节。严格落实会前学法制度，将习近平法治思想、《习近平法治思想学习纲要》《习近平谈治国理政》以及《中华人民共和国宪法》《中华人民共和国民法典》等法律法规列入党委会、理论学习中心组、干部例会，</w:t>
      </w:r>
      <w:r>
        <w:rPr>
          <w:rFonts w:hint="default" w:ascii="仿宋_GB2312" w:hAnsi="仿宋_GB2312" w:eastAsia="仿宋_GB2312" w:cs="仿宋_GB2312"/>
          <w:color w:val="auto"/>
          <w:kern w:val="2"/>
          <w:sz w:val="32"/>
          <w:szCs w:val="32"/>
          <w:lang w:val="en-US" w:eastAsia="zh-CN" w:bidi="ar-SA"/>
        </w:rPr>
        <w:t>提高干部对依法行政重要性的认识，增强法治观念和依法行政意识。</w:t>
      </w:r>
      <w:r>
        <w:rPr>
          <w:rFonts w:hint="eastAsia" w:ascii="仿宋_GB2312" w:hAnsi="Calibri" w:eastAsia="仿宋_GB2312" w:cs="Times New Roman"/>
          <w:spacing w:val="-8"/>
          <w:kern w:val="2"/>
          <w:sz w:val="32"/>
          <w:szCs w:val="32"/>
          <w:lang w:val="en-US" w:eastAsia="zh-CN" w:bidi="ar-SA"/>
        </w:rPr>
        <w:t>今年以来，开展会前学法</w:t>
      </w:r>
      <w:r>
        <w:rPr>
          <w:rFonts w:hint="eastAsia" w:ascii="仿宋_GB2312" w:hAnsi="Calibri" w:eastAsia="仿宋_GB2312" w:cs="Times New Roman"/>
          <w:color w:val="auto"/>
          <w:spacing w:val="-8"/>
          <w:kern w:val="2"/>
          <w:sz w:val="32"/>
          <w:szCs w:val="32"/>
          <w:lang w:val="en-US" w:eastAsia="zh-CN" w:bidi="ar-SA"/>
        </w:rPr>
        <w:t>和</w:t>
      </w:r>
      <w:r>
        <w:rPr>
          <w:rFonts w:hint="eastAsia" w:ascii="仿宋_GB2312" w:hAnsi="Calibri" w:eastAsia="仿宋_GB2312" w:cs="Times New Roman"/>
          <w:spacing w:val="-8"/>
          <w:kern w:val="2"/>
          <w:sz w:val="32"/>
          <w:szCs w:val="32"/>
          <w:lang w:val="en-US" w:eastAsia="zh-CN" w:bidi="ar-SA"/>
        </w:rPr>
        <w:t>各类学习会议</w:t>
      </w:r>
      <w:r>
        <w:rPr>
          <w:rFonts w:hint="eastAsia" w:ascii="仿宋_GB2312" w:eastAsia="仿宋_GB2312" w:cs="Times New Roman"/>
          <w:color w:val="auto"/>
          <w:spacing w:val="-8"/>
          <w:kern w:val="2"/>
          <w:sz w:val="32"/>
          <w:szCs w:val="32"/>
          <w:lang w:val="en-US" w:eastAsia="zh-CN" w:bidi="ar-SA"/>
        </w:rPr>
        <w:t>20</w:t>
      </w:r>
      <w:r>
        <w:rPr>
          <w:rFonts w:hint="eastAsia" w:ascii="仿宋_GB2312" w:hAnsi="Calibri" w:eastAsia="仿宋_GB2312" w:cs="Times New Roman"/>
          <w:color w:val="auto"/>
          <w:spacing w:val="-8"/>
          <w:kern w:val="2"/>
          <w:sz w:val="32"/>
          <w:szCs w:val="32"/>
          <w:lang w:val="en-US" w:eastAsia="zh-CN" w:bidi="ar-SA"/>
        </w:rPr>
        <w:t>场次</w:t>
      </w:r>
      <w:r>
        <w:rPr>
          <w:rFonts w:hint="eastAsia" w:ascii="仿宋_GB2312" w:hAnsi="Calibri" w:eastAsia="仿宋_GB2312" w:cs="Times New Roman"/>
          <w:spacing w:val="-8"/>
          <w:kern w:val="2"/>
          <w:sz w:val="32"/>
          <w:szCs w:val="32"/>
          <w:lang w:val="en-US" w:eastAsia="zh-CN" w:bidi="ar-SA"/>
        </w:rPr>
        <w:t>。</w:t>
      </w:r>
      <w:r>
        <w:rPr>
          <w:rFonts w:hint="eastAsia" w:ascii="仿宋_GB2312" w:eastAsia="仿宋_GB2312" w:cs="Times New Roman"/>
          <w:b/>
          <w:bCs/>
          <w:spacing w:val="-8"/>
          <w:kern w:val="2"/>
          <w:sz w:val="32"/>
          <w:szCs w:val="32"/>
          <w:lang w:val="en-US" w:eastAsia="zh-CN" w:bidi="ar-SA"/>
        </w:rPr>
        <w:t>二是</w:t>
      </w:r>
      <w:r>
        <w:rPr>
          <w:rFonts w:hint="eastAsia" w:ascii="仿宋_GB2312" w:hAnsi="Calibri" w:eastAsia="仿宋_GB2312" w:cs="Times New Roman"/>
          <w:spacing w:val="-8"/>
          <w:kern w:val="2"/>
          <w:sz w:val="32"/>
          <w:szCs w:val="32"/>
          <w:lang w:val="en-US" w:eastAsia="zh-CN" w:bidi="ar-SA"/>
        </w:rPr>
        <w:t>切实履行法治建设第一责任人职责。压实党政主要负责人履行</w:t>
      </w:r>
      <w:r>
        <w:rPr>
          <w:rFonts w:hint="eastAsia" w:ascii="仿宋_GB2312" w:hAnsi="仿宋_GB2312" w:eastAsia="仿宋_GB2312" w:cs="仿宋_GB2312"/>
          <w:color w:val="auto"/>
          <w:sz w:val="32"/>
          <w:szCs w:val="32"/>
          <w:lang w:val="en-US" w:eastAsia="zh-CN"/>
        </w:rPr>
        <w:t>法治建设第一责任人职责的力度。严格落实领导干部学法用法、年终述法，将镇领导班子成员法治学习情况和依法履职情况等列入年终述职内容。</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加强法治政府建设。镇党委、政府主要负责同志带头学法守法用法，确保法治建设工作与全镇经济社会发展统筹兼顾。定期组织领导干部开展法律知识讲座、专业知识培训等。加强基层法治建设考核。将法治建设工作重点内容列入考核指标，对全镇15个村（居）的法治建设工作进行考核，推动法治建设工作落到实处。</w:t>
      </w:r>
    </w:p>
    <w:p w14:paraId="269E1CC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sz w:val="32"/>
          <w:szCs w:val="32"/>
          <w:lang w:val="en-US" w:eastAsia="zh-CN"/>
        </w:rPr>
        <w:t>（二）坚持依法行政，持续提升科学民主依法决策水平。</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认真贯彻落实重大行政决策程序，对涉及群众重大利益的重大项目必须通过党委会集体讨论，并组织专业机构进行环境、社会效益等风险评估后实施。2025年黄渠桥镇无重大行政决策事项。</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val="en-US" w:eastAsia="zh-CN"/>
        </w:rPr>
        <w:t>加强规范性文件管理。黄渠桥镇始终坚持发文先审核，制发规范性文件必备案审查，把好文件出口关。2025年黄渠桥镇未制发规范性文件。</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落实政府法律顾问制度，聘请大潮人律师事务所马丽荣律师担任政府法律顾问，对全镇重大执法决定和重大决策、工程合同等方面进行法治审核，有效降低决策风险。</w:t>
      </w:r>
    </w:p>
    <w:p w14:paraId="6DBDE767">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（三）提升执法水平，推进严格规范公正文明执法。</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严格落实行政执法“三项制度”，规范开展行政执法活动。</w:t>
      </w:r>
      <w:r>
        <w:rPr>
          <w:rFonts w:hint="eastAsia" w:ascii="仿宋_GB2312" w:hAnsi="仿宋_GB2312" w:eastAsia="仿宋_GB2312" w:cs="仿宋_GB2312"/>
          <w:color w:val="auto"/>
          <w:sz w:val="32"/>
          <w:szCs w:val="32"/>
          <w:lang w:eastAsia="zh-CN"/>
        </w:rPr>
        <w:t>落实行政执法公示制度，在政府网站及时公开黄渠桥镇</w:t>
      </w:r>
      <w:r>
        <w:rPr>
          <w:rFonts w:hint="eastAsia" w:ascii="仿宋_GB2312" w:hAnsi="仿宋_GB2312" w:eastAsia="仿宋_GB2312" w:cs="仿宋_GB2312"/>
          <w:color w:val="auto"/>
          <w:sz w:val="32"/>
          <w:szCs w:val="32"/>
          <w:lang w:val="en-US" w:eastAsia="zh-CN"/>
        </w:rPr>
        <w:t>行政执法事项清单，</w:t>
      </w:r>
      <w:r>
        <w:rPr>
          <w:rFonts w:hint="eastAsia" w:ascii="仿宋_GB2312" w:hAnsi="仿宋_GB2312" w:eastAsia="仿宋_GB2312" w:cs="仿宋_GB2312"/>
          <w:color w:val="auto"/>
          <w:sz w:val="32"/>
          <w:szCs w:val="32"/>
          <w:lang w:eastAsia="zh-CN"/>
        </w:rPr>
        <w:t>要求行政执法人员在执法过程中亮明身份，持证执法，接受群众监督，</w:t>
      </w:r>
      <w:r>
        <w:rPr>
          <w:rFonts w:hint="eastAsia" w:ascii="仿宋_GB2312" w:hAnsi="仿宋_GB2312" w:eastAsia="仿宋_GB2312" w:cs="仿宋_GB2312"/>
          <w:color w:val="auto"/>
          <w:sz w:val="32"/>
          <w:szCs w:val="32"/>
          <w:lang w:val="en-US" w:eastAsia="zh-CN"/>
        </w:rPr>
        <w:t>严格履行</w:t>
      </w:r>
      <w:r>
        <w:rPr>
          <w:rFonts w:hint="eastAsia" w:ascii="仿宋_GB2312" w:hAnsi="仿宋_GB2312" w:eastAsia="仿宋_GB2312" w:cs="仿宋_GB2312"/>
          <w:color w:val="auto"/>
          <w:sz w:val="32"/>
          <w:szCs w:val="32"/>
          <w:lang w:eastAsia="zh-CN"/>
        </w:rPr>
        <w:t>执法程序、调查取证、审查决定、送达执行、归档管理等行政执法整个过程进行全程记录，严格规范执法程序，严格落实行政执法全过程记录制度，确保每件行政执法案件执法全过程合法合规；</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lang w:val="en-US" w:eastAsia="zh-CN"/>
        </w:rPr>
        <w:t>严格执法人员管理。按要求及时开展执法证件申领、审验和换发工作，全镇4名在编在岗干部成功领取行政执法证，</w:t>
      </w:r>
      <w:r>
        <w:rPr>
          <w:rFonts w:hint="default" w:ascii="仿宋_GB2312" w:hAnsi="仿宋_GB2312" w:eastAsia="仿宋_GB2312" w:cs="仿宋_GB2312"/>
          <w:color w:val="auto"/>
          <w:sz w:val="32"/>
          <w:szCs w:val="32"/>
          <w:lang w:val="en-US" w:eastAsia="zh-CN"/>
        </w:rPr>
        <w:t>确保执法人员持证上岗。</w:t>
      </w:r>
    </w:p>
    <w:p w14:paraId="75EB5ED9">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highlight w:val="none"/>
          <w:lang w:val="en-US" w:eastAsia="zh-CN"/>
        </w:rPr>
        <w:t>（四）强化法治理念，依法有效化解社会矛盾纠纷。</w:t>
      </w:r>
      <w:r>
        <w:rPr>
          <w:rFonts w:hint="eastAsia" w:ascii="仿宋_GB2312" w:hAnsi="仿宋_GB2312" w:eastAsia="仿宋_GB2312" w:cs="仿宋_GB2312"/>
          <w:b/>
          <w:bCs/>
          <w:color w:val="000000"/>
          <w:sz w:val="32"/>
          <w:szCs w:val="32"/>
          <w:u w:val="none"/>
          <w:lang w:val="en-US" w:eastAsia="zh-CN"/>
        </w:rPr>
        <w:t>一是</w:t>
      </w:r>
      <w:r>
        <w:rPr>
          <w:rFonts w:hint="eastAsia" w:ascii="仿宋_GB2312" w:hAnsi="仿宋_GB2312" w:eastAsia="仿宋_GB2312" w:cs="仿宋_GB2312"/>
          <w:color w:val="000000"/>
          <w:sz w:val="32"/>
          <w:szCs w:val="32"/>
          <w:u w:val="none"/>
          <w:lang w:val="en-US" w:eastAsia="zh-CN"/>
        </w:rPr>
        <w:t>搭建矛盾化解“连心桥”，严格落实“塞上枫桥”基层法治工作机制，坚持矛盾纠纷排查预警“日清日结”、调处化解“日清周结”，全年累计排查矛盾纠纷191起，成功化解191起，化解率100%；</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筑牢风险防控“安全线”，密切关注162名精神障碍患者、70名刑满释放人员、51名吸毒人员等重点人员，对精神障碍患者建立档案台账并购买了第三方责任险，核查吸毒人员基本信息，开展禁毒宣传活动32次，发放各类宣传资料2.2万份，严防人员失控漏管。</w:t>
      </w:r>
      <w:r>
        <w:rPr>
          <w:rFonts w:hint="eastAsia" w:ascii="仿宋_GB2312" w:hAnsi="仿宋_GB2312" w:eastAsia="仿宋_GB2312" w:cs="仿宋_GB2312"/>
          <w:b/>
          <w:bCs/>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结合编组轮值工作，创新成立“和事佬”工作室，通过“法理+情理”的立体调解模式，将其一同整合到人民武装部、司法所、戒毒康复中心、法庭、退役军人等17名精干力量中，组建4个专项工作组，共化解矛盾177起，让矛盾化解更高效、更有温度。</w:t>
      </w:r>
      <w:r>
        <w:rPr>
          <w:rFonts w:hint="eastAsia" w:ascii="仿宋_GB2312" w:hAnsi="仿宋_GB2312" w:eastAsia="仿宋_GB2312" w:cs="仿宋_GB2312"/>
          <w:b/>
          <w:bCs/>
          <w:color w:val="000000"/>
          <w:sz w:val="32"/>
          <w:szCs w:val="32"/>
          <w:u w:val="none"/>
          <w:lang w:val="en-US" w:eastAsia="zh-CN"/>
        </w:rPr>
        <w:t>四是</w:t>
      </w:r>
      <w:r>
        <w:rPr>
          <w:rFonts w:hint="eastAsia" w:ascii="仿宋_GB2312" w:hAnsi="仿宋_GB2312" w:eastAsia="仿宋_GB2312" w:cs="仿宋_GB2312"/>
          <w:color w:val="000000"/>
          <w:sz w:val="32"/>
          <w:szCs w:val="32"/>
          <w:u w:val="none"/>
          <w:lang w:val="en-US" w:eastAsia="zh-CN"/>
        </w:rPr>
        <w:t>建强“治保”组织，指导各村（居）广泛吸纳各界有威望、有能力的优秀人员，成立“治保委员会”15个成员126人，治保小组115个成员310人，充分发挥治保委、治保小组“千里眼”“顺风耳”作用，为基层社会治理提供“风向标”，全面筑牢基层“战斗堡垒”。</w:t>
      </w:r>
      <w:r>
        <w:rPr>
          <w:rFonts w:hint="eastAsia" w:ascii="仿宋_GB2312" w:hAnsi="仿宋_GB2312" w:eastAsia="仿宋_GB2312" w:cs="仿宋_GB2312"/>
          <w:b/>
          <w:bCs/>
          <w:color w:val="000000"/>
          <w:sz w:val="32"/>
          <w:szCs w:val="32"/>
          <w:u w:val="none"/>
          <w:lang w:val="en-US" w:eastAsia="zh-CN"/>
        </w:rPr>
        <w:t>五</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严格依法履行出庭应诉职责，履行党政主要负责人出庭应诉制度。今年以来，共发生以镇政府为被告行政诉讼案件1件，出庭应诉率100%。</w:t>
      </w:r>
    </w:p>
    <w:p w14:paraId="697E44E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outlineLvl w:val="9"/>
        <w:rPr>
          <w:rFonts w:hint="eastAsia"/>
          <w:color w:val="000000" w:themeColor="text1"/>
          <w:lang w:val="en-US" w:eastAsia="zh-CN"/>
          <w14:textFill>
            <w14:solidFill>
              <w14:schemeClr w14:val="tx1"/>
            </w14:solidFill>
          </w14:textFill>
        </w:rPr>
      </w:pPr>
      <w:r>
        <w:rPr>
          <w:rFonts w:hint="eastAsia" w:ascii="楷体" w:hAnsi="楷体" w:eastAsia="楷体" w:cs="楷体"/>
          <w:b/>
          <w:bCs/>
          <w:color w:val="auto"/>
          <w:sz w:val="32"/>
          <w:szCs w:val="32"/>
          <w:lang w:val="en-US" w:eastAsia="zh-CN"/>
        </w:rPr>
        <w:t>（五）积极履职担当，深入推动政府职能转变优化。</w:t>
      </w:r>
      <w:r>
        <w:rPr>
          <w:rFonts w:hint="eastAsia" w:ascii="仿宋_GB2312" w:hAnsi="仿宋_GB2312" w:eastAsia="仿宋_GB2312" w:cs="仿宋_GB2312"/>
          <w:sz w:val="32"/>
          <w:szCs w:val="32"/>
          <w:lang w:val="en-US" w:eastAsia="zh-CN"/>
        </w:rPr>
        <w:t>全面履行政府职能，持续推进“放管服”改革，强化“全科窗口”服务，推动“一网通办”，构建镇村两级政务服务体系，推动“网上办、掌上办、就近办、一次性办”常态化，构建方便快捷、公平普惠、优质高效的政务服务体系，全年累计办理各类政务服务事项2758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持续做好政务公开。黄渠桥镇2025年政府网站公开政府信息110</w:t>
      </w:r>
      <w:r>
        <w:rPr>
          <w:rFonts w:hint="eastAsia" w:ascii="仿宋_GB2312" w:eastAsia="仿宋_GB2312" w:cs="仿宋_GB2312"/>
          <w:color w:val="000000" w:themeColor="text1"/>
          <w:sz w:val="32"/>
          <w:szCs w:val="31"/>
          <w:lang w:val="en-US" w:eastAsia="zh-CN"/>
          <w14:textFill>
            <w14:solidFill>
              <w14:schemeClr w14:val="tx1"/>
            </w14:solidFill>
          </w14:textFill>
        </w:rPr>
        <w:t>条、编辑上报信息简报114篇、回复议政网网帖6条、“12345”政务服务热线平台回复办理204条。</w:t>
      </w:r>
    </w:p>
    <w:p w14:paraId="0A7BC9AE">
      <w:pPr>
        <w:pStyle w:val="3"/>
        <w:keepNext w:val="0"/>
        <w:keepLines w:val="0"/>
        <w:pageBreakBefore w:val="0"/>
        <w:widowControl w:val="0"/>
        <w:kinsoku/>
        <w:wordWrap/>
        <w:overflowPunct/>
        <w:topLinePunct w:val="0"/>
        <w:autoSpaceDE/>
        <w:autoSpaceDN/>
        <w:bidi w:val="0"/>
        <w:adjustRightInd/>
        <w:snapToGrid/>
        <w:spacing w:line="550" w:lineRule="exact"/>
        <w:rPr>
          <w:rFonts w:hint="default" w:ascii="仿宋_GB2312" w:hAnsi="仿宋_GB2312" w:eastAsia="仿宋_GB2312" w:cs="仿宋_GB2312"/>
          <w:color w:val="000000"/>
          <w:kern w:val="2"/>
          <w:sz w:val="32"/>
          <w:szCs w:val="28"/>
          <w:lang w:val="en-US" w:eastAsia="zh-CN" w:bidi="ar-SA"/>
        </w:rPr>
      </w:pPr>
      <w:r>
        <w:rPr>
          <w:rFonts w:hint="eastAsia" w:ascii="楷体" w:hAnsi="楷体" w:eastAsia="楷体" w:cs="楷体"/>
          <w:b/>
          <w:bCs/>
          <w:color w:val="auto"/>
          <w:sz w:val="32"/>
          <w:szCs w:val="32"/>
          <w:lang w:val="en-US" w:eastAsia="zh-CN"/>
        </w:rPr>
        <w:t>（六）深入推进法治宣传教育。</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全力推进全民普法工作。持续</w:t>
      </w:r>
      <w:r>
        <w:rPr>
          <w:rFonts w:hint="eastAsia" w:ascii="仿宋_GB2312" w:hAnsi="仿宋_GB2312" w:eastAsia="仿宋_GB2312" w:cs="仿宋_GB2312"/>
          <w:kern w:val="2"/>
          <w:sz w:val="32"/>
          <w:szCs w:val="32"/>
          <w:lang w:eastAsia="zh-CN"/>
        </w:rPr>
        <w:t>落实“谁执法谁普法”普法责任制，</w:t>
      </w:r>
      <w:r>
        <w:rPr>
          <w:rFonts w:hint="eastAsia" w:ascii="仿宋_GB2312" w:hAnsi="仿宋_GB2312" w:eastAsia="仿宋_GB2312" w:cs="仿宋_GB2312"/>
          <w:kern w:val="2"/>
          <w:sz w:val="32"/>
          <w:szCs w:val="32"/>
          <w:lang w:val="en-US" w:eastAsia="zh-CN"/>
        </w:rPr>
        <w:t>借助节日、集市、重大活动等场所加强普法宣传，</w:t>
      </w:r>
      <w:r>
        <w:rPr>
          <w:rFonts w:hint="eastAsia" w:ascii="仿宋_GB2312" w:hAnsi="仿宋_GB2312" w:eastAsia="仿宋_GB2312" w:cs="仿宋_GB2312"/>
          <w:kern w:val="2"/>
          <w:sz w:val="32"/>
          <w:szCs w:val="32"/>
          <w:lang w:eastAsia="zh-CN"/>
        </w:rPr>
        <w:t>确保法治宣传教育工作取得实效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深入实施“法律明白人”培养工程，在全镇培育法律明白人195人，法律明白人骨干45人。</w:t>
      </w:r>
      <w:r>
        <w:rPr>
          <w:rFonts w:hint="eastAsia" w:ascii="仿宋_GB2312" w:hAnsi="仿宋_GB2312" w:eastAsia="仿宋_GB2312" w:cs="仿宋_GB2312"/>
          <w:sz w:val="32"/>
          <w:szCs w:val="32"/>
          <w:lang w:val="en-US" w:eastAsia="zh-CN"/>
        </w:rPr>
        <w:t>依托黄渠桥红色教育基地，开展“法律明白人”法律知识培训1场次</w:t>
      </w:r>
      <w:r>
        <w:rPr>
          <w:rFonts w:hint="eastAsia" w:ascii="仿宋_GB2312" w:hAnsi="仿宋_GB2312" w:eastAsia="仿宋_GB2312" w:cs="仿宋_GB2312"/>
          <w:b w:val="0"/>
          <w:bCs w:val="0"/>
          <w:color w:val="000000"/>
          <w:sz w:val="32"/>
          <w:szCs w:val="28"/>
          <w:lang w:val="en-US"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依法加强未成年人权益保护，在黄渠桥中心学校开展民法典宣传2次、宪法宣传2次，开展预防网络电信诈骗、国家安全、反邪教等知识宣传3次；</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lang w:val="en-US" w:eastAsia="zh-CN"/>
        </w:rPr>
        <w:t>深化“法律八进”，</w:t>
      </w:r>
      <w:r>
        <w:rPr>
          <w:rFonts w:hint="eastAsia" w:ascii="仿宋_GB2312" w:hAnsi="仿宋_GB2312" w:eastAsia="仿宋_GB2312" w:cs="仿宋_GB2312"/>
          <w:b w:val="0"/>
          <w:bCs w:val="0"/>
          <w:color w:val="000000"/>
          <w:kern w:val="2"/>
          <w:sz w:val="32"/>
          <w:szCs w:val="28"/>
          <w:lang w:val="en-US" w:eastAsia="zh-CN" w:bidi="ar-SA"/>
        </w:rPr>
        <w:t>利用“三八”维权周、3·15消费者权益日、民法典宣传月和黄渠桥羊羔肉美食节等时间节点，与</w:t>
      </w:r>
      <w:r>
        <w:rPr>
          <w:rFonts w:hint="eastAsia" w:eastAsia="仿宋_GB2312"/>
          <w:b w:val="0"/>
          <w:bCs w:val="0"/>
          <w:color w:val="auto"/>
          <w:sz w:val="32"/>
          <w:lang w:val="en-US" w:eastAsia="zh-CN"/>
        </w:rPr>
        <w:t>黄渠桥镇相关驻镇单位联合</w:t>
      </w:r>
      <w:r>
        <w:rPr>
          <w:rFonts w:hint="eastAsia" w:ascii="仿宋_GB2312" w:hAnsi="Calibri" w:eastAsia="仿宋_GB2312" w:cs="黑体"/>
          <w:b w:val="0"/>
          <w:bCs w:val="0"/>
          <w:color w:val="auto"/>
          <w:kern w:val="2"/>
          <w:sz w:val="32"/>
          <w:szCs w:val="32"/>
          <w:lang w:val="en-US" w:eastAsia="zh-CN"/>
        </w:rPr>
        <w:t>开展</w:t>
      </w:r>
      <w:r>
        <w:rPr>
          <w:rFonts w:hint="eastAsia" w:ascii="仿宋_GB2312" w:hAnsi="仿宋_GB2312" w:eastAsia="仿宋_GB2312" w:cs="仿宋_GB2312"/>
          <w:b w:val="0"/>
          <w:bCs w:val="0"/>
          <w:color w:val="000000"/>
          <w:kern w:val="2"/>
          <w:sz w:val="32"/>
          <w:szCs w:val="28"/>
          <w:lang w:val="en-US" w:eastAsia="zh-CN" w:bidi="ar-SA"/>
        </w:rPr>
        <w:t>“送法进村（社区）”“送法进校园”“送法进企业”“送法进集市”等活动30场次，发放宣传册3000余册，现场解答法律咨询40余人次</w:t>
      </w:r>
      <w:r>
        <w:rPr>
          <w:rFonts w:hint="eastAsia" w:ascii="仿宋_GB2312" w:hAnsi="仿宋_GB2312" w:eastAsia="仿宋_GB2312" w:cs="仿宋_GB2312"/>
          <w:color w:val="auto"/>
          <w:sz w:val="32"/>
          <w:szCs w:val="32"/>
          <w:lang w:val="en-US" w:eastAsia="zh-CN"/>
        </w:rPr>
        <w:t>，共计开展各类法治宣传教育活动30余场次。</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lang w:val="en-US" w:eastAsia="zh-CN"/>
        </w:rPr>
        <w:t>完善公共法律服务体系建设。进一步规范服务行为，为群众提供法律信息查找、法律事务办理、法律知识学习等服务，</w:t>
      </w:r>
      <w:r>
        <w:rPr>
          <w:rFonts w:hint="eastAsia" w:ascii="仿宋_GB2312" w:hAnsi="仿宋_GB2312" w:eastAsia="仿宋_GB2312" w:cs="仿宋_GB2312"/>
          <w:b w:val="0"/>
          <w:bCs w:val="0"/>
          <w:color w:val="000000"/>
          <w:sz w:val="32"/>
          <w:szCs w:val="28"/>
          <w:lang w:val="en-US" w:eastAsia="zh-CN"/>
        </w:rPr>
        <w:t>共接待</w:t>
      </w:r>
      <w:r>
        <w:rPr>
          <w:rFonts w:hint="eastAsia" w:ascii="仿宋_GB2312" w:hAnsi="仿宋_GB2312" w:eastAsia="仿宋_GB2312" w:cs="仿宋_GB2312"/>
          <w:b w:val="0"/>
          <w:bCs w:val="0"/>
          <w:color w:val="000000"/>
          <w:kern w:val="2"/>
          <w:sz w:val="32"/>
          <w:szCs w:val="28"/>
          <w:lang w:val="en-US" w:eastAsia="zh-CN" w:bidi="ar-SA"/>
        </w:rPr>
        <w:t>法律咨询80人次，</w:t>
      </w:r>
      <w:r>
        <w:rPr>
          <w:rFonts w:hint="eastAsia" w:ascii="仿宋_GB2312" w:hAnsi="仿宋_GB2312" w:eastAsia="仿宋_GB2312" w:cs="仿宋_GB2312"/>
          <w:color w:val="000000"/>
          <w:kern w:val="2"/>
          <w:sz w:val="32"/>
          <w:szCs w:val="28"/>
          <w:lang w:val="en-US" w:eastAsia="zh-CN" w:bidi="ar-SA"/>
        </w:rPr>
        <w:t>免费为群众代写法律文书40份。完成15个村（社区）的“一村（社区）一法律顾问”签订工作。</w:t>
      </w:r>
    </w:p>
    <w:p w14:paraId="60E4F049">
      <w:pPr>
        <w:keepNext w:val="0"/>
        <w:keepLines w:val="0"/>
        <w:pageBreakBefore w:val="0"/>
        <w:kinsoku/>
        <w:wordWrap/>
        <w:overflowPunct/>
        <w:topLinePunct w:val="0"/>
        <w:bidi w:val="0"/>
        <w:snapToGrid/>
        <w:spacing w:line="550" w:lineRule="exact"/>
        <w:ind w:firstLine="640" w:firstLineChars="200"/>
        <w:rPr>
          <w:rFonts w:hint="eastAsia" w:ascii="黑体" w:hAnsi="黑体" w:eastAsia="黑体" w:cs="黑体"/>
          <w:color w:val="auto"/>
          <w:kern w:val="0"/>
          <w:sz w:val="32"/>
          <w:szCs w:val="32"/>
          <w:lang w:val="en-US" w:eastAsia="zh-CN" w:bidi="ar-SA"/>
        </w:rPr>
      </w:pPr>
    </w:p>
    <w:p w14:paraId="01584F83">
      <w:pPr>
        <w:keepNext w:val="0"/>
        <w:keepLines w:val="0"/>
        <w:pageBreakBefore w:val="0"/>
        <w:kinsoku/>
        <w:wordWrap/>
        <w:overflowPunct/>
        <w:topLinePunct w:val="0"/>
        <w:bidi w:val="0"/>
        <w:snapToGrid/>
        <w:spacing w:line="550" w:lineRule="exact"/>
        <w:ind w:firstLine="640" w:firstLineChars="200"/>
        <w:rPr>
          <w:rFonts w:hint="eastAsia" w:ascii="黑体" w:hAnsi="黑体" w:eastAsia="黑体" w:cs="黑体"/>
          <w:color w:val="auto"/>
          <w:kern w:val="0"/>
          <w:sz w:val="32"/>
          <w:szCs w:val="32"/>
          <w:lang w:val="en-US" w:eastAsia="zh-CN" w:bidi="ar-SA"/>
        </w:rPr>
      </w:pPr>
      <w:bookmarkStart w:id="0" w:name="_GoBack"/>
      <w:bookmarkEnd w:id="0"/>
      <w:r>
        <w:rPr>
          <w:rFonts w:hint="eastAsia" w:ascii="黑体" w:hAnsi="黑体" w:eastAsia="黑体" w:cs="黑体"/>
          <w:color w:val="auto"/>
          <w:kern w:val="0"/>
          <w:sz w:val="32"/>
          <w:szCs w:val="32"/>
          <w:lang w:val="en-US" w:eastAsia="zh-CN" w:bidi="ar-SA"/>
        </w:rPr>
        <w:t>二、上一年度法治政府建设存在的问题和原因</w:t>
      </w:r>
    </w:p>
    <w:p w14:paraId="2CA265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2024年，黄渠桥镇在法治政府建设工作方面存在的问题有：</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领导干部学法用法与工作实践结合不够紧密，学习成效转化不够明显，依法行政能力仍需加强；</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领导干部群众运用法治思维和法治方式分析解决问题的能力还需进一步加强；</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基层执法力量薄弱，执法人员专业水平有待提高，缺乏专业的培训学习。原因：</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部分领导干部对学法用法的核心意义理解不深刻，将学法视为“任务式”“应付式”工作，缺乏主动运用法治手段推动工作的意识。在实际工作中，更倾向于依赖传统经验、行政手段解决问题。</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传统治理惯性影响，部分干部群众存在“重指令轻法治”倾向，法治思维难以养成。</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基层经费有限，培训缺乏系统性、针对性。基层执法机构编制紧张，“一人多岗”普遍，人员补充困难。</w:t>
      </w:r>
    </w:p>
    <w:p w14:paraId="411C8055">
      <w:pPr>
        <w:pStyle w:val="3"/>
        <w:keepNext w:val="0"/>
        <w:keepLines w:val="0"/>
        <w:pageBreakBefore w:val="0"/>
        <w:widowControl w:val="0"/>
        <w:numPr>
          <w:ilvl w:val="0"/>
          <w:numId w:val="1"/>
        </w:numPr>
        <w:kinsoku/>
        <w:wordWrap/>
        <w:overflowPunct/>
        <w:topLinePunct w:val="0"/>
        <w:autoSpaceDE/>
        <w:autoSpaceDN/>
        <w:bidi w:val="0"/>
        <w:adjustRightInd/>
        <w:snapToGrid/>
        <w:spacing w:line="550" w:lineRule="exact"/>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下一年度法治政府建设计划</w:t>
      </w:r>
    </w:p>
    <w:p w14:paraId="6E1367F8">
      <w:pPr>
        <w:pStyle w:val="3"/>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下一步，黄渠桥镇将始终坚持以习近平法治思想为指导，进一步加大法治政府建设力度，不断提高依法行政水平，为推动</w:t>
      </w:r>
      <w:r>
        <w:rPr>
          <w:rFonts w:hint="eastAsia" w:ascii="仿宋_GB2312" w:hAnsi="仿宋_GB2312" w:eastAsia="仿宋_GB2312" w:cs="仿宋_GB2312"/>
          <w:color w:val="auto"/>
          <w:kern w:val="2"/>
          <w:sz w:val="32"/>
          <w:szCs w:val="32"/>
          <w:lang w:val="en-US" w:eastAsia="zh-CN" w:bidi="ar-SA"/>
        </w:rPr>
        <w:t>全镇</w:t>
      </w:r>
      <w:r>
        <w:rPr>
          <w:rFonts w:hint="default" w:ascii="仿宋_GB2312" w:hAnsi="仿宋_GB2312" w:eastAsia="仿宋_GB2312" w:cs="仿宋_GB2312"/>
          <w:color w:val="auto"/>
          <w:kern w:val="2"/>
          <w:sz w:val="32"/>
          <w:szCs w:val="32"/>
          <w:lang w:val="en-US" w:eastAsia="zh-CN" w:bidi="ar-SA"/>
        </w:rPr>
        <w:t>经济社会高质量发展提供更加有力的法治保障。</w:t>
      </w:r>
    </w:p>
    <w:p w14:paraId="01D9894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一是压紧压实法治建设责任。</w:t>
      </w:r>
      <w:r>
        <w:rPr>
          <w:rFonts w:hint="default" w:ascii="仿宋_GB2312" w:hAnsi="仿宋_GB2312" w:eastAsia="仿宋_GB2312" w:cs="仿宋_GB2312"/>
          <w:color w:val="auto"/>
          <w:kern w:val="2"/>
          <w:sz w:val="32"/>
          <w:szCs w:val="32"/>
          <w:lang w:val="en-US" w:eastAsia="zh-CN" w:bidi="ar-SA"/>
        </w:rPr>
        <w:t>深入学习贯彻习近平法治思想，进一步完善党政主要负责人履行法治建设第一责任人职责清单。将法治建设纳入</w:t>
      </w:r>
      <w:r>
        <w:rPr>
          <w:rFonts w:hint="eastAsia" w:ascii="仿宋_GB2312" w:hAnsi="仿宋_GB2312" w:eastAsia="仿宋_GB2312" w:cs="仿宋_GB2312"/>
          <w:color w:val="auto"/>
          <w:kern w:val="2"/>
          <w:sz w:val="32"/>
          <w:szCs w:val="32"/>
          <w:lang w:val="en-US" w:eastAsia="zh-CN" w:bidi="ar-SA"/>
        </w:rPr>
        <w:t>镇</w:t>
      </w:r>
      <w:r>
        <w:rPr>
          <w:rFonts w:hint="default" w:ascii="仿宋_GB2312" w:hAnsi="仿宋_GB2312" w:eastAsia="仿宋_GB2312" w:cs="仿宋_GB2312"/>
          <w:color w:val="auto"/>
          <w:kern w:val="2"/>
          <w:sz w:val="32"/>
          <w:szCs w:val="32"/>
          <w:lang w:val="en-US" w:eastAsia="zh-CN" w:bidi="ar-SA"/>
        </w:rPr>
        <w:t>党委、</w:t>
      </w:r>
      <w:r>
        <w:rPr>
          <w:rFonts w:hint="eastAsia" w:ascii="仿宋_GB2312" w:hAnsi="仿宋_GB2312" w:eastAsia="仿宋_GB2312" w:cs="仿宋_GB2312"/>
          <w:color w:val="auto"/>
          <w:kern w:val="2"/>
          <w:sz w:val="32"/>
          <w:szCs w:val="32"/>
          <w:lang w:val="en-US" w:eastAsia="zh-CN" w:bidi="ar-SA"/>
        </w:rPr>
        <w:t>镇</w:t>
      </w:r>
      <w:r>
        <w:rPr>
          <w:rFonts w:hint="default" w:ascii="仿宋_GB2312" w:hAnsi="仿宋_GB2312" w:eastAsia="仿宋_GB2312" w:cs="仿宋_GB2312"/>
          <w:color w:val="auto"/>
          <w:kern w:val="2"/>
          <w:sz w:val="32"/>
          <w:szCs w:val="32"/>
          <w:lang w:val="en-US" w:eastAsia="zh-CN" w:bidi="ar-SA"/>
        </w:rPr>
        <w:t>政府年度重点工作台账。深化述职述法制度，扩大述法覆盖面，确保法治建设各项任务落地见效。</w:t>
      </w:r>
    </w:p>
    <w:p w14:paraId="042DB47F">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二是持续加强法治教育培训。</w:t>
      </w:r>
      <w:r>
        <w:rPr>
          <w:rFonts w:hint="default" w:ascii="仿宋_GB2312" w:hAnsi="仿宋_GB2312" w:eastAsia="仿宋_GB2312" w:cs="仿宋_GB2312"/>
          <w:color w:val="auto"/>
          <w:kern w:val="2"/>
          <w:sz w:val="32"/>
          <w:szCs w:val="32"/>
          <w:lang w:val="en-US" w:eastAsia="zh-CN" w:bidi="ar-SA"/>
        </w:rPr>
        <w:t>进一步完善领导干部学法制度，丰富学法内容，创新学法形式，提高领导干部学法的积极性和主动性。通过举办专题培训班、开展法治讲座、组织法律知识考试等方式，不断提高干部对依法行政重要性的认识，增强法治观念和依法行政意识。</w:t>
      </w:r>
    </w:p>
    <w:p w14:paraId="2FE6C25C">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三是不断提升行政执法能力。</w:t>
      </w:r>
      <w:r>
        <w:rPr>
          <w:rFonts w:hint="default" w:ascii="仿宋_GB2312" w:hAnsi="仿宋_GB2312" w:eastAsia="仿宋_GB2312" w:cs="仿宋_GB2312"/>
          <w:color w:val="auto"/>
          <w:kern w:val="2"/>
          <w:sz w:val="32"/>
          <w:szCs w:val="32"/>
          <w:lang w:val="en-US" w:eastAsia="zh-CN" w:bidi="ar-SA"/>
        </w:rPr>
        <w:t>加强行政执法队伍建设，</w:t>
      </w:r>
      <w:r>
        <w:rPr>
          <w:rFonts w:hint="eastAsia" w:ascii="仿宋_GB2312" w:hAnsi="仿宋_GB2312" w:eastAsia="仿宋_GB2312" w:cs="仿宋_GB2312"/>
          <w:color w:val="auto"/>
          <w:kern w:val="2"/>
          <w:sz w:val="32"/>
          <w:szCs w:val="32"/>
          <w:lang w:val="en-US" w:eastAsia="zh-CN" w:bidi="ar-SA"/>
        </w:rPr>
        <w:t>强化</w:t>
      </w:r>
      <w:r>
        <w:rPr>
          <w:rFonts w:hint="default" w:ascii="仿宋_GB2312" w:hAnsi="仿宋_GB2312" w:eastAsia="仿宋_GB2312" w:cs="仿宋_GB2312"/>
          <w:color w:val="auto"/>
          <w:kern w:val="2"/>
          <w:sz w:val="32"/>
          <w:szCs w:val="32"/>
          <w:lang w:val="en-US" w:eastAsia="zh-CN" w:bidi="ar-SA"/>
        </w:rPr>
        <w:t>行政执法人员的培训力度，提高执法人员的法律素养和业务能力。规范行政执法程序，严格执行行政执法“三项制度”，加强对行政执法的监督检查，及时纠正违法或不当的执法行为，不断提升行政执法水平和执法公信力。建立健全依法行政考核机制，将依法行政工作纳入干部考核的重要内容，激励干部自觉依法行政。</w:t>
      </w:r>
    </w:p>
    <w:p w14:paraId="709C257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3"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四是加强法治宣传教育。</w:t>
      </w:r>
      <w:r>
        <w:rPr>
          <w:rFonts w:ascii="仿宋_GB2312" w:hAnsi="仿宋_GB2312" w:eastAsia="仿宋_GB2312" w:cs="仿宋_GB2312"/>
          <w:color w:val="auto"/>
          <w:kern w:val="2"/>
          <w:sz w:val="32"/>
          <w:szCs w:val="32"/>
          <w:lang w:bidi="ar-SA"/>
        </w:rPr>
        <w:t>进一步拓展宣传内容与形式的丰富性。紧密结合群众生产生活实际情况，有针对性地深入开展法治宣传教育工作，着重宣传与群众切身利益紧密相关的各类法律法规。积极创新宣传方式方法，充分借助新媒体平台这一有力载体，广泛开展形式多样、内容充实的法治宣传活动，切实提高群众的参与程度与对法治内容的知晓</w:t>
      </w:r>
      <w:r>
        <w:rPr>
          <w:rFonts w:hint="eastAsia" w:ascii="仿宋_GB2312" w:hAnsi="仿宋_GB2312" w:eastAsia="仿宋_GB2312" w:cs="仿宋_GB2312"/>
          <w:color w:val="auto"/>
          <w:kern w:val="2"/>
          <w:sz w:val="32"/>
          <w:szCs w:val="32"/>
          <w:lang w:eastAsia="zh-CN" w:bidi="ar-SA"/>
        </w:rPr>
        <w:t>率</w:t>
      </w:r>
      <w:r>
        <w:rPr>
          <w:rFonts w:ascii="仿宋_GB2312" w:hAnsi="仿宋_GB2312" w:eastAsia="仿宋_GB2312" w:cs="仿宋_GB2312"/>
          <w:color w:val="auto"/>
          <w:kern w:val="2"/>
          <w:sz w:val="32"/>
          <w:szCs w:val="32"/>
          <w:lang w:bidi="ar-SA"/>
        </w:rPr>
        <w:t>。</w:t>
      </w:r>
    </w:p>
    <w:p w14:paraId="6464ED8B">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3" w:firstLineChars="200"/>
        <w:textAlignment w:val="auto"/>
        <w:rPr>
          <w:rFonts w:hint="eastAsia" w:ascii="仿宋_GB2312" w:hAnsi="仿宋_GB2312" w:eastAsia="仿宋_GB2312" w:cs="仿宋_GB2312"/>
          <w:color w:val="auto"/>
          <w:kern w:val="2"/>
          <w:sz w:val="32"/>
          <w:szCs w:val="32"/>
          <w:lang w:eastAsia="zh-CN" w:bidi="ar-SA"/>
        </w:rPr>
      </w:pPr>
      <w:r>
        <w:rPr>
          <w:rFonts w:hint="eastAsia" w:ascii="楷体_GB2312" w:hAnsi="楷体_GB2312" w:eastAsia="楷体_GB2312" w:cs="楷体_GB2312"/>
          <w:b/>
          <w:bCs/>
          <w:color w:val="auto"/>
          <w:kern w:val="2"/>
          <w:sz w:val="32"/>
          <w:szCs w:val="32"/>
          <w:lang w:val="en-US" w:eastAsia="zh-CN" w:bidi="ar-SA"/>
        </w:rPr>
        <w:t>五是加强矛盾纠纷化解。</w:t>
      </w:r>
      <w:r>
        <w:rPr>
          <w:rFonts w:ascii="仿宋_GB2312" w:hAnsi="仿宋_GB2312" w:eastAsia="仿宋_GB2312" w:cs="仿宋_GB2312"/>
          <w:color w:val="auto"/>
          <w:kern w:val="2"/>
          <w:sz w:val="32"/>
          <w:szCs w:val="32"/>
          <w:lang w:bidi="ar-SA"/>
        </w:rPr>
        <w:t>大力完善矛盾纠纷多元化解机制，进一步强化人民调解、行政调解、司法调解之间的衔接配合，凝聚起强大的工作合力。全面优化调解组织网络体系，着力加强调解人员的专业培训，切实提升调解工作的整体水平，及时高效地化解各类矛盾纠纷</w:t>
      </w:r>
      <w:r>
        <w:rPr>
          <w:rFonts w:hint="eastAsia" w:ascii="仿宋_GB2312" w:hAnsi="仿宋_GB2312" w:eastAsia="仿宋_GB2312" w:cs="仿宋_GB2312"/>
          <w:color w:val="auto"/>
          <w:kern w:val="2"/>
          <w:sz w:val="32"/>
          <w:szCs w:val="32"/>
          <w:lang w:eastAsia="zh-CN" w:bidi="ar-SA"/>
        </w:rPr>
        <w:t>。</w:t>
      </w:r>
    </w:p>
    <w:p w14:paraId="39A9913A">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ascii="仿宋_GB2312" w:hAnsi="仿宋_GB2312" w:eastAsia="仿宋_GB2312" w:cs="仿宋_GB2312"/>
          <w:color w:val="auto"/>
          <w:kern w:val="2"/>
          <w:sz w:val="32"/>
          <w:szCs w:val="32"/>
          <w:lang w:eastAsia="zh-CN" w:bidi="ar-SA"/>
        </w:rPr>
      </w:pPr>
    </w:p>
    <w:p w14:paraId="06282188">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eastAsia" w:ascii="仿宋_GB2312" w:hAnsi="仿宋_GB2312" w:eastAsia="仿宋_GB2312" w:cs="仿宋_GB2312"/>
          <w:color w:val="auto"/>
          <w:kern w:val="2"/>
          <w:sz w:val="32"/>
          <w:szCs w:val="32"/>
          <w:lang w:eastAsia="zh-CN" w:bidi="ar-SA"/>
        </w:rPr>
      </w:pPr>
    </w:p>
    <w:p w14:paraId="1A201C7B">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1280" w:firstLineChars="4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平罗县黄渠桥镇人民政府</w:t>
      </w:r>
    </w:p>
    <w:p w14:paraId="3AEE4A63">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55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2025年12月30日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97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09EB99">
                          <w:pPr>
                            <w:pStyle w:val="5"/>
                            <w:rPr>
                              <w:rFonts w:hint="default" w:asciiTheme="minorAscii" w:hAnsiTheme="minorAscii"/>
                              <w:sz w:val="28"/>
                              <w:szCs w:val="28"/>
                            </w:rPr>
                          </w:pP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F09EB99">
                    <w:pPr>
                      <w:pStyle w:val="5"/>
                      <w:rPr>
                        <w:rFonts w:hint="default" w:asciiTheme="minorAscii" w:hAnsiTheme="minorAscii"/>
                        <w:sz w:val="28"/>
                        <w:szCs w:val="28"/>
                      </w:rPr>
                    </w:pP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20C74"/>
    <w:multiLevelType w:val="singleLevel"/>
    <w:tmpl w:val="61420C7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E36BF"/>
    <w:rsid w:val="00F76363"/>
    <w:rsid w:val="0482288A"/>
    <w:rsid w:val="0EFE5203"/>
    <w:rsid w:val="13BEA264"/>
    <w:rsid w:val="1452177A"/>
    <w:rsid w:val="147321EF"/>
    <w:rsid w:val="1B9F66BD"/>
    <w:rsid w:val="25606E91"/>
    <w:rsid w:val="25BF5294"/>
    <w:rsid w:val="265C2AE3"/>
    <w:rsid w:val="27CE17BE"/>
    <w:rsid w:val="2BDCF283"/>
    <w:rsid w:val="2CFF066C"/>
    <w:rsid w:val="2F9E23BE"/>
    <w:rsid w:val="2FF75113"/>
    <w:rsid w:val="358A58B6"/>
    <w:rsid w:val="35BC17F0"/>
    <w:rsid w:val="3E9B4698"/>
    <w:rsid w:val="3FBB6FE0"/>
    <w:rsid w:val="40A435AC"/>
    <w:rsid w:val="40B57568"/>
    <w:rsid w:val="45486E49"/>
    <w:rsid w:val="468F7351"/>
    <w:rsid w:val="4E6D1482"/>
    <w:rsid w:val="4F122438"/>
    <w:rsid w:val="5429409D"/>
    <w:rsid w:val="5479B6E9"/>
    <w:rsid w:val="562763BA"/>
    <w:rsid w:val="58AB1D89"/>
    <w:rsid w:val="590E36BF"/>
    <w:rsid w:val="5B461090"/>
    <w:rsid w:val="5C195669"/>
    <w:rsid w:val="5C1B076F"/>
    <w:rsid w:val="5DD803FF"/>
    <w:rsid w:val="5E361890"/>
    <w:rsid w:val="5EDB757C"/>
    <w:rsid w:val="5F1A6ABC"/>
    <w:rsid w:val="5FA00AE7"/>
    <w:rsid w:val="5FE71378"/>
    <w:rsid w:val="62A22179"/>
    <w:rsid w:val="6A8769AD"/>
    <w:rsid w:val="6CA3474A"/>
    <w:rsid w:val="6CB5251A"/>
    <w:rsid w:val="6DA46816"/>
    <w:rsid w:val="6E1D3ED3"/>
    <w:rsid w:val="6F25754A"/>
    <w:rsid w:val="6FBA6F0B"/>
    <w:rsid w:val="75F67A63"/>
    <w:rsid w:val="76ED40BB"/>
    <w:rsid w:val="777FE31E"/>
    <w:rsid w:val="78E421BD"/>
    <w:rsid w:val="79517950"/>
    <w:rsid w:val="7ACF27CF"/>
    <w:rsid w:val="7BFE4EBC"/>
    <w:rsid w:val="7DEF14A9"/>
    <w:rsid w:val="7E6E6882"/>
    <w:rsid w:val="7E9E0353"/>
    <w:rsid w:val="7EFDA8FF"/>
    <w:rsid w:val="7F480FCB"/>
    <w:rsid w:val="7FAB444B"/>
    <w:rsid w:val="7FFF27BD"/>
    <w:rsid w:val="9DE6B009"/>
    <w:rsid w:val="9FEEA8F6"/>
    <w:rsid w:val="B54F81A0"/>
    <w:rsid w:val="B7F92146"/>
    <w:rsid w:val="BC76FFA0"/>
    <w:rsid w:val="C78D021A"/>
    <w:rsid w:val="CCDE04CE"/>
    <w:rsid w:val="DB9F4B37"/>
    <w:rsid w:val="DD196DBC"/>
    <w:rsid w:val="DDFA6E1E"/>
    <w:rsid w:val="DFEDCDEF"/>
    <w:rsid w:val="EF7E1212"/>
    <w:rsid w:val="F2FF3857"/>
    <w:rsid w:val="F53FA3A8"/>
    <w:rsid w:val="FD7F68C5"/>
    <w:rsid w:val="FDFEEEA5"/>
    <w:rsid w:val="FE7F7A84"/>
    <w:rsid w:val="FEE73F80"/>
    <w:rsid w:val="FF6F5231"/>
    <w:rsid w:val="FFEF962E"/>
    <w:rsid w:val="FFFC9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300" w:lineRule="auto"/>
      <w:ind w:firstLine="482" w:firstLineChars="200"/>
    </w:pPr>
    <w:rPr>
      <w:rFonts w:ascii="宋体" w:cs="宋体"/>
      <w:kern w:val="0"/>
      <w:sz w:val="24"/>
      <w:lang w:val="zh-CN"/>
    </w:rPr>
  </w:style>
  <w:style w:type="paragraph" w:styleId="4">
    <w:name w:val="Body Text Indent"/>
    <w:basedOn w:val="1"/>
    <w:qFormat/>
    <w:uiPriority w:val="0"/>
    <w:pPr>
      <w:spacing w:after="120" w:afterLines="0" w:afterAutospacing="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Strong"/>
    <w:basedOn w:val="9"/>
    <w:qFormat/>
    <w:uiPriority w:val="0"/>
    <w:rPr>
      <w:rFonts w:ascii="Times New Roman" w:hAnsi="Times New Roman" w:eastAsia="宋体" w:cs="Times New Roman"/>
      <w:b/>
    </w:rPr>
  </w:style>
  <w:style w:type="paragraph" w:customStyle="1" w:styleId="11">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2">
    <w:name w:val="UserStyle_0"/>
    <w:basedOn w:val="1"/>
    <w:qFormat/>
    <w:uiPriority w:val="99"/>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1714</Words>
  <Characters>1761</Characters>
  <Lines>0</Lines>
  <Paragraphs>0</Paragraphs>
  <TotalTime>31</TotalTime>
  <ScaleCrop>false</ScaleCrop>
  <LinksUpToDate>false</LinksUpToDate>
  <CharactersWithSpaces>1761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2025-12-23T01:29:00Z</dcterms:created>
  <dc:creator>萧寒子</dc:creator>
  <cp:lastModifiedBy>hqq-123</cp:lastModifiedBy>
  <dcterms:modified xsi:type="dcterms:W3CDTF">2026-03-25T15:47:46Z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4A16057D503743FC9FA98E815BE9F0E0_13</vt:lpwstr>
  </property>
  <property fmtid="{D5CDD505-2E9C-101B-9397-08002B2CF9AE}" pid="4" name="KSOTemplateDocerSaveRecord">
    <vt:lpwstr>eyJoZGlkIjoiYjI2Y2YyZmE4YjFkNDI3NDAxMmRlYTdjMWQ0OGZlZTQiLCJ1c2VySWQiOiI3MzIwNTA4MTIifQ==</vt:lpwstr>
  </property>
</Properties>
</file>