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50" w:lineRule="exact"/>
        <w:jc w:val="both"/>
        <w:rPr>
          <w:rFonts w:hint="eastAsia" w:ascii="方正小标宋_GBK" w:hAnsi="方正小标宋_GBK" w:eastAsia="方正小标宋_GBK" w:cs="方正小标宋_GBK"/>
          <w:snapToGrid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5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</w:pPr>
      <w:bookmarkStart w:id="0" w:name="OLE_LINK4"/>
      <w:bookmarkStart w:id="1" w:name="_GoBack"/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  <w:lang w:val="en-US" w:eastAsia="zh-CN"/>
        </w:rPr>
        <w:t>平罗县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  <w:lang w:eastAsia="zh-CN"/>
        </w:rPr>
        <w:t>“小微快贷”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  <w:t>业务管理办法</w:t>
      </w:r>
      <w:bookmarkEnd w:id="0"/>
    </w:p>
    <w:bookmarkEnd w:id="1"/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40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50" w:lineRule="exact"/>
        <w:jc w:val="center"/>
        <w:rPr>
          <w:rFonts w:hint="eastAsia" w:ascii="方正黑体_GBK" w:hAnsi="方正黑体_GBK" w:eastAsia="方正黑体_GBK" w:cs="方正黑体_GBK"/>
          <w:snapToGrid w:val="0"/>
          <w:color w:val="auto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</w:rPr>
        <w:t>第一章  总</w:t>
      </w:r>
      <w:r>
        <w:rPr>
          <w:rFonts w:hint="eastAsia" w:ascii="方正黑体_GBK" w:hAnsi="方正黑体_GBK" w:eastAsia="方正黑体_GBK" w:cs="方正黑体_GBK"/>
          <w:snapToGrid w:val="0"/>
          <w:color w:val="auto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napToGrid w:val="0"/>
          <w:color w:val="auto"/>
        </w:rPr>
        <w:t>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40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 w:ascii="方正仿宋_GBK" w:hAnsi="方正仿宋_GBK" w:cs="方正仿宋_GBK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第一条</w:t>
      </w:r>
      <w:r>
        <w:rPr>
          <w:rFonts w:hint="eastAsia"/>
          <w:snapToGrid w:val="0"/>
          <w:color w:val="auto"/>
        </w:rPr>
        <w:t xml:space="preserve">  为支持小微企业、创业创新</w:t>
      </w:r>
      <w:r>
        <w:rPr>
          <w:rFonts w:hint="eastAsia"/>
          <w:snapToGrid w:val="0"/>
          <w:color w:val="auto"/>
          <w:lang w:eastAsia="zh-CN"/>
        </w:rPr>
        <w:t>、</w:t>
      </w:r>
      <w:r>
        <w:rPr>
          <w:rFonts w:hint="eastAsia"/>
          <w:snapToGrid w:val="0"/>
          <w:color w:val="auto"/>
          <w:lang w:val="en-US" w:eastAsia="zh-CN"/>
        </w:rPr>
        <w:t>新型经营主体</w:t>
      </w:r>
      <w:r>
        <w:rPr>
          <w:rFonts w:hint="eastAsia"/>
          <w:snapToGrid w:val="0"/>
          <w:color w:val="auto"/>
        </w:rPr>
        <w:t>等市场主体，缓解融资难题，建立</w:t>
      </w:r>
      <w:r>
        <w:rPr>
          <w:rFonts w:hint="eastAsia"/>
          <w:snapToGrid w:val="0"/>
          <w:color w:val="auto"/>
          <w:lang w:val="en-US" w:eastAsia="zh-CN"/>
        </w:rPr>
        <w:t>县域</w:t>
      </w:r>
      <w:r>
        <w:rPr>
          <w:rFonts w:hint="eastAsia"/>
          <w:snapToGrid w:val="0"/>
          <w:color w:val="auto"/>
        </w:rPr>
        <w:t>融资担保机构风险分担机制，依据《国务院办公厅</w:t>
      </w:r>
      <w:r>
        <w:rPr>
          <w:rFonts w:hint="eastAsia" w:ascii="方正仿宋_GBK" w:hAnsi="方正仿宋_GBK" w:cs="方正仿宋_GBK"/>
          <w:snapToGrid w:val="0"/>
          <w:color w:val="auto"/>
        </w:rPr>
        <w:t>关于有效发挥政府性融资担保基金作用切实支持小微企业和“三农”发展的指导意见》《自治区人民政府关于扶持小微企业健康发展的若干意见》（宁政发〔2015〕52号）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、《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平罗县“小微快贷”业务实施方案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》</w:t>
      </w:r>
      <w:r>
        <w:rPr>
          <w:rFonts w:hint="eastAsia" w:ascii="方正仿宋_GBK" w:hAnsi="方正仿宋_GBK" w:cs="方正仿宋_GBK"/>
          <w:snapToGrid w:val="0"/>
          <w:color w:val="auto"/>
        </w:rPr>
        <w:t>，特制定本办法。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第二条</w:t>
      </w:r>
      <w:r>
        <w:rPr>
          <w:rFonts w:hint="eastAsia"/>
          <w:snapToGrid w:val="0"/>
          <w:color w:val="auto"/>
        </w:rPr>
        <w:t xml:space="preserve">  </w:t>
      </w:r>
      <w:r>
        <w:rPr>
          <w:rFonts w:hint="eastAsia"/>
          <w:snapToGrid w:val="0"/>
          <w:color w:val="auto"/>
          <w:lang w:eastAsia="zh-CN"/>
        </w:rPr>
        <w:t>本办法所称“小微快贷”业务</w:t>
      </w:r>
      <w:r>
        <w:rPr>
          <w:rFonts w:hint="eastAsia"/>
          <w:snapToGrid w:val="0"/>
          <w:color w:val="auto"/>
        </w:rPr>
        <w:t>风险</w:t>
      </w:r>
      <w:r>
        <w:rPr>
          <w:rFonts w:hint="eastAsia"/>
          <w:snapToGrid w:val="0"/>
          <w:color w:val="auto"/>
          <w:lang w:val="en-US" w:eastAsia="zh-CN"/>
        </w:rPr>
        <w:t>补偿</w:t>
      </w:r>
      <w:r>
        <w:rPr>
          <w:rFonts w:hint="eastAsia"/>
          <w:snapToGrid w:val="0"/>
          <w:color w:val="auto"/>
        </w:rPr>
        <w:t>资金专项用于补偿</w:t>
      </w:r>
      <w:r>
        <w:rPr>
          <w:rFonts w:hint="eastAsia"/>
          <w:snapToGrid w:val="0"/>
          <w:color w:val="auto"/>
          <w:lang w:eastAsia="zh-CN"/>
        </w:rPr>
        <w:t>政府性担保机构与合作银行合作开展“小微快贷”业务</w:t>
      </w:r>
      <w:r>
        <w:rPr>
          <w:rFonts w:hint="eastAsia"/>
          <w:snapToGrid w:val="0"/>
          <w:color w:val="auto"/>
        </w:rPr>
        <w:t>所发</w:t>
      </w:r>
      <w:r>
        <w:rPr>
          <w:rFonts w:hint="eastAsia"/>
          <w:snapToGrid w:val="0"/>
          <w:color w:val="auto"/>
          <w:lang w:eastAsia="zh-CN"/>
        </w:rPr>
        <w:t>生的</w:t>
      </w:r>
      <w:r>
        <w:rPr>
          <w:rFonts w:hint="eastAsia"/>
          <w:snapToGrid w:val="0"/>
          <w:color w:val="auto"/>
          <w:lang w:val="en-US" w:eastAsia="zh-CN"/>
        </w:rPr>
        <w:t>代偿和</w:t>
      </w:r>
      <w:r>
        <w:rPr>
          <w:rFonts w:hint="eastAsia"/>
          <w:snapToGrid w:val="0"/>
          <w:color w:val="auto"/>
          <w:lang w:eastAsia="zh-CN"/>
        </w:rPr>
        <w:t>损失补偿</w:t>
      </w:r>
      <w:r>
        <w:rPr>
          <w:rFonts w:hint="eastAsia"/>
          <w:snapToGrid w:val="0"/>
          <w:color w:val="auto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 w:eastAsia="方正仿宋_GBK"/>
          <w:snapToGrid w:val="0"/>
          <w:color w:val="auto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第三条</w:t>
      </w:r>
      <w:r>
        <w:rPr>
          <w:rFonts w:hint="eastAsia" w:ascii="黑体" w:hAnsi="黑体" w:eastAsia="黑体" w:cs="黑体"/>
          <w:snapToGrid w:val="0"/>
          <w:color w:val="auto"/>
        </w:rPr>
        <w:t xml:space="preserve">  </w:t>
      </w:r>
      <w:r>
        <w:rPr>
          <w:rFonts w:hint="eastAsia" w:ascii="Times New Roman"/>
          <w:snapToGrid w:val="0"/>
          <w:color w:val="auto"/>
          <w:highlight w:val="none"/>
        </w:rPr>
        <w:t>指符合《关于印发中小企业划型标准规定的通知》（工信部联企业</w:t>
      </w:r>
      <w:r>
        <w:rPr>
          <w:rFonts w:hint="eastAsia" w:ascii="方正仿宋_GBK" w:hAnsi="方正仿宋_GBK" w:cs="方正仿宋_GBK"/>
          <w:snapToGrid w:val="0"/>
          <w:color w:val="auto"/>
          <w:highlight w:val="none"/>
        </w:rPr>
        <w:t>〔2011〕300号）</w:t>
      </w:r>
      <w:r>
        <w:rPr>
          <w:rFonts w:hint="eastAsia" w:ascii="Times New Roman"/>
          <w:snapToGrid w:val="0"/>
          <w:color w:val="auto"/>
          <w:highlight w:val="none"/>
        </w:rPr>
        <w:t>规定的小型、微型企业、个体工商户，还包括小微企业主，以及与前者规模相当的、经其他政府机构登记的非企业经济组织</w:t>
      </w:r>
      <w:r>
        <w:rPr>
          <w:rFonts w:hint="eastAsia" w:ascii="Times New Roman"/>
          <w:snapToGrid w:val="0"/>
          <w:color w:val="auto"/>
          <w:highlight w:val="none"/>
          <w:lang w:val="en-US" w:eastAsia="zh-CN"/>
        </w:rPr>
        <w:t>及</w:t>
      </w:r>
      <w:r>
        <w:rPr>
          <w:rFonts w:hint="eastAsia" w:ascii="Times New Roman"/>
          <w:snapToGrid w:val="0"/>
          <w:color w:val="auto"/>
          <w:highlight w:val="none"/>
        </w:rPr>
        <w:t>新型农业经营主体</w:t>
      </w:r>
      <w:r>
        <w:rPr>
          <w:rFonts w:hint="eastAsia" w:ascii="Times New Roman" w:hAnsi="Times New Roman" w:cs="Times New Roman"/>
          <w:snapToGrid w:val="0"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/>
          <w:snapToGrid w:val="0"/>
          <w:color w:val="auto"/>
        </w:rPr>
        <w:t xml:space="preserve">  </w:t>
      </w:r>
      <w:r>
        <w:rPr>
          <w:rFonts w:hint="eastAsia"/>
          <w:snapToGrid w:val="0"/>
          <w:color w:val="auto"/>
          <w:lang w:eastAsia="zh-CN"/>
        </w:rPr>
        <w:t>“小微快贷”</w:t>
      </w:r>
      <w:r>
        <w:rPr>
          <w:rFonts w:hint="eastAsia"/>
          <w:snapToGrid w:val="0"/>
          <w:color w:val="auto"/>
        </w:rPr>
        <w:t>业务及风险</w:t>
      </w:r>
      <w:r>
        <w:rPr>
          <w:rFonts w:hint="eastAsia"/>
          <w:snapToGrid w:val="0"/>
          <w:color w:val="auto"/>
          <w:lang w:eastAsia="zh-CN"/>
        </w:rPr>
        <w:t>补偿</w:t>
      </w:r>
      <w:r>
        <w:rPr>
          <w:rFonts w:hint="eastAsia"/>
          <w:snapToGrid w:val="0"/>
          <w:color w:val="auto"/>
        </w:rPr>
        <w:t>资金的使用管理应当遵循公开透明、定向使用、科学管理、加强监督的原则。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 w:cs="Times New Roman"/>
          <w:i w:val="0"/>
          <w:i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val="en-US" w:eastAsia="zh-CN"/>
        </w:rPr>
        <w:t>第五条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color w:val="auto"/>
          <w:lang w:val="en-US" w:eastAsia="zh-CN"/>
        </w:rPr>
        <w:t>本办法中融资性担保机构是指在平罗县域内开展“</w:t>
      </w:r>
      <w:r>
        <w:rPr>
          <w:rFonts w:hint="eastAsia" w:ascii="Times New Roman" w:hAnsi="Times New Roman" w:cs="Times New Roman"/>
          <w:snapToGrid w:val="0"/>
          <w:color w:val="auto"/>
          <w:lang w:val="en-US" w:eastAsia="zh-CN"/>
        </w:rPr>
        <w:t>小微快贷</w:t>
      </w:r>
      <w:r>
        <w:rPr>
          <w:rFonts w:hint="eastAsia" w:ascii="Times New Roman" w:hAnsi="Times New Roman" w:eastAsia="方正仿宋_GBK" w:cs="Times New Roman"/>
          <w:snapToGrid w:val="0"/>
          <w:color w:val="auto"/>
          <w:lang w:val="en-US" w:eastAsia="zh-CN"/>
        </w:rPr>
        <w:t>”业务合作的</w:t>
      </w:r>
      <w:r>
        <w:rPr>
          <w:rFonts w:hint="eastAsia" w:ascii="Times New Roman" w:hAnsi="Times New Roman" w:eastAsia="方正仿宋_GBK" w:cs="Times New Roman"/>
          <w:i w:val="0"/>
          <w:iCs w:val="0"/>
          <w:snapToGrid w:val="0"/>
          <w:color w:val="auto"/>
          <w:lang w:val="en-US" w:eastAsia="zh-CN"/>
        </w:rPr>
        <w:t>政府性融资担保机构。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color w:va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val="en-US" w:eastAsia="zh-CN"/>
        </w:rPr>
        <w:t>第六条</w:t>
      </w:r>
      <w:r>
        <w:rPr>
          <w:rFonts w:hint="eastAsia" w:ascii="方正小标宋_GBK" w:hAnsi="方正小标宋_GBK" w:eastAsia="方正小标宋_GBK" w:cs="方正小标宋_GBK"/>
          <w:i w:val="0"/>
          <w:iCs w:val="0"/>
          <w:snapToGrid w:val="0"/>
          <w:color w:val="auto"/>
          <w:lang w:val="en-US" w:eastAsia="zh-CN"/>
        </w:rPr>
        <w:t xml:space="preserve">  </w:t>
      </w:r>
      <w:r>
        <w:rPr>
          <w:rFonts w:hint="eastAsia"/>
          <w:i w:val="0"/>
          <w:iCs w:val="0"/>
          <w:snapToGrid w:val="0"/>
          <w:color w:val="auto"/>
          <w:lang w:val="en-US" w:eastAsia="zh-CN"/>
        </w:rPr>
        <w:t>本办法中</w:t>
      </w:r>
      <w:r>
        <w:rPr>
          <w:rFonts w:hint="eastAsia"/>
          <w:i w:val="0"/>
          <w:iCs w:val="0"/>
          <w:snapToGrid w:val="0"/>
          <w:color w:val="auto"/>
          <w:lang w:eastAsia="zh-CN"/>
        </w:rPr>
        <w:t>合作银行是指签订“小微快贷”业务合作协议，承诺承担风险分担机制，提供优质服务的</w:t>
      </w:r>
      <w:r>
        <w:rPr>
          <w:rFonts w:hint="eastAsia"/>
          <w:i w:val="0"/>
          <w:iCs w:val="0"/>
          <w:snapToGrid w:val="0"/>
          <w:color w:val="auto"/>
          <w:lang w:val="en-US" w:eastAsia="zh-CN"/>
        </w:rPr>
        <w:t>县域</w:t>
      </w:r>
      <w:r>
        <w:rPr>
          <w:rFonts w:hint="eastAsia"/>
          <w:i w:val="0"/>
          <w:iCs w:val="0"/>
          <w:snapToGrid w:val="0"/>
          <w:color w:val="auto"/>
          <w:lang w:eastAsia="zh-CN"/>
        </w:rPr>
        <w:t>内银行</w:t>
      </w:r>
      <w:r>
        <w:rPr>
          <w:rFonts w:hint="eastAsia"/>
          <w:snapToGrid w:val="0"/>
          <w:color w:val="auto"/>
          <w:lang w:eastAsia="zh-CN"/>
        </w:rPr>
        <w:t>机构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黑体_GBK" w:hAnsi="方正黑体_GBK" w:eastAsia="方正黑体_GBK" w:cs="方正黑体_GBK"/>
          <w:snapToGrid w:val="0"/>
          <w:color w:val="auto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</w:rPr>
        <w:t>第二章  风险</w:t>
      </w:r>
      <w:r>
        <w:rPr>
          <w:rFonts w:hint="eastAsia" w:ascii="方正黑体_GBK" w:hAnsi="方正黑体_GBK" w:eastAsia="方正黑体_GBK" w:cs="方正黑体_GBK"/>
          <w:snapToGrid w:val="0"/>
          <w:color w:val="auto"/>
          <w:lang w:val="en-US" w:eastAsia="zh-CN"/>
        </w:rPr>
        <w:t>补偿</w:t>
      </w:r>
      <w:r>
        <w:rPr>
          <w:rFonts w:hint="eastAsia" w:ascii="方正黑体_GBK" w:hAnsi="方正黑体_GBK" w:eastAsia="方正黑体_GBK" w:cs="方正黑体_GBK"/>
          <w:snapToGrid w:val="0"/>
          <w:color w:val="auto"/>
        </w:rPr>
        <w:t>资金组</w:t>
      </w:r>
      <w:r>
        <w:rPr>
          <w:rFonts w:hint="eastAsia" w:ascii="方正黑体_GBK" w:hAnsi="方正黑体_GBK" w:eastAsia="方正黑体_GBK" w:cs="方正黑体_GBK"/>
          <w:snapToGrid w:val="0"/>
          <w:color w:val="auto"/>
          <w:lang w:val="en-US" w:eastAsia="zh-CN"/>
        </w:rPr>
        <w:t>成</w:t>
      </w:r>
      <w:r>
        <w:rPr>
          <w:rFonts w:hint="eastAsia" w:ascii="方正黑体_GBK" w:hAnsi="方正黑体_GBK" w:eastAsia="方正黑体_GBK" w:cs="方正黑体_GBK"/>
          <w:snapToGrid w:val="0"/>
          <w:color w:val="auto"/>
        </w:rPr>
        <w:t>及管理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2" w:firstLineChars="200"/>
        <w:jc w:val="both"/>
        <w:textAlignment w:val="baseline"/>
        <w:rPr>
          <w:rFonts w:hint="eastAsia"/>
          <w:snapToGrid w:val="0"/>
          <w:color w:va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第七条</w:t>
      </w:r>
      <w:r>
        <w:rPr>
          <w:rFonts w:hint="eastAsia" w:ascii="黑体" w:hAnsi="黑体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/>
          <w:snapToGrid w:val="0"/>
          <w:color w:val="auto"/>
          <w:lang w:val="en-US" w:eastAsia="zh-CN"/>
        </w:rPr>
        <w:t>风险补偿资金来源于中央财政支持普惠金融示范区专项资金，根据业务开展和代偿情况，以及县级财力情况适时予以补充。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Cs w:val="20"/>
        </w:rPr>
        <w:t>第八条</w:t>
      </w:r>
      <w:r>
        <w:rPr>
          <w:rFonts w:hint="eastAsia"/>
          <w:snapToGrid w:val="0"/>
          <w:color w:val="auto"/>
        </w:rPr>
        <w:t xml:space="preserve">  合作银行</w:t>
      </w:r>
      <w:r>
        <w:rPr>
          <w:rFonts w:hint="eastAsia"/>
          <w:snapToGrid w:val="0"/>
          <w:color w:val="auto"/>
          <w:lang w:val="en-US" w:eastAsia="zh-CN"/>
        </w:rPr>
        <w:t>和政府性担保机构</w:t>
      </w:r>
      <w:r>
        <w:rPr>
          <w:rFonts w:hint="eastAsia"/>
          <w:snapToGrid w:val="0"/>
          <w:color w:val="auto"/>
        </w:rPr>
        <w:t>按不高于</w:t>
      </w:r>
      <w:r>
        <w:rPr>
          <w:rFonts w:hint="eastAsia"/>
          <w:snapToGrid w:val="0"/>
          <w:color w:val="auto"/>
          <w:lang w:eastAsia="zh-CN"/>
        </w:rPr>
        <w:t>“小微快贷”</w:t>
      </w:r>
      <w:r>
        <w:rPr>
          <w:rFonts w:hint="eastAsia"/>
          <w:snapToGrid w:val="0"/>
          <w:color w:val="auto"/>
        </w:rPr>
        <w:t>风险补偿资金规模</w:t>
      </w:r>
      <w:r>
        <w:rPr>
          <w:rFonts w:hint="eastAsia" w:ascii="方正仿宋_GBK" w:hAnsi="方正仿宋_GBK" w:cs="方正仿宋_GBK"/>
          <w:snapToGrid w:val="0"/>
          <w:color w:val="auto"/>
        </w:rPr>
        <w:t>的10倍进行</w:t>
      </w:r>
      <w:r>
        <w:rPr>
          <w:rFonts w:hint="eastAsia"/>
          <w:snapToGrid w:val="0"/>
          <w:color w:val="auto"/>
          <w:lang w:eastAsia="zh-CN"/>
        </w:rPr>
        <w:t>担保</w:t>
      </w:r>
      <w:r>
        <w:rPr>
          <w:rFonts w:hint="eastAsia"/>
          <w:snapToGrid w:val="0"/>
          <w:color w:val="auto"/>
        </w:rPr>
        <w:t>贷款。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Cs w:val="20"/>
        </w:rPr>
        <w:t>第九条</w:t>
      </w:r>
      <w:r>
        <w:rPr>
          <w:rFonts w:hint="eastAsia"/>
          <w:snapToGrid w:val="0"/>
          <w:color w:val="auto"/>
        </w:rPr>
        <w:t xml:space="preserve">  </w:t>
      </w:r>
      <w:r>
        <w:rPr>
          <w:rFonts w:hint="eastAsia"/>
          <w:snapToGrid w:val="0"/>
          <w:color w:val="auto"/>
          <w:lang w:eastAsia="zh-CN"/>
        </w:rPr>
        <w:t>合作银行和</w:t>
      </w:r>
      <w:r>
        <w:rPr>
          <w:rFonts w:hint="eastAsia"/>
          <w:snapToGrid w:val="0"/>
          <w:color w:val="auto"/>
          <w:lang w:val="en-US" w:eastAsia="zh-CN"/>
        </w:rPr>
        <w:t>政府性担保机构</w:t>
      </w:r>
      <w:r>
        <w:rPr>
          <w:rFonts w:hint="eastAsia"/>
          <w:snapToGrid w:val="0"/>
          <w:color w:val="auto"/>
          <w:lang w:eastAsia="zh-CN"/>
        </w:rPr>
        <w:t>按照各自要求独立审贷审保，</w:t>
      </w:r>
      <w:r>
        <w:rPr>
          <w:rFonts w:hint="eastAsia"/>
          <w:snapToGrid w:val="0"/>
          <w:color w:val="auto"/>
          <w:lang w:val="en-US" w:eastAsia="zh-CN"/>
        </w:rPr>
        <w:t>严格落实普惠金融政策，拓展业务规模，提升普惠金融覆盖面和服务便利度，助力全县普惠金融落实落地</w:t>
      </w:r>
      <w:r>
        <w:rPr>
          <w:rFonts w:hint="eastAsia"/>
          <w:snapToGrid w:val="0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color w:va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Cs w:val="20"/>
        </w:rPr>
        <w:t>第十条</w:t>
      </w:r>
      <w:r>
        <w:rPr>
          <w:rFonts w:hint="eastAsia"/>
          <w:snapToGrid w:val="0"/>
          <w:color w:val="auto"/>
        </w:rPr>
        <w:t xml:space="preserve">  风险补偿</w:t>
      </w:r>
      <w:r>
        <w:rPr>
          <w:rFonts w:hint="eastAsia"/>
          <w:snapToGrid w:val="0"/>
          <w:color w:val="auto"/>
          <w:lang w:eastAsia="zh-CN"/>
        </w:rPr>
        <w:t>资</w:t>
      </w:r>
      <w:r>
        <w:rPr>
          <w:rFonts w:hint="eastAsia"/>
          <w:snapToGrid w:val="0"/>
          <w:color w:val="auto"/>
        </w:rPr>
        <w:t>金由</w:t>
      </w:r>
      <w:r>
        <w:rPr>
          <w:rFonts w:hint="eastAsia"/>
          <w:snapToGrid w:val="0"/>
          <w:color w:val="auto"/>
          <w:lang w:val="en-US" w:eastAsia="zh-CN"/>
        </w:rPr>
        <w:t>平罗县财政局委托</w:t>
      </w:r>
      <w:r>
        <w:rPr>
          <w:rFonts w:hint="eastAsia"/>
          <w:snapToGrid w:val="0"/>
          <w:color w:val="auto"/>
          <w:lang w:eastAsia="zh-CN"/>
        </w:rPr>
        <w:t>政府性</w:t>
      </w:r>
      <w:r>
        <w:rPr>
          <w:rFonts w:hint="eastAsia"/>
          <w:snapToGrid w:val="0"/>
          <w:color w:val="auto"/>
          <w:lang w:val="en-US" w:eastAsia="zh-CN"/>
        </w:rPr>
        <w:t>担保机构</w:t>
      </w:r>
      <w:r>
        <w:rPr>
          <w:rFonts w:hint="eastAsia"/>
          <w:snapToGrid w:val="0"/>
          <w:color w:val="auto"/>
        </w:rPr>
        <w:t>在合作</w:t>
      </w:r>
      <w:r>
        <w:rPr>
          <w:rFonts w:hint="eastAsia"/>
          <w:snapToGrid w:val="0"/>
          <w:color w:val="auto"/>
          <w:lang w:eastAsia="zh-CN"/>
        </w:rPr>
        <w:t>银行</w:t>
      </w:r>
      <w:r>
        <w:rPr>
          <w:rFonts w:hint="eastAsia"/>
          <w:snapToGrid w:val="0"/>
          <w:color w:val="auto"/>
        </w:rPr>
        <w:t>开设专户存放，并根据贷款发放情况，合理安排、调整存放比例</w:t>
      </w:r>
      <w:r>
        <w:rPr>
          <w:rFonts w:hint="eastAsia"/>
          <w:snapToGrid w:val="0"/>
          <w:color w:val="auto"/>
          <w:lang w:eastAsia="zh-CN"/>
        </w:rPr>
        <w:t>，</w:t>
      </w:r>
      <w:r>
        <w:rPr>
          <w:rFonts w:hint="eastAsia"/>
          <w:snapToGrid w:val="0"/>
          <w:color w:val="auto"/>
        </w:rPr>
        <w:t>账户内资金不得以任何理由挪用，仅用于</w:t>
      </w:r>
      <w:r>
        <w:rPr>
          <w:rFonts w:hint="eastAsia"/>
          <w:snapToGrid w:val="0"/>
          <w:color w:val="auto"/>
          <w:lang w:eastAsia="zh-CN"/>
        </w:rPr>
        <w:t>“小微快贷”</w:t>
      </w:r>
      <w:r>
        <w:rPr>
          <w:rFonts w:hint="eastAsia"/>
          <w:snapToGrid w:val="0"/>
          <w:color w:val="auto"/>
        </w:rPr>
        <w:t>业务发生</w:t>
      </w:r>
      <w:r>
        <w:rPr>
          <w:rFonts w:hint="eastAsia"/>
          <w:snapToGrid w:val="0"/>
          <w:color w:val="auto"/>
          <w:lang w:val="en-US" w:eastAsia="zh-CN"/>
        </w:rPr>
        <w:t>的</w:t>
      </w:r>
      <w:r>
        <w:rPr>
          <w:rFonts w:hint="eastAsia"/>
          <w:snapToGrid w:val="0"/>
          <w:color w:val="auto"/>
        </w:rPr>
        <w:t>代偿</w:t>
      </w:r>
      <w:r>
        <w:rPr>
          <w:rFonts w:hint="eastAsia"/>
          <w:snapToGrid w:val="0"/>
          <w:color w:val="auto"/>
          <w:lang w:val="en-US" w:eastAsia="zh-CN"/>
        </w:rPr>
        <w:t>及</w:t>
      </w:r>
      <w:r>
        <w:rPr>
          <w:rFonts w:hint="eastAsia"/>
          <w:snapToGrid w:val="0"/>
          <w:color w:val="auto"/>
        </w:rPr>
        <w:t>损失</w:t>
      </w:r>
      <w:r>
        <w:rPr>
          <w:rFonts w:hint="eastAsia"/>
          <w:snapToGrid w:val="0"/>
          <w:color w:val="auto"/>
          <w:lang w:val="en-US" w:eastAsia="zh-CN"/>
        </w:rPr>
        <w:t>补偿</w:t>
      </w:r>
      <w:r>
        <w:rPr>
          <w:rFonts w:hint="eastAsia"/>
          <w:snapToGrid w:val="0"/>
          <w:color w:val="auto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黑体_GBK" w:hAnsi="方正黑体_GBK" w:eastAsia="方正黑体_GBK" w:cs="方正黑体_GBK"/>
          <w:snapToGrid w:val="0"/>
          <w:color w:val="auto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</w:rPr>
        <w:t xml:space="preserve">第三章  </w:t>
      </w:r>
      <w:r>
        <w:rPr>
          <w:rFonts w:hint="eastAsia" w:ascii="方正黑体_GBK" w:hAnsi="方正黑体_GBK" w:eastAsia="方正黑体_GBK" w:cs="方正黑体_GBK"/>
          <w:snapToGrid w:val="0"/>
          <w:color w:val="auto"/>
          <w:lang w:eastAsia="zh-CN"/>
        </w:rPr>
        <w:t>支持和补偿的</w:t>
      </w:r>
      <w:r>
        <w:rPr>
          <w:rFonts w:hint="eastAsia" w:ascii="方正黑体_GBK" w:hAnsi="方正黑体_GBK" w:eastAsia="方正黑体_GBK" w:cs="方正黑体_GBK"/>
          <w:snapToGrid w:val="0"/>
          <w:color w:val="auto"/>
        </w:rPr>
        <w:t>对象</w:t>
      </w:r>
      <w:r>
        <w:rPr>
          <w:rFonts w:hint="eastAsia" w:ascii="方正黑体_GBK" w:hAnsi="方正黑体_GBK" w:eastAsia="方正黑体_GBK" w:cs="方正黑体_GBK"/>
          <w:snapToGrid w:val="0"/>
          <w:color w:val="auto"/>
          <w:lang w:eastAsia="zh-CN"/>
        </w:rPr>
        <w:t>及</w:t>
      </w:r>
      <w:r>
        <w:rPr>
          <w:rFonts w:hint="eastAsia" w:ascii="方正黑体_GBK" w:hAnsi="方正黑体_GBK" w:eastAsia="方正黑体_GBK" w:cs="方正黑体_GBK"/>
          <w:snapToGrid w:val="0"/>
          <w:color w:val="auto"/>
        </w:rPr>
        <w:t>条件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baseline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Cs w:val="20"/>
        </w:rPr>
        <w:t>第十一条</w:t>
      </w:r>
      <w:r>
        <w:rPr>
          <w:rFonts w:hint="eastAsia"/>
          <w:snapToGrid w:val="0"/>
          <w:color w:val="auto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申请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“小微快贷”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业务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"/>
        </w:rPr>
        <w:t>的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小微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需具备以下条件：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  <w:t>1.符合《中小微企业划型标准规定》界定标准的小微型企业，符合国家、自治区</w:t>
      </w:r>
      <w:r>
        <w:rPr>
          <w:rFonts w:hint="eastAsia" w:ascii="方正仿宋_GBK" w:hAnsi="方正仿宋_GBK" w:cs="方正仿宋_GBK"/>
          <w:snapToGrid w:val="0"/>
          <w:color w:val="auto"/>
          <w:szCs w:val="20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  <w:t>石嘴山市</w:t>
      </w:r>
      <w:r>
        <w:rPr>
          <w:rFonts w:hint="eastAsia" w:ascii="方正仿宋_GBK" w:hAnsi="方正仿宋_GBK" w:cs="方正仿宋_GBK"/>
          <w:snapToGrid w:val="0"/>
          <w:color w:val="auto"/>
          <w:szCs w:val="20"/>
          <w:lang w:val="en-US" w:eastAsia="zh-CN" w:bidi="ar"/>
        </w:rPr>
        <w:t>及平罗县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  <w:t>产业发展政策导向；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napToGrid/>
          <w:color w:val="auto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  <w:t>2.征信记录近24个月中无连续3个月以上逾期记录，近24个月累计逾期次数不超过6次。纳税情况正常，未被法院列入失</w:t>
      </w:r>
      <w:r>
        <w:rPr>
          <w:rFonts w:hint="eastAsia" w:ascii="Times New Roman" w:hAnsi="Times New Roman" w:eastAsia="方正仿宋_GBK" w:cs="Times New Roman"/>
          <w:snapToGrid/>
          <w:color w:val="auto"/>
          <w:szCs w:val="32"/>
          <w:lang w:val="en-US" w:eastAsia="zh-CN" w:bidi="ar"/>
        </w:rPr>
        <w:t>信被执行人名单；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  <w:t>3.生产经营稳定，持续盈利或预计可实现盈利；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  <w:t>4.符合合作银行信贷政策；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zCs w:val="20"/>
          <w:lang w:val="en-US" w:eastAsia="zh-CN" w:bidi="ar"/>
        </w:rPr>
        <w:t>5.能够提供本办法规定及政府性融资担保机构认可的担保措施。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 w:ascii="方正仿宋_GBK" w:hAnsi="方正仿宋_GBK" w:eastAsia="方正仿宋_GBK" w:cs="方正仿宋_GBK"/>
          <w:snapToGrid w:val="0"/>
          <w:color w:val="auto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Cs w:val="20"/>
        </w:rPr>
        <w:t>第十二条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Cs w:val="20"/>
          <w:lang w:val="en-US" w:eastAsia="zh-CN"/>
        </w:rPr>
        <w:t xml:space="preserve">  </w:t>
      </w:r>
      <w:r>
        <w:rPr>
          <w:rFonts w:hint="eastAsia"/>
          <w:snapToGrid w:val="0"/>
          <w:color w:val="auto"/>
        </w:rPr>
        <w:t>单</w:t>
      </w:r>
      <w:r>
        <w:rPr>
          <w:rFonts w:hint="eastAsia"/>
          <w:snapToGrid w:val="0"/>
          <w:color w:val="auto"/>
          <w:lang w:val="en-US" w:eastAsia="zh-CN"/>
        </w:rPr>
        <w:t>笔</w:t>
      </w:r>
      <w:r>
        <w:rPr>
          <w:rFonts w:hint="eastAsia"/>
          <w:snapToGrid w:val="0"/>
          <w:color w:val="auto"/>
        </w:rPr>
        <w:t>贷款额度原则上最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高不超过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500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万元(含)，贷款期限</w:t>
      </w:r>
      <w:r>
        <w:rPr>
          <w:rFonts w:hint="eastAsia" w:ascii="方正仿宋_GBK" w:hAnsi="方正仿宋_GBK" w:cs="方正仿宋_GBK"/>
          <w:snapToGrid w:val="0"/>
          <w:color w:val="auto"/>
          <w:lang w:eastAsia="zh-CN" w:bidi="ar"/>
        </w:rPr>
        <w:t>原则不超过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2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年</w:t>
      </w:r>
      <w:r>
        <w:rPr>
          <w:rFonts w:hint="eastAsia" w:ascii="方正仿宋_GBK" w:hAnsi="方正仿宋_GBK" w:cs="方正仿宋_GBK"/>
          <w:snapToGrid w:val="0"/>
          <w:color w:val="auto"/>
          <w:lang w:eastAsia="zh-CN" w:bidi="ar"/>
        </w:rPr>
        <w:t>。</w:t>
      </w:r>
    </w:p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jc w:val="both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Cs w:val="20"/>
        </w:rPr>
        <w:t>第十三条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Cs w:val="20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napToGrid w:val="0"/>
          <w:color w:val="auto"/>
          <w:lang w:val="en-US" w:eastAsia="zh-CN"/>
        </w:rPr>
        <w:t>合作银行对贷款企业的贷款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严格落实减费让利政策，从事非农业生产相关经营活动的担保费按照单笔贷款金额本金不超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过0.8%执行；从事农业生产相关经营活动的担保费按照单笔贷款金额本金的0.5%执行。鼓励各合作银行和政府性担保机构降低企业贷款成本，让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利企业。</w:t>
      </w:r>
    </w:p>
    <w:p>
      <w:pPr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kern w:val="2"/>
          <w:sz w:val="32"/>
          <w:szCs w:val="20"/>
          <w:highlight w:val="none"/>
          <w:lang w:val="en-US" w:eastAsia="zh-CN" w:bidi="ar-SA"/>
        </w:rPr>
        <w:t>第十四条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贷款额度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在</w:t>
      </w:r>
      <w:r>
        <w:rPr>
          <w:rFonts w:hint="eastAsia" w:ascii="方正仿宋_GBK" w:hAnsi="方正仿宋_GBK" w:cs="方正仿宋_GBK"/>
          <w:snapToGrid w:val="0"/>
          <w:color w:val="auto"/>
          <w:kern w:val="2"/>
          <w:sz w:val="32"/>
          <w:lang w:val="en-US" w:eastAsia="zh-CN" w:bidi="ar"/>
        </w:rPr>
        <w:t>200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万元（含）以下的根据企业经营情况可以采取信用模式发放，需企业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实际控制人夫妻双方提供保证担保，但不限于企业其他股东提供保证反担保；对贷款额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度在</w:t>
      </w:r>
      <w:r>
        <w:rPr>
          <w:rFonts w:hint="eastAsia" w:ascii="方正仿宋_GBK" w:hAnsi="方正仿宋_GBK" w:cs="方正仿宋_GBK"/>
          <w:snapToGrid w:val="0"/>
          <w:color w:val="auto"/>
          <w:kern w:val="2"/>
          <w:sz w:val="32"/>
          <w:lang w:val="en-US" w:eastAsia="zh-CN" w:bidi="ar"/>
        </w:rPr>
        <w:t>200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万元以上的，采取抵质押或抵质押+保证担保方式发放，其中采用抵质押方式办理的业务，抵质押物抵质押价值为不低于授信额度的40%。合作银行不得就其承担部分要求借款人额外提供抵质押物。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黑体_GBK" w:hAnsi="方正黑体_GBK" w:eastAsia="方正黑体_GBK" w:cs="方正黑体_GBK"/>
          <w:snapToGrid w:val="0"/>
          <w:color w:val="auto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</w:rPr>
        <w:t>第四章  风险补偿程序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第十五条</w:t>
      </w:r>
      <w:r>
        <w:rPr>
          <w:rFonts w:hint="eastAsia"/>
          <w:snapToGrid w:val="0"/>
          <w:color w:val="auto"/>
          <w:lang w:val="en-US" w:eastAsia="zh-CN"/>
        </w:rPr>
        <w:t xml:space="preserve"> </w:t>
      </w:r>
      <w:r>
        <w:rPr>
          <w:rFonts w:hint="eastAsia"/>
          <w:snapToGrid w:val="0"/>
          <w:color w:val="auto"/>
        </w:rPr>
        <w:t xml:space="preserve"> 合作银行和</w:t>
      </w:r>
      <w:r>
        <w:rPr>
          <w:rFonts w:hint="eastAsia"/>
          <w:snapToGrid w:val="0"/>
          <w:color w:val="auto"/>
          <w:lang w:eastAsia="zh-CN"/>
        </w:rPr>
        <w:t>政府性担保机构</w:t>
      </w:r>
      <w:r>
        <w:rPr>
          <w:rFonts w:hint="eastAsia"/>
          <w:snapToGrid w:val="0"/>
          <w:color w:val="auto"/>
        </w:rPr>
        <w:t>对</w:t>
      </w:r>
      <w:r>
        <w:rPr>
          <w:rFonts w:hint="eastAsia"/>
          <w:snapToGrid w:val="0"/>
          <w:color w:val="auto"/>
          <w:lang w:eastAsia="zh-CN"/>
        </w:rPr>
        <w:t>符合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申请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“小微快贷”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业务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"/>
        </w:rPr>
        <w:t>的企业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需</w:t>
      </w:r>
      <w:r>
        <w:rPr>
          <w:rFonts w:hint="eastAsia"/>
          <w:snapToGrid w:val="0"/>
          <w:color w:val="auto"/>
        </w:rPr>
        <w:t>进行尽职调查，独立决策贷款意向。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val="en-US" w:eastAsia="zh-CN"/>
        </w:rPr>
        <w:t>第十六条</w:t>
      </w:r>
      <w:r>
        <w:rPr>
          <w:rFonts w:hint="eastAsia" w:ascii="方正黑体_GBK" w:hAnsi="方正黑体_GBK" w:eastAsia="方正黑体_GBK" w:cs="方正黑体_GBK"/>
          <w:b/>
          <w:bCs/>
          <w:snapToGrid w:val="0"/>
          <w:color w:val="auto"/>
          <w:lang w:val="en-US" w:eastAsia="zh-CN"/>
        </w:rPr>
        <w:t xml:space="preserve">  </w:t>
      </w:r>
      <w:r>
        <w:rPr>
          <w:rFonts w:hint="default"/>
          <w:snapToGrid w:val="0"/>
          <w:color w:val="auto"/>
          <w:lang w:val="en-US" w:eastAsia="zh-CN"/>
        </w:rPr>
        <w:t>当贷款企业发生逾期后，经合作银行、</w:t>
      </w:r>
      <w:r>
        <w:rPr>
          <w:rFonts w:hint="eastAsia"/>
          <w:snapToGrid w:val="0"/>
          <w:color w:val="auto"/>
          <w:lang w:val="en-US" w:eastAsia="zh-CN"/>
        </w:rPr>
        <w:t>政府性担保机构</w:t>
      </w:r>
      <w:r>
        <w:rPr>
          <w:rFonts w:hint="default"/>
          <w:snapToGrid w:val="0"/>
          <w:color w:val="auto"/>
          <w:lang w:val="en-US" w:eastAsia="zh-CN"/>
        </w:rPr>
        <w:t>催收后，认定无力偿还的，合作银行、</w:t>
      </w:r>
      <w:r>
        <w:rPr>
          <w:rFonts w:hint="eastAsia"/>
          <w:snapToGrid w:val="0"/>
          <w:color w:val="auto"/>
          <w:lang w:val="en-US" w:eastAsia="zh-CN"/>
        </w:rPr>
        <w:t>政府性担保机构、</w:t>
      </w:r>
      <w:r>
        <w:rPr>
          <w:rFonts w:hint="default"/>
          <w:snapToGrid w:val="0"/>
          <w:color w:val="auto"/>
          <w:lang w:val="en-US" w:eastAsia="zh-CN"/>
        </w:rPr>
        <w:t>风险补偿资金</w:t>
      </w:r>
      <w:r>
        <w:rPr>
          <w:rFonts w:hint="eastAsia"/>
          <w:snapToGrid w:val="0"/>
          <w:color w:val="auto"/>
          <w:lang w:val="en-US" w:eastAsia="zh-CN"/>
        </w:rPr>
        <w:t>分别</w:t>
      </w:r>
      <w:r>
        <w:rPr>
          <w:rFonts w:hint="default"/>
          <w:snapToGrid w:val="0"/>
          <w:color w:val="auto"/>
          <w:lang w:val="en-US" w:eastAsia="zh-CN"/>
        </w:rPr>
        <w:t>按</w:t>
      </w:r>
      <w:r>
        <w:rPr>
          <w:rFonts w:hint="eastAsia"/>
          <w:snapToGrid w:val="0"/>
          <w:color w:val="auto"/>
          <w:lang w:val="en-US" w:eastAsia="zh-CN"/>
        </w:rPr>
        <w:t>代偿贷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款本金的40%：40%：20%的比例分担代偿及损失金额。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val="en-US" w:eastAsia="zh-CN"/>
        </w:rPr>
        <w:t>七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/>
          <w:b/>
          <w:bCs/>
          <w:snapToGrid w:val="0"/>
          <w:color w:val="auto"/>
        </w:rPr>
        <w:t xml:space="preserve">  </w:t>
      </w:r>
      <w:r>
        <w:rPr>
          <w:rFonts w:hint="eastAsia"/>
          <w:snapToGrid w:val="0"/>
          <w:color w:val="auto"/>
          <w:lang w:val="en-US" w:eastAsia="zh-CN"/>
        </w:rPr>
        <w:t>对于逾期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超过3个月的贷款，由合作银行向政府性担保机构提出风险补偿资金代偿书面申请，政府性担保机构初审后报县财政局，由县财政局15个工作日内复审并通知政府性融资担保机构，完成风险补偿金代偿手续。当风险补偿金余额不足清偿贷款本金的20%时”，</w:t>
      </w:r>
      <w:r>
        <w:rPr>
          <w:rFonts w:hint="eastAsia"/>
          <w:snapToGrid w:val="0"/>
          <w:color w:val="auto"/>
          <w:lang w:val="en-US" w:eastAsia="zh-CN"/>
        </w:rPr>
        <w:t>政府性担保机构会同财政局可以向</w:t>
      </w:r>
      <w:r>
        <w:rPr>
          <w:rFonts w:hint="eastAsia"/>
          <w:b w:val="0"/>
          <w:bCs w:val="0"/>
          <w:snapToGrid w:val="0"/>
          <w:color w:val="auto"/>
          <w:lang w:val="en-US" w:eastAsia="zh-CN"/>
        </w:rPr>
        <w:t>平罗县人民政府</w:t>
      </w:r>
      <w:r>
        <w:rPr>
          <w:rFonts w:hint="eastAsia"/>
          <w:snapToGrid w:val="0"/>
          <w:color w:val="auto"/>
          <w:lang w:val="en-US" w:eastAsia="zh-CN"/>
        </w:rPr>
        <w:t>申请补充。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方正黑体_GBK" w:hAnsi="方正黑体_GBK" w:eastAsia="方正黑体_GBK" w:cs="方正黑体_GBK"/>
          <w:snapToGrid w:val="0"/>
          <w:color w:val="auto"/>
          <w:kern w:val="2"/>
          <w:sz w:val="32"/>
          <w:szCs w:val="20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第十八条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2"/>
          <w:sz w:val="32"/>
          <w:szCs w:val="20"/>
          <w:lang w:val="en-US" w:eastAsia="zh-CN" w:bidi="ar-SA"/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风险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u w:val="none"/>
          <w:lang w:val="en-US" w:eastAsia="zh-CN" w:bidi="ar-SA"/>
        </w:rPr>
        <w:t>补偿资金代偿后，经政府性担保机构、合作银行按照各自规定和流程启动追偿程序以减少损失。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第十九条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2"/>
          <w:sz w:val="32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代偿后，合作银行、政府性融资担保机构按程序追偿清收后确认无法收回，认定为损失的，参照金融企业呆账核销管理有关规定，由政府性担保机构履行内部决策程序后，按照程序进行核销。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第二十条</w:t>
      </w:r>
      <w:r>
        <w:rPr>
          <w:rFonts w:hint="eastAsia"/>
          <w:snapToGrid w:val="0"/>
          <w:color w:val="auto"/>
        </w:rPr>
        <w:t xml:space="preserve">  </w:t>
      </w:r>
      <w:r>
        <w:rPr>
          <w:rFonts w:hint="eastAsia"/>
          <w:snapToGrid w:val="0"/>
          <w:color w:val="auto"/>
          <w:lang w:val="en-US" w:eastAsia="zh-CN"/>
        </w:rPr>
        <w:t>政府性担保机构应</w:t>
      </w:r>
      <w:r>
        <w:rPr>
          <w:rFonts w:hint="eastAsia"/>
          <w:snapToGrid w:val="0"/>
          <w:color w:val="auto"/>
        </w:rPr>
        <w:t>建立</w:t>
      </w:r>
      <w:r>
        <w:rPr>
          <w:rFonts w:hint="eastAsia"/>
          <w:snapToGrid w:val="0"/>
          <w:color w:val="auto"/>
          <w:lang w:eastAsia="zh-CN"/>
        </w:rPr>
        <w:t>“小微快贷”</w:t>
      </w:r>
      <w:r>
        <w:rPr>
          <w:rFonts w:hint="eastAsia"/>
          <w:snapToGrid w:val="0"/>
          <w:color w:val="auto"/>
        </w:rPr>
        <w:t>风险补偿金使用情况台账，定期对账并通报相关情况。合作银行要对</w:t>
      </w:r>
      <w:r>
        <w:rPr>
          <w:rFonts w:hint="eastAsia"/>
          <w:snapToGrid w:val="0"/>
          <w:color w:val="auto"/>
          <w:lang w:eastAsia="zh-CN"/>
        </w:rPr>
        <w:t>中</w:t>
      </w:r>
      <w:r>
        <w:rPr>
          <w:rFonts w:hint="eastAsia"/>
          <w:snapToGrid w:val="0"/>
          <w:color w:val="auto"/>
        </w:rPr>
        <w:t>小微企业已出现或可能出现的风险及时提出预警和处置建议。在不良率达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到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5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%或风险资金账户资金余额不足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20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%时暂停</w:t>
      </w:r>
      <w:r>
        <w:rPr>
          <w:rFonts w:hint="eastAsia" w:ascii="方正仿宋_GBK" w:hAnsi="方正仿宋_GBK" w:cs="方正仿宋_GBK"/>
          <w:snapToGrid w:val="0"/>
          <w:color w:val="auto"/>
          <w:lang w:eastAsia="zh-CN" w:bidi="ar"/>
        </w:rPr>
        <w:t>新增业务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。合作银行要及时函告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县</w:t>
      </w:r>
      <w:r>
        <w:rPr>
          <w:rFonts w:hint="eastAsia" w:ascii="方正仿宋_GBK" w:hAnsi="方正仿宋_GBK" w:cs="方正仿宋_GBK"/>
          <w:snapToGrid w:val="0"/>
          <w:color w:val="auto"/>
          <w:lang w:eastAsia="zh-CN" w:bidi="ar"/>
        </w:rPr>
        <w:t>财政局及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政府性担保机</w:t>
      </w:r>
      <w:r>
        <w:rPr>
          <w:rFonts w:hint="eastAsia"/>
          <w:snapToGrid w:val="0"/>
          <w:color w:val="auto"/>
          <w:lang w:val="en-US" w:eastAsia="zh-CN"/>
        </w:rPr>
        <w:t>构</w:t>
      </w:r>
      <w:r>
        <w:rPr>
          <w:rFonts w:hint="eastAsia"/>
          <w:snapToGrid w:val="0"/>
          <w:color w:val="auto"/>
        </w:rPr>
        <w:t>，待不良率下降或政府补充风险补偿金后再行恢复</w:t>
      </w:r>
      <w:r>
        <w:rPr>
          <w:rFonts w:hint="eastAsia"/>
          <w:snapToGrid w:val="0"/>
          <w:color w:val="auto"/>
          <w:lang w:eastAsia="zh-CN"/>
        </w:rPr>
        <w:t>新增业务</w:t>
      </w:r>
      <w:r>
        <w:rPr>
          <w:rFonts w:hint="eastAsia"/>
          <w:snapToGrid w:val="0"/>
          <w:color w:val="auto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二十一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/>
          <w:snapToGrid w:val="0"/>
          <w:color w:val="auto"/>
        </w:rPr>
        <w:t xml:space="preserve">  风险</w:t>
      </w:r>
      <w:r>
        <w:rPr>
          <w:rFonts w:hint="eastAsia"/>
          <w:snapToGrid w:val="0"/>
          <w:color w:val="auto"/>
          <w:lang w:eastAsia="zh-CN"/>
        </w:rPr>
        <w:t>补偿</w:t>
      </w:r>
      <w:r>
        <w:rPr>
          <w:rFonts w:hint="eastAsia"/>
          <w:snapToGrid w:val="0"/>
          <w:color w:val="auto"/>
        </w:rPr>
        <w:t>资金代偿责任的范围为合作银行</w:t>
      </w:r>
      <w:r>
        <w:rPr>
          <w:rFonts w:hint="eastAsia"/>
          <w:snapToGrid w:val="0"/>
          <w:color w:val="auto"/>
          <w:lang w:eastAsia="zh-CN"/>
        </w:rPr>
        <w:t>“小微快贷”</w:t>
      </w:r>
      <w:r>
        <w:rPr>
          <w:rFonts w:hint="eastAsia"/>
          <w:snapToGrid w:val="0"/>
          <w:color w:val="auto"/>
        </w:rPr>
        <w:t>债权本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金</w:t>
      </w:r>
      <w:r>
        <w:rPr>
          <w:rFonts w:hint="eastAsia" w:ascii="方正仿宋_GBK" w:hAnsi="方正仿宋_GBK" w:cs="方正仿宋_GBK"/>
          <w:snapToGrid w:val="0"/>
          <w:color w:val="auto"/>
          <w:lang w:eastAsia="zh-CN" w:bidi="ar"/>
        </w:rPr>
        <w:t>的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20%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，合作银行在上述范围内债权减少时，风险</w:t>
      </w:r>
      <w:r>
        <w:rPr>
          <w:rFonts w:hint="eastAsia" w:ascii="方正仿宋_GBK" w:hAnsi="方正仿宋_GBK" w:cs="方正仿宋_GBK"/>
          <w:snapToGrid w:val="0"/>
          <w:color w:val="auto"/>
          <w:lang w:eastAsia="zh-CN" w:bidi="ar"/>
        </w:rPr>
        <w:t>补偿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资金的代偿责任相</w:t>
      </w:r>
      <w:r>
        <w:rPr>
          <w:rFonts w:hint="eastAsia"/>
          <w:snapToGrid w:val="0"/>
          <w:color w:val="auto"/>
        </w:rPr>
        <w:t>应减少。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 w:val="32"/>
          <w:szCs w:val="20"/>
        </w:rPr>
        <w:t>第二十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 w:val="32"/>
          <w:szCs w:val="20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z w:val="32"/>
          <w:szCs w:val="20"/>
        </w:rPr>
        <w:t>条</w:t>
      </w:r>
      <w:r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20"/>
        </w:rPr>
        <w:t xml:space="preserve">  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</w:rPr>
        <w:t>风险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  <w:lang w:eastAsia="zh-CN"/>
        </w:rPr>
        <w:t>补偿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</w:rPr>
        <w:t>资金就风险补偿金总量承担有限代偿责任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  <w:lang w:eastAsia="zh-CN"/>
        </w:rPr>
        <w:t>，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</w:rPr>
        <w:t>风险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  <w:lang w:eastAsia="zh-CN"/>
        </w:rPr>
        <w:t>补偿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</w:rPr>
        <w:t>资金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  <w:lang w:val="en-US" w:eastAsia="zh-CN"/>
        </w:rPr>
        <w:t>代偿后的债权由政府性担保机构负责追偿。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政府性担保机构追偿所得或企业恢复还款收回的资金，扣除相关追索费用后，剩余部分按各方承担风险比例进行分配，“小微快贷”资金账户、乙方、丙方所分配部分按原渠道退回至各自相应账户。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黑体_GBK" w:hAnsi="方正黑体_GBK" w:eastAsia="方正黑体_GBK" w:cs="方正黑体_GBK"/>
          <w:snapToGrid w:val="0"/>
          <w:color w:val="auto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</w:rPr>
        <w:t>第五章  监督管理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 w:eastAsia="方正仿宋_GBK"/>
          <w:snapToGrid w:val="0"/>
          <w:color w:val="auto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第二十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/>
          <w:snapToGrid w:val="0"/>
          <w:color w:val="auto"/>
        </w:rPr>
        <w:t xml:space="preserve">  </w:t>
      </w:r>
      <w:r>
        <w:rPr>
          <w:rFonts w:hint="eastAsia"/>
          <w:snapToGrid w:val="0"/>
          <w:color w:val="auto"/>
          <w:lang w:val="en-US" w:eastAsia="zh-CN"/>
        </w:rPr>
        <w:t>政府性融资</w:t>
      </w:r>
      <w:r>
        <w:rPr>
          <w:rFonts w:hint="eastAsia"/>
          <w:b w:val="0"/>
          <w:bCs w:val="0"/>
          <w:snapToGrid w:val="0"/>
          <w:color w:val="auto"/>
          <w:lang w:val="en-US" w:eastAsia="zh-CN"/>
        </w:rPr>
        <w:t>担保机构</w:t>
      </w:r>
      <w:r>
        <w:rPr>
          <w:rFonts w:hint="eastAsia"/>
          <w:b w:val="0"/>
          <w:bCs w:val="0"/>
          <w:snapToGrid w:val="0"/>
          <w:color w:val="auto"/>
        </w:rPr>
        <w:t>具体负责风险补偿金资金账户日常管理</w:t>
      </w:r>
      <w:r>
        <w:rPr>
          <w:rFonts w:hint="eastAsia"/>
          <w:b w:val="0"/>
          <w:bCs w:val="0"/>
          <w:snapToGrid w:val="0"/>
          <w:color w:val="auto"/>
          <w:lang w:eastAsia="zh-CN"/>
        </w:rPr>
        <w:t>，</w:t>
      </w:r>
      <w:r>
        <w:rPr>
          <w:rFonts w:hint="eastAsia"/>
          <w:b w:val="0"/>
          <w:bCs w:val="0"/>
          <w:snapToGrid w:val="0"/>
          <w:color w:val="auto"/>
          <w:lang w:val="en-US" w:eastAsia="zh-CN"/>
        </w:rPr>
        <w:t>并与银行签订合作协议。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Times New Roman" w:hAnsi="Times New Roman" w:eastAsia="方正仿宋_GBK"/>
          <w:snapToGrid w:val="0"/>
          <w:color w:val="auto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第二十四条</w:t>
      </w:r>
      <w:r>
        <w:rPr>
          <w:rFonts w:hint="eastAsia"/>
          <w:snapToGrid w:val="0"/>
          <w:color w:val="auto"/>
        </w:rPr>
        <w:t xml:space="preserve">  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  <w:lang w:val="en-US" w:eastAsia="zh-CN"/>
        </w:rPr>
        <w:t>每个合作年度结束，县财政局对“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  <w:lang w:val="en-US" w:eastAsia="zh-CN"/>
        </w:rPr>
        <w:t>小微快贷</w:t>
      </w:r>
      <w:r>
        <w:rPr>
          <w:rFonts w:hint="eastAsia" w:ascii="Times New Roman" w:hAnsi="Times New Roman" w:eastAsia="方正仿宋_GBK"/>
          <w:snapToGrid w:val="0"/>
          <w:color w:val="auto"/>
          <w:sz w:val="32"/>
          <w:szCs w:val="20"/>
          <w:lang w:val="en-US" w:eastAsia="zh-CN"/>
        </w:rPr>
        <w:t>”业务运营情况和风险补偿资金使用情况进行进行绩效评价。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第二十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/>
          <w:snapToGrid w:val="0"/>
          <w:color w:val="auto"/>
        </w:rPr>
        <w:t xml:space="preserve">  贷款企业出现违反财经纪律、提供虚假信息、骗取贷款的行为或恶意逃避债务导致</w:t>
      </w:r>
      <w:r>
        <w:rPr>
          <w:rFonts w:hint="eastAsia"/>
          <w:snapToGrid w:val="0"/>
          <w:color w:val="auto"/>
          <w:lang w:eastAsia="zh-CN"/>
        </w:rPr>
        <w:t>“小微快贷”</w:t>
      </w:r>
      <w:r>
        <w:rPr>
          <w:rFonts w:hint="eastAsia"/>
          <w:snapToGrid w:val="0"/>
          <w:color w:val="auto"/>
        </w:rPr>
        <w:t>风险补偿金和银行贷款损失的，列入诚信黑名单外，按照《财政违法行为处罚处分条例》（国务</w:t>
      </w:r>
      <w:r>
        <w:rPr>
          <w:rFonts w:hint="eastAsia" w:ascii="方正仿宋_GBK" w:hAnsi="方正仿宋_GBK" w:cs="方正仿宋_GBK"/>
          <w:snapToGrid w:val="0"/>
          <w:color w:val="auto"/>
        </w:rPr>
        <w:t>院令第427号）</w:t>
      </w:r>
      <w:r>
        <w:rPr>
          <w:rFonts w:hint="eastAsia"/>
          <w:snapToGrid w:val="0"/>
          <w:color w:val="auto"/>
        </w:rPr>
        <w:t>进行处理。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第二十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 w:ascii="黑体" w:hAnsi="黑体" w:eastAsia="黑体" w:cs="黑体"/>
          <w:snapToGrid w:val="0"/>
          <w:color w:val="auto"/>
        </w:rPr>
        <w:t xml:space="preserve"> </w:t>
      </w:r>
      <w:r>
        <w:rPr>
          <w:rFonts w:hint="eastAsia"/>
          <w:snapToGrid w:val="0"/>
          <w:color w:val="auto"/>
        </w:rPr>
        <w:t xml:space="preserve"> </w:t>
      </w:r>
      <w:r>
        <w:rPr>
          <w:rFonts w:hint="eastAsia"/>
          <w:snapToGrid w:val="0"/>
          <w:color w:val="auto"/>
          <w:lang w:eastAsia="zh-CN"/>
        </w:rPr>
        <w:t>“小微快贷”业务按照自治区相关尽职免责规定执行。</w:t>
      </w:r>
      <w:r>
        <w:rPr>
          <w:rFonts w:hint="eastAsia"/>
          <w:snapToGrid w:val="0"/>
          <w:color w:val="auto"/>
        </w:rPr>
        <w:t>相关工作人员在</w:t>
      </w:r>
      <w:r>
        <w:rPr>
          <w:rFonts w:hint="eastAsia"/>
          <w:snapToGrid w:val="0"/>
          <w:color w:val="auto"/>
          <w:lang w:eastAsia="zh-CN"/>
        </w:rPr>
        <w:t>“小微快贷”</w:t>
      </w:r>
      <w:r>
        <w:rPr>
          <w:rFonts w:hint="eastAsia"/>
          <w:snapToGrid w:val="0"/>
          <w:color w:val="auto"/>
        </w:rPr>
        <w:t>业务管理工作中滥用职权、玩忽职守、徇私舞弊的，依纪依法给予相应处分</w:t>
      </w:r>
      <w:r>
        <w:rPr>
          <w:rFonts w:hint="eastAsia"/>
          <w:snapToGrid w:val="0"/>
          <w:color w:val="auto"/>
          <w:lang w:eastAsia="zh-CN"/>
        </w:rPr>
        <w:t>。</w:t>
      </w:r>
      <w:r>
        <w:rPr>
          <w:rFonts w:hint="eastAsia"/>
          <w:snapToGrid w:val="0"/>
          <w:color w:val="auto"/>
        </w:rPr>
        <w:t>构成犯罪的，移送司法机关依法追究刑事责任。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黑体_GBK" w:hAnsi="方正黑体_GBK" w:eastAsia="方正黑体_GBK" w:cs="方正黑体_GBK"/>
          <w:snapToGrid w:val="0"/>
          <w:color w:val="auto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</w:rPr>
        <w:t>第六章  附则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二十八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/>
          <w:snapToGrid w:val="0"/>
          <w:color w:val="auto"/>
        </w:rPr>
        <w:t xml:space="preserve">  </w:t>
      </w:r>
      <w:r>
        <w:rPr>
          <w:rFonts w:hint="eastAsia"/>
          <w:snapToGrid w:val="0"/>
          <w:color w:val="auto"/>
          <w:lang w:eastAsia="zh-CN"/>
        </w:rPr>
        <w:t>“小微快贷”</w:t>
      </w:r>
      <w:r>
        <w:rPr>
          <w:rFonts w:hint="eastAsia"/>
          <w:snapToGrid w:val="0"/>
          <w:color w:val="auto"/>
        </w:rPr>
        <w:t>业务的审批、发放、回收、贷后管理等按</w:t>
      </w:r>
      <w:r>
        <w:rPr>
          <w:rFonts w:hint="eastAsia"/>
          <w:snapToGrid w:val="0"/>
          <w:color w:val="auto"/>
          <w:lang w:eastAsia="zh-CN"/>
        </w:rPr>
        <w:t>“小微快贷”操作规程及</w:t>
      </w:r>
      <w:r>
        <w:rPr>
          <w:rFonts w:hint="eastAsia"/>
          <w:snapToGrid w:val="0"/>
          <w:color w:val="auto"/>
        </w:rPr>
        <w:t>合作银行</w:t>
      </w:r>
      <w:r>
        <w:rPr>
          <w:rFonts w:hint="eastAsia"/>
          <w:snapToGrid w:val="0"/>
          <w:color w:val="auto"/>
          <w:lang w:eastAsia="zh-CN"/>
        </w:rPr>
        <w:t>、</w:t>
      </w:r>
      <w:r>
        <w:rPr>
          <w:rFonts w:hint="eastAsia"/>
          <w:snapToGrid w:val="0"/>
          <w:color w:val="auto"/>
          <w:lang w:val="en-US" w:eastAsia="zh-CN"/>
        </w:rPr>
        <w:t>政府性担保机构</w:t>
      </w:r>
      <w:r>
        <w:rPr>
          <w:rFonts w:hint="eastAsia"/>
          <w:snapToGrid w:val="0"/>
          <w:color w:val="auto"/>
        </w:rPr>
        <w:t>的相关规定</w:t>
      </w:r>
      <w:r>
        <w:rPr>
          <w:rFonts w:hint="eastAsia"/>
          <w:snapToGrid w:val="0"/>
          <w:color w:val="auto"/>
          <w:lang w:eastAsia="zh-CN"/>
        </w:rPr>
        <w:t>执行</w:t>
      </w:r>
      <w:r>
        <w:rPr>
          <w:rFonts w:hint="eastAsia"/>
          <w:snapToGrid w:val="0"/>
          <w:color w:val="auto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三十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/>
          <w:snapToGrid w:val="0"/>
          <w:color w:val="auto"/>
        </w:rPr>
        <w:t xml:space="preserve">  本办法由</w:t>
      </w:r>
      <w:r>
        <w:rPr>
          <w:rFonts w:hint="eastAsia"/>
          <w:snapToGrid w:val="0"/>
          <w:color w:val="auto"/>
          <w:lang w:val="en-US" w:eastAsia="zh-CN"/>
        </w:rPr>
        <w:t>县</w:t>
      </w:r>
      <w:r>
        <w:rPr>
          <w:rFonts w:hint="eastAsia"/>
          <w:snapToGrid w:val="0"/>
          <w:color w:val="auto"/>
        </w:rPr>
        <w:t>财政局负责解释。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/>
          <w:snapToGrid w:val="0"/>
          <w:color w:val="auto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lang w:eastAsia="zh-CN"/>
        </w:rPr>
        <w:t>三十一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</w:rPr>
        <w:t>条</w:t>
      </w:r>
      <w:r>
        <w:rPr>
          <w:rFonts w:hint="eastAsia"/>
          <w:snapToGrid w:val="0"/>
          <w:color w:val="auto"/>
        </w:rPr>
        <w:t xml:space="preserve">  </w:t>
      </w:r>
      <w:r>
        <w:rPr>
          <w:rFonts w:hint="eastAsia"/>
          <w:snapToGrid w:val="0"/>
          <w:color w:val="auto"/>
          <w:lang w:eastAsia="zh-CN"/>
        </w:rPr>
        <w:t>本办法自发布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之日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30日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后施行，即自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2025年10月23日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施行，有效期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至2030年10月23日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。有效期届满前6个月，由平罗县财政局会同相关单位评估实施效果，决定是否修订或延续</w:t>
      </w:r>
      <w:r>
        <w:rPr>
          <w:rFonts w:hint="eastAsia"/>
          <w:snapToGrid w:val="0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color w:val="auto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4929505</wp:posOffset>
              </wp:positionH>
              <wp:positionV relativeFrom="paragraph">
                <wp:posOffset>-107950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8.15pt;margin-top:-8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WY70W9cAAAAMAQAADwAAAAAAAAABACAAAAA4AAAAZHJzL2Rvd25yZXYueG1sUEsBAhQA&#10;FAAAAAgAh07iQEREUCndAQAAvgMAAA4AAAAAAAAAAQAgAAAAP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AE6A"/>
    <w:rsid w:val="06CF54BB"/>
    <w:rsid w:val="0AF635A3"/>
    <w:rsid w:val="12B56DB4"/>
    <w:rsid w:val="15413BEF"/>
    <w:rsid w:val="1B865732"/>
    <w:rsid w:val="1BB64071"/>
    <w:rsid w:val="1E2376F6"/>
    <w:rsid w:val="1FF91232"/>
    <w:rsid w:val="24D703D9"/>
    <w:rsid w:val="25EF0C18"/>
    <w:rsid w:val="28180C8B"/>
    <w:rsid w:val="2C815051"/>
    <w:rsid w:val="36F86DF5"/>
    <w:rsid w:val="37CC675A"/>
    <w:rsid w:val="3A3F5643"/>
    <w:rsid w:val="3B543AB6"/>
    <w:rsid w:val="3D6267D9"/>
    <w:rsid w:val="3FBB951A"/>
    <w:rsid w:val="401E6EFE"/>
    <w:rsid w:val="418F5E8F"/>
    <w:rsid w:val="4255690C"/>
    <w:rsid w:val="43498766"/>
    <w:rsid w:val="4AAFCEC8"/>
    <w:rsid w:val="4C956BCC"/>
    <w:rsid w:val="4EBF2964"/>
    <w:rsid w:val="4FEED788"/>
    <w:rsid w:val="57FFC720"/>
    <w:rsid w:val="5BBF9DCC"/>
    <w:rsid w:val="5EEFF1D1"/>
    <w:rsid w:val="6212165E"/>
    <w:rsid w:val="67D9CD08"/>
    <w:rsid w:val="693D1862"/>
    <w:rsid w:val="6BDDC4B2"/>
    <w:rsid w:val="6F3D2F66"/>
    <w:rsid w:val="6FBFCAA3"/>
    <w:rsid w:val="6FC529A5"/>
    <w:rsid w:val="6FFAB6DE"/>
    <w:rsid w:val="71C823A7"/>
    <w:rsid w:val="71FFC17F"/>
    <w:rsid w:val="777BFB99"/>
    <w:rsid w:val="777FDC2F"/>
    <w:rsid w:val="7BFBAE6A"/>
    <w:rsid w:val="7D9B1E78"/>
    <w:rsid w:val="7DA458D1"/>
    <w:rsid w:val="7DAC47A2"/>
    <w:rsid w:val="7E556CC5"/>
    <w:rsid w:val="7E795141"/>
    <w:rsid w:val="7FD791D6"/>
    <w:rsid w:val="7FF6EF33"/>
    <w:rsid w:val="7FFC4DBC"/>
    <w:rsid w:val="7FFFA3BC"/>
    <w:rsid w:val="ADBF5A56"/>
    <w:rsid w:val="BDEFC330"/>
    <w:rsid w:val="BED70D0C"/>
    <w:rsid w:val="BEFD4843"/>
    <w:rsid w:val="BF7FD42E"/>
    <w:rsid w:val="BFBF6587"/>
    <w:rsid w:val="DD2B2E11"/>
    <w:rsid w:val="DEFFE603"/>
    <w:rsid w:val="E1AFDD5F"/>
    <w:rsid w:val="E7F50E35"/>
    <w:rsid w:val="EB57F30D"/>
    <w:rsid w:val="EBFEC84A"/>
    <w:rsid w:val="EF7BA1F4"/>
    <w:rsid w:val="F3CF6C14"/>
    <w:rsid w:val="F5FE2C7F"/>
    <w:rsid w:val="F7EFBB67"/>
    <w:rsid w:val="FBEF7EAA"/>
    <w:rsid w:val="FDDF8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3449</Words>
  <Characters>3545</Characters>
  <Lines>0</Lines>
  <Paragraphs>0</Paragraphs>
  <TotalTime>4</TotalTime>
  <ScaleCrop>false</ScaleCrop>
  <LinksUpToDate>false</LinksUpToDate>
  <CharactersWithSpaces>3637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2025-04-10T11:27:00Z</dcterms:created>
  <dc:creator>kylin</dc:creator>
  <cp:lastModifiedBy>UOS</cp:lastModifiedBy>
  <cp:lastPrinted>2025-09-24T07:04:00Z</cp:lastPrinted>
  <dcterms:modified xsi:type="dcterms:W3CDTF">2025-10-22T17:28:19Z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26E2DA05AE118FA3B3A3F868C28BDC7B_43</vt:lpwstr>
  </property>
  <property fmtid="{D5CDD505-2E9C-101B-9397-08002B2CF9AE}" pid="4" name="KSOTemplateDocerSaveRecord">
    <vt:lpwstr>eyJoZGlkIjoiMGRlZTQ3YzAxZmZlNjk0Yzg0YTk2MmMyN2ViNzA0ZmEiLCJ1c2VySWQiOiIxMDQ2NDc2MDg2In0=</vt:lpwstr>
  </property>
</Properties>
</file>