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50" w:lineRule="exact"/>
        <w:jc w:val="both"/>
        <w:rPr>
          <w:rFonts w:hint="eastAsia" w:ascii="方正小标宋_GBK" w:hAnsi="方正小标宋_GBK" w:eastAsia="方正小标宋_GBK" w:cs="方正小标宋_GBK"/>
          <w:snapToGrid w:val="0"/>
          <w:color w:val="auto"/>
          <w:sz w:val="44"/>
          <w:szCs w:val="44"/>
        </w:rPr>
      </w:pPr>
      <w:bookmarkStart w:id="1" w:name="_GoBack"/>
      <w:bookmarkEnd w:id="1"/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5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auto"/>
          <w:sz w:val="44"/>
          <w:szCs w:val="44"/>
        </w:rPr>
      </w:pPr>
      <w:bookmarkStart w:id="0" w:name="OLE_LINK4"/>
      <w:r>
        <w:rPr>
          <w:rFonts w:hint="eastAsia" w:ascii="方正小标宋_GBK" w:hAnsi="方正小标宋_GBK" w:eastAsia="方正小标宋_GBK" w:cs="方正小标宋_GBK"/>
          <w:snapToGrid w:val="0"/>
          <w:color w:val="auto"/>
          <w:sz w:val="44"/>
          <w:szCs w:val="44"/>
          <w:lang w:val="en-US" w:eastAsia="zh-CN"/>
        </w:rPr>
        <w:t>平罗县</w:t>
      </w:r>
      <w:r>
        <w:rPr>
          <w:rFonts w:hint="eastAsia" w:ascii="方正小标宋_GBK" w:hAnsi="方正小标宋_GBK" w:eastAsia="方正小标宋_GBK" w:cs="方正小标宋_GBK"/>
          <w:snapToGrid w:val="0"/>
          <w:color w:val="auto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napToGrid w:val="0"/>
          <w:color w:val="auto"/>
          <w:sz w:val="44"/>
          <w:szCs w:val="44"/>
          <w:lang w:val="en-US" w:eastAsia="zh-CN"/>
        </w:rPr>
        <w:t>普惠易贷</w:t>
      </w:r>
      <w:r>
        <w:rPr>
          <w:rFonts w:hint="eastAsia" w:ascii="方正小标宋_GBK" w:hAnsi="方正小标宋_GBK" w:eastAsia="方正小标宋_GBK" w:cs="方正小标宋_GBK"/>
          <w:snapToGrid w:val="0"/>
          <w:color w:val="auto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napToGrid w:val="0"/>
          <w:color w:val="auto"/>
          <w:sz w:val="44"/>
          <w:szCs w:val="44"/>
        </w:rPr>
        <w:t>业务管理办法</w:t>
      </w:r>
    </w:p>
    <w:bookmarkEnd w:id="0"/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50" w:lineRule="exact"/>
        <w:rPr>
          <w:rFonts w:hint="default"/>
          <w:snapToGrid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50" w:lineRule="exact"/>
        <w:jc w:val="center"/>
        <w:rPr>
          <w:rFonts w:hint="eastAsia" w:ascii="黑体" w:hAnsi="黑体" w:eastAsia="黑体" w:cs="黑体"/>
          <w:snapToGrid w:val="0"/>
          <w:color w:val="auto"/>
        </w:rPr>
      </w:pPr>
      <w:r>
        <w:rPr>
          <w:rFonts w:hint="eastAsia" w:ascii="黑体" w:hAnsi="黑体" w:eastAsia="黑体" w:cs="黑体"/>
          <w:snapToGrid w:val="0"/>
          <w:color w:val="auto"/>
        </w:rPr>
        <w:t>第一章  总  则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50" w:lineRule="exact"/>
        <w:rPr>
          <w:rFonts w:hint="default"/>
          <w:snapToGrid w:val="0"/>
          <w:color w:val="auto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default"/>
          <w:snapToGrid w:val="0"/>
          <w:color w:val="auto"/>
        </w:rPr>
      </w:pPr>
      <w:r>
        <w:rPr>
          <w:rFonts w:hint="eastAsia" w:ascii="楷体" w:hAnsi="楷体" w:eastAsia="楷体" w:cs="楷体"/>
          <w:b/>
          <w:bCs/>
          <w:snapToGrid w:val="0"/>
          <w:color w:val="auto"/>
        </w:rPr>
        <w:t>第一条</w:t>
      </w:r>
      <w:r>
        <w:rPr>
          <w:rFonts w:hint="default"/>
          <w:snapToGrid w:val="0"/>
          <w:color w:val="auto"/>
        </w:rPr>
        <w:t xml:space="preserve">  为贯彻落实</w:t>
      </w:r>
      <w:r>
        <w:rPr>
          <w:rFonts w:hint="default"/>
          <w:snapToGrid w:val="0"/>
          <w:color w:val="auto"/>
          <w:lang w:val="en-US" w:eastAsia="zh-CN"/>
        </w:rPr>
        <w:t>国务院关于推进普惠金融高质量发展的实施意见，进一步发挥财政资金引导撬动作用，提升财政支持普惠金融政策质效，推动普惠金融高质量发展。根据财政部《关</w:t>
      </w:r>
      <w:r>
        <w:rPr>
          <w:rFonts w:hint="default" w:ascii="方正仿宋_GBK" w:hAnsi="方正仿宋_GBK" w:cs="方正仿宋_GBK"/>
          <w:snapToGrid w:val="0"/>
          <w:color w:val="auto"/>
          <w:lang w:val="en-US" w:eastAsia="zh-CN"/>
        </w:rPr>
        <w:t>于&lt;普</w:t>
      </w:r>
      <w:r>
        <w:rPr>
          <w:rFonts w:hint="default"/>
          <w:snapToGrid w:val="0"/>
          <w:color w:val="auto"/>
          <w:lang w:val="en-US" w:eastAsia="zh-CN"/>
        </w:rPr>
        <w:t>惠金融发展专项资</w:t>
      </w:r>
      <w:r>
        <w:rPr>
          <w:rFonts w:hint="eastAsia" w:ascii="方正仿宋_GBK" w:hAnsi="方正仿宋_GBK" w:cs="方正仿宋_GBK"/>
          <w:snapToGrid w:val="0"/>
          <w:color w:val="auto"/>
          <w:lang w:val="en-US" w:eastAsia="zh-CN"/>
        </w:rPr>
        <w:t>金管理办法&gt;》</w:t>
      </w:r>
      <w:r>
        <w:rPr>
          <w:rFonts w:hint="eastAsia" w:ascii="方正仿宋_GBK" w:hAnsi="方正仿宋_GBK" w:cs="方正仿宋_GBK"/>
          <w:snapToGrid w:val="0"/>
          <w:color w:val="auto"/>
        </w:rPr>
        <w:t>（财</w:t>
      </w:r>
      <w:r>
        <w:rPr>
          <w:rFonts w:hint="eastAsia" w:ascii="方正仿宋_GBK" w:hAnsi="方正仿宋_GBK" w:cs="方正仿宋_GBK"/>
          <w:snapToGrid w:val="0"/>
          <w:color w:val="auto"/>
          <w:lang w:val="en-US" w:eastAsia="zh-CN"/>
        </w:rPr>
        <w:t>金</w:t>
      </w:r>
      <w:r>
        <w:rPr>
          <w:rFonts w:hint="eastAsia" w:ascii="方正仿宋_GBK" w:hAnsi="方正仿宋_GBK" w:cs="方正仿宋_GBK"/>
          <w:snapToGrid w:val="0"/>
          <w:color w:val="auto"/>
        </w:rPr>
        <w:t>〔20</w:t>
      </w:r>
      <w:r>
        <w:rPr>
          <w:rFonts w:hint="eastAsia" w:ascii="方正仿宋_GBK" w:hAnsi="方正仿宋_GBK" w:cs="方正仿宋_GBK"/>
          <w:snapToGrid w:val="0"/>
          <w:color w:val="auto"/>
          <w:lang w:val="en-US" w:eastAsia="zh-CN"/>
        </w:rPr>
        <w:t>23</w:t>
      </w:r>
      <w:r>
        <w:rPr>
          <w:rFonts w:hint="eastAsia" w:ascii="方正仿宋_GBK" w:hAnsi="方正仿宋_GBK" w:cs="方正仿宋_GBK"/>
          <w:snapToGrid w:val="0"/>
          <w:color w:val="auto"/>
        </w:rPr>
        <w:t>〕</w:t>
      </w:r>
      <w:r>
        <w:rPr>
          <w:rFonts w:hint="eastAsia" w:ascii="方正仿宋_GBK" w:hAnsi="方正仿宋_GBK" w:cs="方正仿宋_GBK"/>
          <w:snapToGrid w:val="0"/>
          <w:color w:val="auto"/>
          <w:lang w:val="en-US" w:eastAsia="zh-CN"/>
        </w:rPr>
        <w:t>75</w:t>
      </w:r>
      <w:r>
        <w:rPr>
          <w:rFonts w:hint="eastAsia" w:ascii="方正仿宋_GBK" w:hAnsi="方正仿宋_GBK" w:cs="方正仿宋_GBK"/>
          <w:snapToGrid w:val="0"/>
          <w:color w:val="auto"/>
        </w:rPr>
        <w:t>号）</w:t>
      </w:r>
      <w:r>
        <w:rPr>
          <w:rFonts w:hint="eastAsia" w:ascii="方正仿宋_GBK" w:hAnsi="方正仿宋_GBK" w:cs="方正仿宋_GBK"/>
          <w:snapToGrid w:val="0"/>
          <w:color w:val="auto"/>
          <w:lang w:eastAsia="zh-CN"/>
        </w:rPr>
        <w:t>、《</w:t>
      </w:r>
      <w:r>
        <w:rPr>
          <w:rFonts w:hint="eastAsia" w:ascii="方正仿宋_GBK" w:hAnsi="方正仿宋_GBK" w:cs="方正仿宋_GBK"/>
          <w:snapToGrid w:val="0"/>
          <w:color w:val="auto"/>
          <w:lang w:val="en-US" w:eastAsia="zh-CN"/>
        </w:rPr>
        <w:t>平罗县“普惠易贷”业务实施方</w:t>
      </w:r>
      <w:r>
        <w:rPr>
          <w:rFonts w:hint="eastAsia" w:cs="Times New Roman"/>
          <w:snapToGrid w:val="0"/>
          <w:color w:val="auto"/>
          <w:lang w:val="en-US" w:eastAsia="zh-CN"/>
        </w:rPr>
        <w:t>案</w:t>
      </w:r>
      <w:r>
        <w:rPr>
          <w:rFonts w:hint="eastAsia" w:cs="Times New Roman"/>
          <w:snapToGrid w:val="0"/>
          <w:color w:val="auto"/>
          <w:lang w:eastAsia="zh-CN"/>
        </w:rPr>
        <w:t>》</w:t>
      </w:r>
      <w:r>
        <w:rPr>
          <w:rFonts w:hint="default"/>
          <w:snapToGrid w:val="0"/>
          <w:color w:val="auto"/>
          <w:lang w:val="en-US" w:eastAsia="zh-CN"/>
        </w:rPr>
        <w:t>规定</w:t>
      </w:r>
      <w:r>
        <w:rPr>
          <w:rFonts w:hint="default"/>
          <w:snapToGrid w:val="0"/>
          <w:color w:val="auto"/>
        </w:rPr>
        <w:t>，制定本办法。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default"/>
          <w:snapToGrid w:val="0"/>
          <w:color w:val="auto"/>
        </w:rPr>
      </w:pPr>
      <w:r>
        <w:rPr>
          <w:rFonts w:hint="default" w:ascii="楷体" w:hAnsi="楷体" w:eastAsia="楷体" w:cs="楷体"/>
          <w:b/>
          <w:bCs/>
          <w:snapToGrid w:val="0"/>
          <w:color w:val="auto"/>
        </w:rPr>
        <w:t>第二条</w:t>
      </w:r>
      <w:r>
        <w:rPr>
          <w:rFonts w:hint="default"/>
          <w:snapToGrid w:val="0"/>
          <w:color w:val="auto"/>
        </w:rPr>
        <w:t xml:space="preserve">  </w:t>
      </w:r>
      <w:r>
        <w:rPr>
          <w:rFonts w:hint="default"/>
          <w:snapToGrid w:val="0"/>
          <w:color w:val="auto"/>
          <w:lang w:eastAsia="zh-CN"/>
        </w:rPr>
        <w:t>本办法所称</w:t>
      </w:r>
      <w:r>
        <w:rPr>
          <w:rFonts w:hint="eastAsia" w:cs="Times New Roman"/>
          <w:snapToGrid w:val="0"/>
          <w:color w:val="auto"/>
          <w:lang w:eastAsia="zh-CN"/>
        </w:rPr>
        <w:t>“</w:t>
      </w:r>
      <w:r>
        <w:rPr>
          <w:rFonts w:hint="default"/>
          <w:snapToGrid w:val="0"/>
          <w:color w:val="auto"/>
          <w:lang w:eastAsia="zh-CN"/>
        </w:rPr>
        <w:t>普惠易贷</w:t>
      </w:r>
      <w:r>
        <w:rPr>
          <w:rFonts w:hint="eastAsia" w:cs="Times New Roman"/>
          <w:snapToGrid w:val="0"/>
          <w:color w:val="auto"/>
          <w:lang w:eastAsia="zh-CN"/>
        </w:rPr>
        <w:t>”</w:t>
      </w:r>
      <w:r>
        <w:rPr>
          <w:rFonts w:hint="default"/>
          <w:snapToGrid w:val="0"/>
          <w:color w:val="auto"/>
          <w:lang w:eastAsia="zh-CN"/>
        </w:rPr>
        <w:t>业务</w:t>
      </w:r>
      <w:r>
        <w:rPr>
          <w:rFonts w:hint="default"/>
          <w:snapToGrid w:val="0"/>
          <w:color w:val="auto"/>
        </w:rPr>
        <w:t>风险</w:t>
      </w:r>
      <w:r>
        <w:rPr>
          <w:rFonts w:hint="default"/>
          <w:snapToGrid w:val="0"/>
          <w:color w:val="auto"/>
          <w:lang w:val="en-US" w:eastAsia="zh-CN"/>
        </w:rPr>
        <w:t>补偿</w:t>
      </w:r>
      <w:r>
        <w:rPr>
          <w:rFonts w:hint="default"/>
          <w:snapToGrid w:val="0"/>
          <w:color w:val="auto"/>
        </w:rPr>
        <w:t>资金专项用于补偿</w:t>
      </w:r>
      <w:r>
        <w:rPr>
          <w:rFonts w:hint="eastAsia" w:cs="Times New Roman"/>
          <w:snapToGrid w:val="0"/>
          <w:color w:val="auto"/>
          <w:lang w:eastAsia="zh-CN"/>
        </w:rPr>
        <w:t>政府性融资担保机构</w:t>
      </w:r>
      <w:r>
        <w:rPr>
          <w:rFonts w:hint="default"/>
          <w:snapToGrid w:val="0"/>
          <w:color w:val="auto"/>
          <w:lang w:eastAsia="zh-CN"/>
        </w:rPr>
        <w:t>与合作银行合作开展</w:t>
      </w:r>
      <w:r>
        <w:rPr>
          <w:rFonts w:hint="eastAsia" w:cs="Times New Roman"/>
          <w:snapToGrid w:val="0"/>
          <w:color w:val="auto"/>
          <w:lang w:eastAsia="zh-CN"/>
        </w:rPr>
        <w:t>“</w:t>
      </w:r>
      <w:r>
        <w:rPr>
          <w:rFonts w:hint="default"/>
          <w:snapToGrid w:val="0"/>
          <w:color w:val="auto"/>
          <w:lang w:eastAsia="zh-CN"/>
        </w:rPr>
        <w:t>普惠易贷</w:t>
      </w:r>
      <w:r>
        <w:rPr>
          <w:rFonts w:hint="eastAsia" w:cs="Times New Roman"/>
          <w:snapToGrid w:val="0"/>
          <w:color w:val="auto"/>
          <w:lang w:eastAsia="zh-CN"/>
        </w:rPr>
        <w:t>”</w:t>
      </w:r>
      <w:r>
        <w:rPr>
          <w:rFonts w:hint="default"/>
          <w:snapToGrid w:val="0"/>
          <w:color w:val="auto"/>
          <w:lang w:eastAsia="zh-CN"/>
        </w:rPr>
        <w:t>业务</w:t>
      </w:r>
      <w:r>
        <w:rPr>
          <w:rFonts w:hint="default"/>
          <w:snapToGrid w:val="0"/>
          <w:color w:val="auto"/>
        </w:rPr>
        <w:t>所发</w:t>
      </w:r>
      <w:r>
        <w:rPr>
          <w:rFonts w:hint="default"/>
          <w:snapToGrid w:val="0"/>
          <w:color w:val="auto"/>
          <w:lang w:eastAsia="zh-CN"/>
        </w:rPr>
        <w:t>生的</w:t>
      </w:r>
      <w:r>
        <w:rPr>
          <w:rFonts w:hint="default"/>
          <w:snapToGrid w:val="0"/>
          <w:color w:val="auto"/>
          <w:lang w:val="en-US" w:eastAsia="zh-CN"/>
        </w:rPr>
        <w:t>代偿和</w:t>
      </w:r>
      <w:r>
        <w:rPr>
          <w:rFonts w:hint="default"/>
          <w:snapToGrid w:val="0"/>
          <w:color w:val="auto"/>
          <w:lang w:eastAsia="zh-CN"/>
        </w:rPr>
        <w:t>损失补偿</w:t>
      </w:r>
      <w:r>
        <w:rPr>
          <w:rFonts w:hint="default"/>
          <w:snapToGrid w:val="0"/>
          <w:color w:val="auto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eastAsia" w:cs="Times New Roman"/>
          <w:snapToGrid w:val="0"/>
          <w:color w:val="auto"/>
          <w:lang w:eastAsia="zh-CN"/>
        </w:rPr>
      </w:pPr>
      <w:r>
        <w:rPr>
          <w:rFonts w:hint="default" w:ascii="楷体" w:hAnsi="楷体" w:eastAsia="楷体" w:cs="楷体"/>
          <w:b/>
          <w:bCs/>
          <w:snapToGrid w:val="0"/>
          <w:color w:val="auto"/>
        </w:rPr>
        <w:t>第三条</w:t>
      </w:r>
      <w:r>
        <w:rPr>
          <w:rFonts w:hint="default" w:ascii="Times New Roman" w:hAnsi="Times New Roman" w:eastAsia="方正仿宋_GBK" w:cs="Times New Roman"/>
          <w:snapToGrid w:val="0"/>
          <w:color w:val="auto"/>
        </w:rPr>
        <w:t xml:space="preserve"> </w:t>
      </w:r>
      <w:r>
        <w:rPr>
          <w:rFonts w:hint="default"/>
          <w:snapToGrid w:val="0"/>
          <w:color w:val="auto"/>
        </w:rPr>
        <w:t xml:space="preserve"> 本办法所称</w:t>
      </w:r>
      <w:r>
        <w:rPr>
          <w:rFonts w:hint="default"/>
          <w:snapToGrid w:val="0"/>
          <w:color w:val="auto"/>
          <w:lang w:eastAsia="zh-CN"/>
        </w:rPr>
        <w:t>小微企业</w:t>
      </w:r>
      <w:r>
        <w:rPr>
          <w:rFonts w:hint="default" w:ascii="Times New Roman" w:hAnsi="Times New Roman" w:cs="Times New Roman"/>
          <w:snapToGrid w:val="0"/>
          <w:color w:val="auto"/>
          <w:lang w:eastAsia="zh-CN"/>
        </w:rPr>
        <w:t>指符合《关于印发中小企业划型标准规定的通知》（工信部联企</w:t>
      </w:r>
      <w:r>
        <w:rPr>
          <w:rFonts w:hint="default" w:ascii="方正仿宋_GBK" w:hAnsi="方正仿宋_GBK" w:cs="方正仿宋_GBK"/>
          <w:snapToGrid w:val="0"/>
          <w:color w:val="auto"/>
          <w:lang w:eastAsia="zh-CN"/>
        </w:rPr>
        <w:t>业〔2011〕300号</w:t>
      </w:r>
      <w:r>
        <w:rPr>
          <w:rFonts w:hint="default" w:ascii="Times New Roman" w:hAnsi="Times New Roman" w:cs="Times New Roman"/>
          <w:snapToGrid w:val="0"/>
          <w:color w:val="auto"/>
          <w:lang w:eastAsia="zh-CN"/>
        </w:rPr>
        <w:t>）规定的小型、微型企业、个体工商户，还包括小微企业主，以及与前者规模相当的、经其他政府机构登记的非企业经济组织。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/>
          <w:snapToGrid w:val="0"/>
          <w:color w:val="auto"/>
          <w:lang w:val="en-US" w:eastAsia="zh-CN"/>
        </w:rPr>
      </w:pPr>
      <w:r>
        <w:rPr>
          <w:rFonts w:hint="eastAsia" w:cs="Times New Roman"/>
          <w:snapToGrid w:val="0"/>
          <w:color w:val="auto"/>
          <w:lang w:eastAsia="zh-CN"/>
        </w:rPr>
        <w:t>“</w:t>
      </w:r>
      <w:r>
        <w:rPr>
          <w:rFonts w:hint="eastAsia" w:cs="Times New Roman"/>
          <w:snapToGrid w:val="0"/>
          <w:color w:val="auto"/>
          <w:lang w:val="en-US" w:eastAsia="zh-CN"/>
        </w:rPr>
        <w:t>三农</w:t>
      </w:r>
      <w:r>
        <w:rPr>
          <w:rFonts w:hint="eastAsia" w:cs="Times New Roman"/>
          <w:snapToGrid w:val="0"/>
          <w:color w:val="auto"/>
          <w:lang w:eastAsia="zh-CN"/>
        </w:rPr>
        <w:t>”</w:t>
      </w:r>
      <w:r>
        <w:rPr>
          <w:rFonts w:hint="eastAsia" w:cs="Times New Roman"/>
          <w:snapToGrid w:val="0"/>
          <w:color w:val="auto"/>
          <w:lang w:val="en-US" w:eastAsia="zh-CN"/>
        </w:rPr>
        <w:t>主体</w:t>
      </w:r>
      <w:r>
        <w:rPr>
          <w:rFonts w:hint="default"/>
          <w:snapToGrid w:val="0"/>
          <w:color w:val="auto"/>
          <w:lang w:val="en-US" w:eastAsia="zh-CN"/>
        </w:rPr>
        <w:t>是指</w:t>
      </w:r>
      <w:r>
        <w:rPr>
          <w:rFonts w:hint="default" w:ascii="Times New Roman" w:hAnsi="Times New Roman" w:cs="Times New Roman"/>
          <w:snapToGrid w:val="0"/>
          <w:color w:val="auto"/>
          <w:lang w:val="en-US" w:eastAsia="zh-CN"/>
        </w:rPr>
        <w:t>经工商登记的注册地位于农村区域（除地级及以上城市的城市行政区及其市辖建制镇之外区域）的企业，以及经其他政府机构登记的非企业经济组织；从事农、林、牧、渔业行业及农产品加工、农用物资和农副产品流通的企业，以及经其他政府机构登记的非企业经济组织；还包括农户、新型农业经营主体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default"/>
          <w:snapToGrid w:val="0"/>
          <w:color w:val="auto"/>
        </w:rPr>
      </w:pPr>
      <w:r>
        <w:rPr>
          <w:rFonts w:hint="default" w:ascii="楷体" w:hAnsi="楷体" w:eastAsia="楷体" w:cs="楷体"/>
          <w:b/>
          <w:bCs/>
          <w:snapToGrid w:val="0"/>
          <w:color w:val="auto"/>
        </w:rPr>
        <w:t>第</w:t>
      </w:r>
      <w:r>
        <w:rPr>
          <w:rFonts w:hint="default" w:ascii="楷体" w:hAnsi="楷体" w:eastAsia="楷体" w:cs="楷体"/>
          <w:b/>
          <w:bCs/>
          <w:snapToGrid w:val="0"/>
          <w:color w:val="auto"/>
          <w:lang w:eastAsia="zh-CN"/>
        </w:rPr>
        <w:t>四</w:t>
      </w:r>
      <w:r>
        <w:rPr>
          <w:rFonts w:hint="default" w:ascii="楷体" w:hAnsi="楷体" w:eastAsia="楷体" w:cs="楷体"/>
          <w:b/>
          <w:bCs/>
          <w:snapToGrid w:val="0"/>
          <w:color w:val="auto"/>
        </w:rPr>
        <w:t>条</w:t>
      </w:r>
      <w:r>
        <w:rPr>
          <w:rFonts w:hint="default"/>
          <w:snapToGrid w:val="0"/>
          <w:color w:val="auto"/>
        </w:rPr>
        <w:t xml:space="preserve">  </w:t>
      </w:r>
      <w:r>
        <w:rPr>
          <w:rFonts w:hint="eastAsia" w:cs="Times New Roman"/>
          <w:snapToGrid w:val="0"/>
          <w:color w:val="auto"/>
          <w:lang w:eastAsia="zh-CN"/>
        </w:rPr>
        <w:t>“</w:t>
      </w:r>
      <w:r>
        <w:rPr>
          <w:rFonts w:hint="default"/>
          <w:snapToGrid w:val="0"/>
          <w:color w:val="auto"/>
          <w:lang w:eastAsia="zh-CN"/>
        </w:rPr>
        <w:t>普惠易贷</w:t>
      </w:r>
      <w:r>
        <w:rPr>
          <w:rFonts w:hint="eastAsia" w:cs="Times New Roman"/>
          <w:snapToGrid w:val="0"/>
          <w:color w:val="auto"/>
          <w:lang w:eastAsia="zh-CN"/>
        </w:rPr>
        <w:t>”</w:t>
      </w:r>
      <w:r>
        <w:rPr>
          <w:rFonts w:hint="default"/>
          <w:snapToGrid w:val="0"/>
          <w:color w:val="auto"/>
        </w:rPr>
        <w:t>业务及风险</w:t>
      </w:r>
      <w:r>
        <w:rPr>
          <w:rFonts w:hint="default"/>
          <w:snapToGrid w:val="0"/>
          <w:color w:val="auto"/>
          <w:lang w:eastAsia="zh-CN"/>
        </w:rPr>
        <w:t>补偿</w:t>
      </w:r>
      <w:r>
        <w:rPr>
          <w:rFonts w:hint="default"/>
          <w:snapToGrid w:val="0"/>
          <w:color w:val="auto"/>
        </w:rPr>
        <w:t>资金的使用管理应当遵循公开透明、定向使用、科学管理、加强监督的原则。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default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楷体" w:hAnsi="楷体" w:eastAsia="楷体" w:cs="楷体"/>
          <w:b/>
          <w:bCs/>
          <w:snapToGrid w:val="0"/>
          <w:color w:val="auto"/>
          <w:lang w:val="en-US" w:eastAsia="zh-CN"/>
        </w:rPr>
        <w:t>第五条</w:t>
      </w:r>
      <w:r>
        <w:rPr>
          <w:rFonts w:hint="default" w:ascii="Times New Roman" w:hAnsi="Times New Roman" w:eastAsia="方正仿宋_GBK" w:cs="Times New Roman"/>
          <w:snapToGrid w:val="0"/>
          <w:color w:val="auto"/>
          <w:lang w:val="en-US" w:eastAsia="zh-CN"/>
        </w:rPr>
        <w:t xml:space="preserve">  </w:t>
      </w:r>
      <w:r>
        <w:rPr>
          <w:rFonts w:hint="default"/>
          <w:snapToGrid w:val="0"/>
          <w:color w:val="auto"/>
          <w:lang w:val="en-US" w:eastAsia="zh-CN"/>
        </w:rPr>
        <w:t>本办法中</w:t>
      </w:r>
      <w:r>
        <w:rPr>
          <w:rFonts w:hint="default"/>
          <w:snapToGrid w:val="0"/>
          <w:color w:val="auto"/>
        </w:rPr>
        <w:t>融资性</w:t>
      </w:r>
      <w:r>
        <w:rPr>
          <w:rFonts w:hint="default"/>
          <w:snapToGrid w:val="0"/>
          <w:color w:val="auto"/>
          <w:lang w:eastAsia="zh-CN"/>
        </w:rPr>
        <w:t>担保机构</w:t>
      </w:r>
      <w:r>
        <w:rPr>
          <w:rFonts w:hint="default"/>
          <w:snapToGrid w:val="0"/>
          <w:color w:val="auto"/>
          <w:lang w:val="en-US" w:eastAsia="zh-CN"/>
        </w:rPr>
        <w:t>是指</w:t>
      </w:r>
      <w:r>
        <w:rPr>
          <w:rFonts w:hint="eastAsia" w:cs="Times New Roman"/>
          <w:snapToGrid w:val="0"/>
          <w:color w:val="auto"/>
          <w:lang w:val="en-US" w:eastAsia="zh-CN"/>
        </w:rPr>
        <w:t>在平罗县域内开展“普惠易贷”业务合作的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 w:bidi="ar"/>
        </w:rPr>
        <w:t>政府性融资担保机构</w:t>
      </w:r>
      <w:r>
        <w:rPr>
          <w:rFonts w:hint="default" w:cs="Times New Roman"/>
          <w:color w:val="auto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楷体" w:hAnsi="楷体" w:eastAsia="楷体" w:cs="楷体"/>
          <w:b/>
          <w:bCs/>
          <w:snapToGrid w:val="0"/>
          <w:color w:val="auto"/>
          <w:lang w:val="en-US" w:eastAsia="zh-CN"/>
        </w:rPr>
        <w:t>第六条</w:t>
      </w:r>
      <w:r>
        <w:rPr>
          <w:rFonts w:hint="default" w:ascii="Times New Roman" w:hAnsi="Times New Roman" w:eastAsia="方正仿宋_GBK" w:cs="Times New Roman"/>
          <w:snapToGrid w:val="0"/>
          <w:color w:val="auto"/>
          <w:lang w:val="en-US" w:eastAsia="zh-CN"/>
        </w:rPr>
        <w:t xml:space="preserve">  </w:t>
      </w:r>
      <w:r>
        <w:rPr>
          <w:rFonts w:hint="default"/>
          <w:snapToGrid w:val="0"/>
          <w:color w:val="auto"/>
          <w:lang w:val="en-US" w:eastAsia="zh-CN"/>
        </w:rPr>
        <w:t>本办法中</w:t>
      </w:r>
      <w:r>
        <w:rPr>
          <w:rFonts w:hint="default"/>
          <w:snapToGrid w:val="0"/>
          <w:color w:val="auto"/>
          <w:lang w:eastAsia="zh-CN"/>
        </w:rPr>
        <w:t>合作银行是指签订</w:t>
      </w:r>
      <w:r>
        <w:rPr>
          <w:rFonts w:hint="eastAsia" w:cs="Times New Roman"/>
          <w:snapToGrid w:val="0"/>
          <w:color w:val="auto"/>
          <w:lang w:eastAsia="zh-CN"/>
        </w:rPr>
        <w:t>“</w:t>
      </w:r>
      <w:r>
        <w:rPr>
          <w:rFonts w:hint="default"/>
          <w:snapToGrid w:val="0"/>
          <w:color w:val="auto"/>
          <w:lang w:eastAsia="zh-CN"/>
        </w:rPr>
        <w:t>普惠易贷</w:t>
      </w:r>
      <w:r>
        <w:rPr>
          <w:rFonts w:hint="eastAsia" w:cs="Times New Roman"/>
          <w:snapToGrid w:val="0"/>
          <w:color w:val="auto"/>
          <w:lang w:eastAsia="zh-CN"/>
        </w:rPr>
        <w:t>”</w:t>
      </w:r>
      <w:r>
        <w:rPr>
          <w:rFonts w:hint="default"/>
          <w:snapToGrid w:val="0"/>
          <w:color w:val="auto"/>
          <w:lang w:eastAsia="zh-CN"/>
        </w:rPr>
        <w:t>业务合作协议，提供优质服务的</w:t>
      </w:r>
      <w:r>
        <w:rPr>
          <w:rFonts w:hint="eastAsia" w:cs="Times New Roman"/>
          <w:snapToGrid w:val="0"/>
          <w:color w:val="auto"/>
          <w:lang w:val="en-US" w:eastAsia="zh-CN"/>
        </w:rPr>
        <w:t>县</w:t>
      </w:r>
      <w:r>
        <w:rPr>
          <w:rFonts w:hint="default"/>
          <w:snapToGrid w:val="0"/>
          <w:color w:val="auto"/>
          <w:lang w:eastAsia="zh-CN"/>
        </w:rPr>
        <w:t>域内银行机构</w:t>
      </w:r>
      <w:r>
        <w:rPr>
          <w:rFonts w:hint="default" w:cs="Times New Roman"/>
          <w:color w:val="auto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jc w:val="center"/>
        <w:rPr>
          <w:rFonts w:hint="eastAsia" w:ascii="黑体" w:hAnsi="黑体" w:eastAsia="黑体" w:cs="黑体"/>
          <w:snapToGrid w:val="0"/>
          <w:color w:val="auto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jc w:val="center"/>
        <w:rPr>
          <w:rFonts w:hint="default"/>
          <w:snapToGrid w:val="0"/>
          <w:color w:val="auto"/>
        </w:rPr>
      </w:pPr>
      <w:r>
        <w:rPr>
          <w:rFonts w:hint="eastAsia" w:ascii="黑体" w:hAnsi="黑体" w:eastAsia="黑体" w:cs="黑体"/>
          <w:snapToGrid w:val="0"/>
          <w:color w:val="auto"/>
        </w:rPr>
        <w:t>第二章  风险</w:t>
      </w:r>
      <w:r>
        <w:rPr>
          <w:rFonts w:hint="eastAsia" w:ascii="黑体" w:hAnsi="黑体" w:eastAsia="黑体" w:cs="黑体"/>
          <w:snapToGrid w:val="0"/>
          <w:color w:val="auto"/>
          <w:lang w:val="en-US" w:eastAsia="zh-CN"/>
        </w:rPr>
        <w:t>补偿</w:t>
      </w:r>
      <w:r>
        <w:rPr>
          <w:rFonts w:hint="eastAsia" w:ascii="黑体" w:hAnsi="黑体" w:eastAsia="黑体" w:cs="黑体"/>
          <w:snapToGrid w:val="0"/>
          <w:color w:val="auto"/>
        </w:rPr>
        <w:t>资金组</w:t>
      </w:r>
      <w:r>
        <w:rPr>
          <w:rFonts w:hint="eastAsia" w:ascii="黑体" w:hAnsi="黑体" w:eastAsia="黑体" w:cs="黑体"/>
          <w:snapToGrid w:val="0"/>
          <w:color w:val="auto"/>
          <w:lang w:val="en-US" w:eastAsia="zh-CN"/>
        </w:rPr>
        <w:t>成</w:t>
      </w:r>
      <w:r>
        <w:rPr>
          <w:rFonts w:hint="eastAsia" w:ascii="黑体" w:hAnsi="黑体" w:eastAsia="黑体" w:cs="黑体"/>
          <w:snapToGrid w:val="0"/>
          <w:color w:val="auto"/>
        </w:rPr>
        <w:t>及管理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2" w:firstLineChars="200"/>
        <w:jc w:val="both"/>
        <w:textAlignment w:val="baseline"/>
        <w:rPr>
          <w:rFonts w:hint="default" w:ascii="楷体" w:hAnsi="楷体" w:eastAsia="楷体" w:cs="楷体"/>
          <w:b/>
          <w:bCs/>
          <w:snapToGrid w:val="0"/>
          <w:color w:val="auto"/>
          <w:kern w:val="2"/>
          <w:sz w:val="32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2" w:firstLineChars="200"/>
        <w:jc w:val="both"/>
        <w:textAlignment w:val="baseline"/>
        <w:rPr>
          <w:rFonts w:hint="default"/>
          <w:snapToGrid w:val="0"/>
          <w:color w:val="auto"/>
          <w:lang w:val="en-US" w:eastAsia="zh-CN"/>
        </w:rPr>
      </w:pPr>
      <w:r>
        <w:rPr>
          <w:rFonts w:hint="default" w:ascii="楷体" w:hAnsi="楷体" w:eastAsia="楷体" w:cs="楷体"/>
          <w:b/>
          <w:bCs/>
          <w:snapToGrid w:val="0"/>
          <w:color w:val="auto"/>
          <w:kern w:val="2"/>
          <w:sz w:val="32"/>
          <w:szCs w:val="20"/>
          <w:lang w:val="en-US" w:eastAsia="zh-CN" w:bidi="ar-SA"/>
        </w:rPr>
        <w:t>第七条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/>
          <w:snapToGrid w:val="0"/>
          <w:color w:val="auto"/>
          <w:lang w:val="en-US" w:eastAsia="zh-CN"/>
        </w:rPr>
        <w:t>风险补偿资金</w:t>
      </w:r>
      <w:r>
        <w:rPr>
          <w:rFonts w:hint="eastAsia" w:cs="Times New Roman"/>
          <w:snapToGrid w:val="0"/>
          <w:color w:val="auto"/>
          <w:lang w:val="en-US" w:eastAsia="zh-CN"/>
        </w:rPr>
        <w:t>来源为</w:t>
      </w:r>
      <w:r>
        <w:rPr>
          <w:rFonts w:hint="default"/>
          <w:snapToGrid w:val="0"/>
          <w:color w:val="auto"/>
          <w:lang w:val="en-US" w:eastAsia="zh-CN"/>
        </w:rPr>
        <w:t>国家普惠金融示范区奖补资金。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default"/>
          <w:snapToGrid w:val="0"/>
          <w:color w:val="auto"/>
        </w:rPr>
      </w:pPr>
      <w:r>
        <w:rPr>
          <w:rFonts w:hint="default" w:ascii="楷体" w:hAnsi="楷体" w:eastAsia="楷体" w:cs="楷体"/>
          <w:b/>
          <w:bCs/>
          <w:snapToGrid w:val="0"/>
          <w:color w:val="auto"/>
        </w:rPr>
        <w:t>第八条</w:t>
      </w:r>
      <w:r>
        <w:rPr>
          <w:rFonts w:hint="default"/>
          <w:snapToGrid w:val="0"/>
          <w:color w:val="auto"/>
        </w:rPr>
        <w:t xml:space="preserve">  合作银行</w:t>
      </w:r>
      <w:r>
        <w:rPr>
          <w:rFonts w:hint="default"/>
          <w:snapToGrid w:val="0"/>
          <w:color w:val="auto"/>
          <w:lang w:val="en-US" w:eastAsia="zh-CN"/>
        </w:rPr>
        <w:t>和</w:t>
      </w:r>
      <w:r>
        <w:rPr>
          <w:rFonts w:hint="eastAsia" w:cs="Times New Roman"/>
          <w:snapToGrid w:val="0"/>
          <w:color w:val="auto"/>
          <w:lang w:val="en-US" w:eastAsia="zh-CN"/>
        </w:rPr>
        <w:t>政府性融资担保机构</w:t>
      </w:r>
      <w:r>
        <w:rPr>
          <w:rFonts w:hint="default"/>
          <w:snapToGrid w:val="0"/>
          <w:color w:val="auto"/>
        </w:rPr>
        <w:t>按不高于</w:t>
      </w:r>
      <w:r>
        <w:rPr>
          <w:rFonts w:hint="eastAsia" w:cs="Times New Roman"/>
          <w:snapToGrid w:val="0"/>
          <w:color w:val="auto"/>
          <w:lang w:eastAsia="zh-CN"/>
        </w:rPr>
        <w:t>“</w:t>
      </w:r>
      <w:r>
        <w:rPr>
          <w:rFonts w:hint="default"/>
          <w:snapToGrid w:val="0"/>
          <w:color w:val="auto"/>
          <w:lang w:eastAsia="zh-CN"/>
        </w:rPr>
        <w:t>普惠易贷</w:t>
      </w:r>
      <w:r>
        <w:rPr>
          <w:rFonts w:hint="eastAsia" w:cs="Times New Roman"/>
          <w:snapToGrid w:val="0"/>
          <w:color w:val="auto"/>
          <w:lang w:eastAsia="zh-CN"/>
        </w:rPr>
        <w:t>”</w:t>
      </w:r>
      <w:r>
        <w:rPr>
          <w:rFonts w:hint="default"/>
          <w:snapToGrid w:val="0"/>
          <w:color w:val="auto"/>
        </w:rPr>
        <w:t>风险补偿资金规模</w:t>
      </w:r>
      <w:r>
        <w:rPr>
          <w:rFonts w:hint="eastAsia" w:ascii="方正仿宋_GBK" w:hAnsi="方正仿宋_GBK" w:cs="方正仿宋_GBK"/>
          <w:snapToGrid w:val="0"/>
          <w:color w:val="auto"/>
        </w:rPr>
        <w:t>的</w:t>
      </w:r>
      <w:r>
        <w:rPr>
          <w:rFonts w:hint="eastAsia" w:ascii="方正仿宋_GBK" w:hAnsi="方正仿宋_GBK" w:cs="方正仿宋_GBK"/>
          <w:snapToGrid w:val="0"/>
          <w:color w:val="auto"/>
          <w:lang w:eastAsia="zh-CN"/>
        </w:rPr>
        <w:t>6</w:t>
      </w:r>
      <w:r>
        <w:rPr>
          <w:rFonts w:hint="eastAsia" w:ascii="方正仿宋_GBK" w:hAnsi="方正仿宋_GBK" w:cs="方正仿宋_GBK"/>
          <w:snapToGrid w:val="0"/>
          <w:color w:val="auto"/>
          <w:lang w:val="en-US" w:eastAsia="zh-CN"/>
        </w:rPr>
        <w:t>2.5</w:t>
      </w:r>
      <w:r>
        <w:rPr>
          <w:rFonts w:hint="eastAsia" w:ascii="方正仿宋_GBK" w:hAnsi="方正仿宋_GBK" w:cs="方正仿宋_GBK"/>
          <w:snapToGrid w:val="0"/>
          <w:color w:val="auto"/>
        </w:rPr>
        <w:t>倍</w:t>
      </w:r>
      <w:r>
        <w:rPr>
          <w:rFonts w:hint="default"/>
          <w:snapToGrid w:val="0"/>
          <w:color w:val="auto"/>
        </w:rPr>
        <w:t>进行</w:t>
      </w:r>
      <w:r>
        <w:rPr>
          <w:rFonts w:hint="default"/>
          <w:snapToGrid w:val="0"/>
          <w:color w:val="auto"/>
          <w:lang w:eastAsia="zh-CN"/>
        </w:rPr>
        <w:t>担保</w:t>
      </w:r>
      <w:r>
        <w:rPr>
          <w:rFonts w:hint="default"/>
          <w:snapToGrid w:val="0"/>
          <w:color w:val="auto"/>
        </w:rPr>
        <w:t>贷款。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default"/>
          <w:snapToGrid w:val="0"/>
          <w:color w:val="auto"/>
          <w:lang w:eastAsia="zh-CN"/>
        </w:rPr>
      </w:pPr>
      <w:r>
        <w:rPr>
          <w:rFonts w:hint="default" w:ascii="楷体" w:hAnsi="楷体" w:eastAsia="楷体" w:cs="楷体"/>
          <w:b/>
          <w:bCs/>
          <w:snapToGrid w:val="0"/>
          <w:color w:val="auto"/>
        </w:rPr>
        <w:t>第九条</w:t>
      </w:r>
      <w:r>
        <w:rPr>
          <w:rFonts w:hint="default"/>
          <w:snapToGrid w:val="0"/>
          <w:color w:val="auto"/>
        </w:rPr>
        <w:t xml:space="preserve">  </w:t>
      </w:r>
      <w:r>
        <w:rPr>
          <w:rFonts w:hint="default"/>
          <w:snapToGrid w:val="0"/>
          <w:color w:val="auto"/>
          <w:lang w:eastAsia="zh-CN"/>
        </w:rPr>
        <w:t>合作银行和</w:t>
      </w:r>
      <w:r>
        <w:rPr>
          <w:rFonts w:hint="eastAsia" w:cs="Times New Roman"/>
          <w:snapToGrid w:val="0"/>
          <w:color w:val="auto"/>
          <w:lang w:val="en-US" w:eastAsia="zh-CN"/>
        </w:rPr>
        <w:t>政府性融资担保机构</w:t>
      </w:r>
      <w:r>
        <w:rPr>
          <w:rFonts w:hint="default"/>
          <w:snapToGrid w:val="0"/>
          <w:color w:val="auto"/>
          <w:lang w:eastAsia="zh-CN"/>
        </w:rPr>
        <w:t>按照各自</w:t>
      </w:r>
      <w:r>
        <w:rPr>
          <w:rFonts w:hint="eastAsia" w:cs="Times New Roman"/>
          <w:snapToGrid w:val="0"/>
          <w:color w:val="auto"/>
          <w:lang w:val="en-US" w:eastAsia="zh-CN"/>
        </w:rPr>
        <w:t>规定</w:t>
      </w:r>
      <w:r>
        <w:rPr>
          <w:rFonts w:hint="default"/>
          <w:snapToGrid w:val="0"/>
          <w:color w:val="auto"/>
          <w:lang w:eastAsia="zh-CN"/>
        </w:rPr>
        <w:t>独立审贷审保</w:t>
      </w:r>
      <w:r>
        <w:rPr>
          <w:rFonts w:hint="eastAsia" w:cs="Times New Roman"/>
          <w:snapToGrid w:val="0"/>
          <w:color w:val="auto"/>
          <w:lang w:eastAsia="zh-CN"/>
        </w:rPr>
        <w:t>，</w:t>
      </w:r>
      <w:r>
        <w:rPr>
          <w:rFonts w:hint="default"/>
          <w:snapToGrid w:val="0"/>
          <w:color w:val="auto"/>
          <w:lang w:val="en-US" w:eastAsia="zh-CN"/>
        </w:rPr>
        <w:t>严格落实普惠金融政策，拓展业务规模，提升普惠金融覆盖面和服务便利度，助力全</w:t>
      </w:r>
      <w:r>
        <w:rPr>
          <w:rFonts w:hint="eastAsia" w:cs="Times New Roman"/>
          <w:snapToGrid w:val="0"/>
          <w:color w:val="auto"/>
          <w:lang w:val="en-US" w:eastAsia="zh-CN"/>
        </w:rPr>
        <w:t>县</w:t>
      </w:r>
      <w:r>
        <w:rPr>
          <w:rFonts w:hint="default"/>
          <w:snapToGrid w:val="0"/>
          <w:color w:val="auto"/>
          <w:lang w:val="en-US" w:eastAsia="zh-CN"/>
        </w:rPr>
        <w:t>普惠金融落实落地</w:t>
      </w:r>
      <w:r>
        <w:rPr>
          <w:rFonts w:hint="default"/>
          <w:snapToGrid w:val="0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default"/>
          <w:snapToGrid w:val="0"/>
          <w:color w:val="auto"/>
        </w:rPr>
      </w:pPr>
      <w:r>
        <w:rPr>
          <w:rFonts w:hint="default" w:ascii="楷体" w:hAnsi="楷体" w:eastAsia="楷体" w:cs="楷体"/>
          <w:b/>
          <w:bCs/>
          <w:snapToGrid w:val="0"/>
          <w:color w:val="auto"/>
        </w:rPr>
        <w:t>第十条</w:t>
      </w:r>
      <w:r>
        <w:rPr>
          <w:rFonts w:hint="default"/>
          <w:snapToGrid w:val="0"/>
          <w:color w:val="auto"/>
        </w:rPr>
        <w:t xml:space="preserve">  风险补偿</w:t>
      </w:r>
      <w:r>
        <w:rPr>
          <w:rFonts w:hint="default"/>
          <w:snapToGrid w:val="0"/>
          <w:color w:val="auto"/>
          <w:lang w:eastAsia="zh-CN"/>
        </w:rPr>
        <w:t>资</w:t>
      </w:r>
      <w:r>
        <w:rPr>
          <w:rFonts w:hint="default"/>
          <w:snapToGrid w:val="0"/>
          <w:color w:val="auto"/>
        </w:rPr>
        <w:t>金由</w:t>
      </w:r>
      <w:r>
        <w:rPr>
          <w:rFonts w:hint="eastAsia" w:cs="Times New Roman"/>
          <w:snapToGrid w:val="0"/>
          <w:color w:val="auto"/>
          <w:lang w:val="en-US" w:eastAsia="zh-CN"/>
        </w:rPr>
        <w:t>平罗县</w:t>
      </w:r>
      <w:r>
        <w:rPr>
          <w:rFonts w:hint="default"/>
          <w:snapToGrid w:val="0"/>
          <w:color w:val="auto"/>
          <w:lang w:val="en-US" w:eastAsia="zh-CN"/>
        </w:rPr>
        <w:t>财政局</w:t>
      </w:r>
      <w:r>
        <w:rPr>
          <w:rFonts w:hint="default"/>
          <w:snapToGrid w:val="0"/>
          <w:color w:val="auto"/>
        </w:rPr>
        <w:t>委托</w:t>
      </w:r>
      <w:r>
        <w:rPr>
          <w:rFonts w:hint="eastAsia" w:cs="Times New Roman"/>
          <w:snapToGrid w:val="0"/>
          <w:color w:val="auto"/>
          <w:lang w:eastAsia="zh-CN"/>
        </w:rPr>
        <w:t>政府性融资担保机构</w:t>
      </w:r>
      <w:r>
        <w:rPr>
          <w:rFonts w:hint="default"/>
          <w:snapToGrid w:val="0"/>
          <w:color w:val="auto"/>
        </w:rPr>
        <w:t>在合作</w:t>
      </w:r>
      <w:r>
        <w:rPr>
          <w:rFonts w:hint="default"/>
          <w:snapToGrid w:val="0"/>
          <w:color w:val="auto"/>
          <w:lang w:eastAsia="zh-CN"/>
        </w:rPr>
        <w:t>银行</w:t>
      </w:r>
      <w:r>
        <w:rPr>
          <w:rFonts w:hint="default"/>
          <w:snapToGrid w:val="0"/>
          <w:color w:val="auto"/>
        </w:rPr>
        <w:t>开设专户存放，并根据贷款发放情况，合理安排、调整存放比例</w:t>
      </w:r>
      <w:r>
        <w:rPr>
          <w:rFonts w:hint="default"/>
          <w:snapToGrid w:val="0"/>
          <w:color w:val="auto"/>
          <w:lang w:eastAsia="zh-CN"/>
        </w:rPr>
        <w:t>，</w:t>
      </w:r>
      <w:r>
        <w:rPr>
          <w:rFonts w:hint="default"/>
          <w:snapToGrid w:val="0"/>
          <w:color w:val="auto"/>
        </w:rPr>
        <w:t>账户内资金不得以任何理由挪用，仅用于</w:t>
      </w:r>
      <w:r>
        <w:rPr>
          <w:rFonts w:hint="eastAsia" w:cs="Times New Roman"/>
          <w:snapToGrid w:val="0"/>
          <w:color w:val="auto"/>
          <w:lang w:eastAsia="zh-CN"/>
        </w:rPr>
        <w:t>“</w:t>
      </w:r>
      <w:r>
        <w:rPr>
          <w:rFonts w:hint="default"/>
          <w:snapToGrid w:val="0"/>
          <w:color w:val="auto"/>
          <w:lang w:eastAsia="zh-CN"/>
        </w:rPr>
        <w:t>普惠易贷</w:t>
      </w:r>
      <w:r>
        <w:rPr>
          <w:rFonts w:hint="eastAsia" w:cs="Times New Roman"/>
          <w:snapToGrid w:val="0"/>
          <w:color w:val="auto"/>
          <w:lang w:eastAsia="zh-CN"/>
        </w:rPr>
        <w:t>”</w:t>
      </w:r>
      <w:r>
        <w:rPr>
          <w:rFonts w:hint="default"/>
          <w:snapToGrid w:val="0"/>
          <w:color w:val="auto"/>
        </w:rPr>
        <w:t>业务发生</w:t>
      </w:r>
      <w:r>
        <w:rPr>
          <w:rFonts w:hint="default"/>
          <w:snapToGrid w:val="0"/>
          <w:color w:val="auto"/>
          <w:lang w:val="en-US" w:eastAsia="zh-CN"/>
        </w:rPr>
        <w:t>的</w:t>
      </w:r>
      <w:r>
        <w:rPr>
          <w:rFonts w:hint="default"/>
          <w:snapToGrid w:val="0"/>
          <w:color w:val="auto"/>
        </w:rPr>
        <w:t>代偿</w:t>
      </w:r>
      <w:r>
        <w:rPr>
          <w:rFonts w:hint="default"/>
          <w:snapToGrid w:val="0"/>
          <w:color w:val="auto"/>
          <w:lang w:val="en-US" w:eastAsia="zh-CN"/>
        </w:rPr>
        <w:t>及</w:t>
      </w:r>
      <w:r>
        <w:rPr>
          <w:rFonts w:hint="default"/>
          <w:snapToGrid w:val="0"/>
          <w:color w:val="auto"/>
        </w:rPr>
        <w:t>损失</w:t>
      </w:r>
      <w:r>
        <w:rPr>
          <w:rFonts w:hint="default"/>
          <w:snapToGrid w:val="0"/>
          <w:color w:val="auto"/>
          <w:lang w:val="en-US" w:eastAsia="zh-CN"/>
        </w:rPr>
        <w:t>补偿</w:t>
      </w:r>
      <w:r>
        <w:rPr>
          <w:rFonts w:hint="default"/>
          <w:snapToGrid w:val="0"/>
          <w:color w:val="auto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jc w:val="center"/>
        <w:rPr>
          <w:rFonts w:hint="eastAsia" w:ascii="黑体" w:hAnsi="黑体" w:eastAsia="黑体" w:cs="黑体"/>
          <w:snapToGrid w:val="0"/>
          <w:color w:val="auto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jc w:val="center"/>
        <w:rPr>
          <w:rFonts w:hint="default"/>
          <w:snapToGrid w:val="0"/>
          <w:color w:val="auto"/>
        </w:rPr>
      </w:pPr>
      <w:r>
        <w:rPr>
          <w:rFonts w:hint="eastAsia" w:ascii="黑体" w:hAnsi="黑体" w:eastAsia="黑体" w:cs="黑体"/>
          <w:snapToGrid w:val="0"/>
          <w:color w:val="auto"/>
        </w:rPr>
        <w:t xml:space="preserve">第三章  </w:t>
      </w:r>
      <w:r>
        <w:rPr>
          <w:rFonts w:hint="eastAsia" w:ascii="黑体" w:hAnsi="黑体" w:eastAsia="黑体" w:cs="黑体"/>
          <w:snapToGrid w:val="0"/>
          <w:color w:val="auto"/>
          <w:lang w:eastAsia="zh-CN"/>
        </w:rPr>
        <w:t>支持和补偿的</w:t>
      </w:r>
      <w:r>
        <w:rPr>
          <w:rFonts w:hint="eastAsia" w:ascii="黑体" w:hAnsi="黑体" w:eastAsia="黑体" w:cs="黑体"/>
          <w:snapToGrid w:val="0"/>
          <w:color w:val="auto"/>
        </w:rPr>
        <w:t>对象</w:t>
      </w:r>
      <w:r>
        <w:rPr>
          <w:rFonts w:hint="eastAsia" w:ascii="黑体" w:hAnsi="黑体" w:eastAsia="黑体" w:cs="黑体"/>
          <w:snapToGrid w:val="0"/>
          <w:color w:val="auto"/>
          <w:lang w:eastAsia="zh-CN"/>
        </w:rPr>
        <w:t>及</w:t>
      </w:r>
      <w:r>
        <w:rPr>
          <w:rFonts w:hint="eastAsia" w:ascii="黑体" w:hAnsi="黑体" w:eastAsia="黑体" w:cs="黑体"/>
          <w:snapToGrid w:val="0"/>
          <w:color w:val="auto"/>
        </w:rPr>
        <w:t>条件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2" w:firstLineChars="200"/>
        <w:jc w:val="left"/>
        <w:textAlignment w:val="baseline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楷体" w:hAnsi="楷体" w:eastAsia="楷体" w:cs="楷体"/>
          <w:b/>
          <w:bCs/>
          <w:snapToGrid w:val="0"/>
          <w:color w:val="auto"/>
        </w:rPr>
        <w:t>第十一条</w:t>
      </w:r>
      <w:r>
        <w:rPr>
          <w:rFonts w:hint="default"/>
          <w:snapToGrid w:val="0"/>
          <w:color w:val="auto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申请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 w:bidi="ar"/>
        </w:rPr>
        <w:t>“</w:t>
      </w:r>
      <w:r>
        <w:rPr>
          <w:rFonts w:hint="default" w:cs="Times New Roman"/>
          <w:color w:val="auto"/>
          <w:kern w:val="2"/>
          <w:sz w:val="32"/>
          <w:szCs w:val="32"/>
          <w:lang w:val="en-US" w:eastAsia="zh-CN" w:bidi="ar"/>
        </w:rPr>
        <w:t>普惠易贷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业务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"/>
        </w:rPr>
        <w:t>的</w:t>
      </w:r>
      <w:r>
        <w:rPr>
          <w:rFonts w:hint="default" w:cs="Times New Roman"/>
          <w:color w:val="auto"/>
          <w:kern w:val="2"/>
          <w:sz w:val="32"/>
          <w:szCs w:val="32"/>
          <w:lang w:val="en-US" w:eastAsia="zh-CN" w:bidi="ar"/>
        </w:rPr>
        <w:t>小微企业、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 w:bidi="ar"/>
        </w:rPr>
        <w:t>“三农”主体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需具备以下条件：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申请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普惠易贷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业务的借款主体分为</w:t>
      </w:r>
      <w:r>
        <w:rPr>
          <w:rFonts w:hint="eastAsia" w:cs="Times New Roman"/>
          <w:color w:val="000000"/>
          <w:kern w:val="2"/>
          <w:sz w:val="32"/>
          <w:szCs w:val="32"/>
          <w:lang w:val="en-US" w:eastAsia="zh-CN" w:bidi="ar"/>
        </w:rPr>
        <w:t>小微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企业、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三农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主体，需具备以下条件：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lang w:val="en-US" w:eastAsia="zh-CN" w:bidi="ar"/>
        </w:rPr>
        <w:t>1.企业符合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zCs w:val="20"/>
          <w:lang w:val="en-US" w:eastAsia="zh-CN" w:bidi="ar"/>
        </w:rPr>
        <w:t>《中小企业划型标准规定》（工信部联企业〔2011〕300号）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lang w:val="en-US" w:eastAsia="zh-CN" w:bidi="ar"/>
        </w:rPr>
        <w:t>规定小型、微型企业。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lang w:val="en-US" w:eastAsia="zh-CN" w:bidi="ar"/>
        </w:rPr>
        <w:t>2.借款主体为合作金融机构认定可授信的白名单借款主体。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lang w:val="en-US" w:eastAsia="zh-CN" w:bidi="ar"/>
        </w:rPr>
        <w:t>3.具有平罗户籍或在平罗县域内固定经营场所的小微企业、</w:t>
      </w:r>
      <w:r>
        <w:rPr>
          <w:rFonts w:hint="eastAsia" w:ascii="方正仿宋_GBK" w:hAnsi="方正仿宋_GBK" w:cs="方正仿宋_GBK"/>
          <w:b w:val="0"/>
          <w:bCs w:val="0"/>
          <w:snapToGrid w:val="0"/>
          <w:color w:val="auto"/>
          <w:szCs w:val="20"/>
          <w:lang w:val="en-US" w:eastAsia="zh-CN" w:bidi="ar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lang w:val="en-US" w:eastAsia="zh-CN" w:bidi="ar"/>
        </w:rPr>
        <w:t>三农</w:t>
      </w:r>
      <w:r>
        <w:rPr>
          <w:rFonts w:hint="eastAsia" w:ascii="方正仿宋_GBK" w:hAnsi="方正仿宋_GBK" w:cs="方正仿宋_GBK"/>
          <w:b w:val="0"/>
          <w:bCs w:val="0"/>
          <w:snapToGrid w:val="0"/>
          <w:color w:val="auto"/>
          <w:szCs w:val="20"/>
          <w:lang w:val="en-US" w:eastAsia="zh-CN" w:bidi="ar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lang w:val="en-US" w:eastAsia="zh-CN" w:bidi="ar"/>
        </w:rPr>
        <w:t>主体。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lang w:val="en-US" w:eastAsia="zh-CN" w:bidi="ar"/>
        </w:rPr>
        <w:t>4.自然人、企业法人及实际控制人借款，应年满18周岁，借款合同到期年龄不超过</w:t>
      </w:r>
      <w:r>
        <w:rPr>
          <w:rFonts w:hint="eastAsia" w:ascii="方正仿宋_GBK" w:hAnsi="方正仿宋_GBK" w:cs="方正仿宋_GBK"/>
          <w:b w:val="0"/>
          <w:bCs w:val="0"/>
          <w:snapToGrid w:val="0"/>
          <w:color w:val="auto"/>
          <w:szCs w:val="20"/>
          <w:lang w:val="en-US" w:eastAsia="zh-CN" w:bidi="ar"/>
        </w:rPr>
        <w:t>60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lang w:val="en-US" w:eastAsia="zh-CN" w:bidi="ar"/>
        </w:rPr>
        <w:t>周岁。自然人应具有完全民事行为能力和劳动能力，无不良嗜好；企业法人及其他组织应依法登记并取得营业执照，经营稳定，法定代表人或实际控制人无不良嗜好。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lang w:val="en-US" w:eastAsia="zh-CN" w:bidi="ar"/>
        </w:rPr>
        <w:t>5.借款人及实际控制人（含配偶）、企业法人或组织（含法定代表人及实际控制人）当前无贷款逾期，最近24个月中不存在连续90天（含）以上或累计6期（含）以上的逾期记录。申请主体及相关联个人无重大诉讼</w:t>
      </w:r>
      <w:r>
        <w:rPr>
          <w:rFonts w:hint="eastAsia" w:ascii="方正仿宋_GBK" w:hAnsi="方正仿宋_GBK" w:cs="方正仿宋_GBK"/>
          <w:b w:val="0"/>
          <w:bCs w:val="0"/>
          <w:snapToGrid w:val="0"/>
          <w:color w:val="auto"/>
          <w:szCs w:val="20"/>
          <w:lang w:val="en-US" w:eastAsia="zh-CN" w:bidi="ar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lang w:val="en-US" w:eastAsia="zh-CN" w:bidi="ar"/>
        </w:rPr>
        <w:t>无刑事类案件</w:t>
      </w:r>
      <w:r>
        <w:rPr>
          <w:rFonts w:hint="eastAsia" w:ascii="方正仿宋_GBK" w:hAnsi="方正仿宋_GBK" w:cs="方正仿宋_GBK"/>
          <w:b w:val="0"/>
          <w:bCs w:val="0"/>
          <w:snapToGrid w:val="0"/>
          <w:color w:val="auto"/>
          <w:szCs w:val="20"/>
          <w:lang w:val="en-US" w:eastAsia="zh-CN" w:bidi="ar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lang w:val="en-US" w:eastAsia="zh-CN" w:bidi="ar"/>
        </w:rPr>
        <w:t>6.合作金融机构不得推荐已采取过</w:t>
      </w:r>
      <w:r>
        <w:rPr>
          <w:rFonts w:hint="eastAsia" w:ascii="方正仿宋_GBK" w:hAnsi="方正仿宋_GBK" w:cs="方正仿宋_GBK"/>
          <w:b w:val="0"/>
          <w:bCs w:val="0"/>
          <w:snapToGrid w:val="0"/>
          <w:color w:val="auto"/>
          <w:szCs w:val="20"/>
          <w:lang w:val="en-US" w:eastAsia="zh-CN" w:bidi="ar"/>
        </w:rPr>
        <w:t>“无还本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lang w:val="en-US" w:eastAsia="zh-CN" w:bidi="ar"/>
        </w:rPr>
        <w:t>续贷</w:t>
      </w:r>
      <w:r>
        <w:rPr>
          <w:rFonts w:hint="eastAsia" w:ascii="方正仿宋_GBK" w:hAnsi="方正仿宋_GBK" w:cs="方正仿宋_GBK"/>
          <w:b w:val="0"/>
          <w:bCs w:val="0"/>
          <w:snapToGrid w:val="0"/>
          <w:color w:val="auto"/>
          <w:szCs w:val="20"/>
          <w:lang w:val="en-US" w:eastAsia="zh-CN" w:bidi="ar"/>
        </w:rPr>
        <w:t>”“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lang w:val="en-US" w:eastAsia="zh-CN" w:bidi="ar"/>
        </w:rPr>
        <w:t>借新还旧</w:t>
      </w:r>
      <w:r>
        <w:rPr>
          <w:rFonts w:hint="eastAsia" w:ascii="方正仿宋_GBK" w:hAnsi="方正仿宋_GBK" w:cs="方正仿宋_GBK"/>
          <w:b w:val="0"/>
          <w:bCs w:val="0"/>
          <w:snapToGrid w:val="0"/>
          <w:color w:val="auto"/>
          <w:szCs w:val="20"/>
          <w:lang w:val="en-US" w:eastAsia="zh-CN" w:bidi="ar"/>
        </w:rPr>
        <w:t>”“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lang w:val="en-US" w:eastAsia="zh-CN" w:bidi="ar"/>
        </w:rPr>
        <w:t>重定期限</w:t>
      </w:r>
      <w:r>
        <w:rPr>
          <w:rFonts w:hint="eastAsia" w:ascii="方正仿宋_GBK" w:hAnsi="方正仿宋_GBK" w:cs="方正仿宋_GBK"/>
          <w:b w:val="0"/>
          <w:bCs w:val="0"/>
          <w:snapToGrid w:val="0"/>
          <w:color w:val="auto"/>
          <w:szCs w:val="20"/>
          <w:lang w:val="en-US" w:eastAsia="zh-CN" w:bidi="ar"/>
        </w:rPr>
        <w:t>”“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lang w:val="en-US" w:eastAsia="zh-CN" w:bidi="ar"/>
        </w:rPr>
        <w:t>展期</w:t>
      </w:r>
      <w:r>
        <w:rPr>
          <w:rFonts w:hint="eastAsia" w:ascii="方正仿宋_GBK" w:hAnsi="方正仿宋_GBK" w:cs="方正仿宋_GBK"/>
          <w:b w:val="0"/>
          <w:bCs w:val="0"/>
          <w:snapToGrid w:val="0"/>
          <w:color w:val="auto"/>
          <w:szCs w:val="20"/>
          <w:lang w:val="en-US" w:eastAsia="zh-CN" w:bidi="ar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lang w:val="en-US" w:eastAsia="zh-CN" w:bidi="ar"/>
        </w:rPr>
        <w:t>方式化解风险的借款主体，对此类业务政府性</w:t>
      </w:r>
      <w:r>
        <w:rPr>
          <w:rFonts w:hint="eastAsia" w:ascii="方正仿宋_GBK" w:hAnsi="方正仿宋_GBK" w:cs="方正仿宋_GBK"/>
          <w:b w:val="0"/>
          <w:bCs w:val="0"/>
          <w:snapToGrid w:val="0"/>
          <w:color w:val="auto"/>
          <w:szCs w:val="20"/>
          <w:lang w:val="en-US" w:eastAsia="zh-CN" w:bidi="ar"/>
        </w:rPr>
        <w:t>政府性融资担保机构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lang w:val="en-US" w:eastAsia="zh-CN" w:bidi="ar"/>
        </w:rPr>
        <w:t>不承担保证责任及代偿责任。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default" w:eastAsia="方正仿宋_GBK"/>
          <w:snapToGrid w:val="0"/>
          <w:color w:val="auto"/>
          <w:lang w:val="en-US" w:eastAsia="zh-CN"/>
        </w:rPr>
      </w:pPr>
      <w:r>
        <w:rPr>
          <w:rFonts w:hint="default" w:ascii="楷体" w:hAnsi="楷体" w:eastAsia="楷体" w:cs="楷体"/>
          <w:b/>
          <w:bCs/>
          <w:snapToGrid w:val="0"/>
          <w:color w:val="auto"/>
        </w:rPr>
        <w:t>第十二条</w:t>
      </w:r>
      <w:r>
        <w:rPr>
          <w:rFonts w:hint="default"/>
          <w:snapToGrid w:val="0"/>
          <w:color w:val="auto"/>
        </w:rPr>
        <w:t xml:space="preserve">  单</w:t>
      </w:r>
      <w:r>
        <w:rPr>
          <w:rFonts w:hint="default"/>
          <w:snapToGrid w:val="0"/>
          <w:color w:val="auto"/>
          <w:lang w:val="en-US" w:eastAsia="zh-CN"/>
        </w:rPr>
        <w:t>笔</w:t>
      </w:r>
      <w:r>
        <w:rPr>
          <w:rFonts w:hint="default"/>
          <w:snapToGrid w:val="0"/>
          <w:color w:val="auto"/>
        </w:rPr>
        <w:t>贷款额度原则上最高不</w:t>
      </w:r>
      <w:r>
        <w:rPr>
          <w:rFonts w:hint="default" w:ascii="方正仿宋_GBK" w:hAnsi="方正仿宋_GBK" w:cs="方正仿宋_GBK"/>
          <w:snapToGrid w:val="0"/>
          <w:color w:val="auto"/>
          <w:lang w:bidi="ar"/>
        </w:rPr>
        <w:t>超过500万元</w:t>
      </w:r>
      <w:r>
        <w:rPr>
          <w:rFonts w:hint="eastAsia" w:ascii="方正仿宋_GBK" w:hAnsi="方正仿宋_GBK" w:cs="方正仿宋_GBK"/>
          <w:snapToGrid w:val="0"/>
          <w:color w:val="auto"/>
          <w:lang w:eastAsia="zh-CN" w:bidi="ar"/>
        </w:rPr>
        <w:t>（</w:t>
      </w:r>
      <w:r>
        <w:rPr>
          <w:rFonts w:hint="eastAsia" w:ascii="方正仿宋_GBK" w:hAnsi="方正仿宋_GBK" w:cs="方正仿宋_GBK"/>
          <w:snapToGrid w:val="0"/>
          <w:color w:val="auto"/>
          <w:lang w:val="en-US" w:eastAsia="zh-CN" w:bidi="ar"/>
        </w:rPr>
        <w:t>含</w:t>
      </w:r>
      <w:r>
        <w:rPr>
          <w:rFonts w:hint="eastAsia" w:cs="Times New Roman"/>
          <w:snapToGrid w:val="0"/>
          <w:color w:val="auto"/>
          <w:lang w:eastAsia="zh-CN"/>
        </w:rPr>
        <w:t>）</w:t>
      </w:r>
      <w:r>
        <w:rPr>
          <w:rFonts w:hint="eastAsia" w:cs="Times New Roman"/>
          <w:snapToGrid w:val="0"/>
          <w:color w:val="auto"/>
          <w:lang w:val="en-US" w:eastAsia="zh-CN"/>
        </w:rPr>
        <w:t>具体担保额度以政府性融资担保机构和合作银行最终担保额度为准</w:t>
      </w:r>
      <w:r>
        <w:rPr>
          <w:rFonts w:hint="eastAsia" w:cs="Times New Roman"/>
          <w:snapToGrid w:val="0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2" w:firstLineChars="200"/>
        <w:jc w:val="left"/>
        <w:textAlignment w:val="baseline"/>
        <w:rPr>
          <w:rFonts w:hint="default"/>
          <w:snapToGrid w:val="0"/>
          <w:color w:val="auto"/>
        </w:rPr>
      </w:pPr>
      <w:r>
        <w:rPr>
          <w:rFonts w:hint="default" w:ascii="楷体" w:hAnsi="楷体" w:eastAsia="楷体" w:cs="楷体"/>
          <w:b/>
          <w:bCs/>
          <w:snapToGrid w:val="0"/>
          <w:color w:val="auto"/>
        </w:rPr>
        <w:t>第十三条</w:t>
      </w:r>
      <w:r>
        <w:rPr>
          <w:rFonts w:hint="default" w:ascii="Times New Roman" w:hAnsi="Times New Roman" w:eastAsia="方正仿宋_GBK"/>
          <w:snapToGrid w:val="0"/>
          <w:color w:val="auto"/>
        </w:rPr>
        <w:t xml:space="preserve"> 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2"/>
          <w:sz w:val="32"/>
          <w:lang w:val="en-US" w:eastAsia="zh-CN" w:bidi="ar-SA"/>
        </w:rPr>
        <w:t>合作银行对贷款企业的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2"/>
          <w:sz w:val="32"/>
          <w:lang w:val="en-US" w:eastAsia="zh-CN" w:bidi="ar-SA"/>
        </w:rPr>
        <w:t>贷款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2"/>
          <w:sz w:val="32"/>
          <w:lang w:val="en-US" w:eastAsia="zh-CN" w:bidi="ar-SA"/>
        </w:rPr>
        <w:t>严格落实减费让利政策，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lang w:val="en-US" w:eastAsia="zh-CN" w:bidi="ar-SA"/>
        </w:rPr>
        <w:t>担保费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2"/>
          <w:sz w:val="32"/>
          <w:lang w:val="en-US" w:eastAsia="zh-CN" w:bidi="ar-SA"/>
        </w:rPr>
        <w:t>按担保贷款金额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lang w:val="en-US" w:eastAsia="zh-CN" w:bidi="ar-SA"/>
        </w:rPr>
        <w:t>不</w:t>
      </w:r>
      <w:r>
        <w:rPr>
          <w:rFonts w:hint="default" w:ascii="方正仿宋_GBK" w:hAnsi="方正仿宋_GBK" w:eastAsia="方正仿宋_GBK" w:cs="方正仿宋_GBK"/>
          <w:snapToGrid w:val="0"/>
          <w:color w:val="auto"/>
          <w:kern w:val="2"/>
          <w:sz w:val="32"/>
          <w:lang w:val="en-US" w:eastAsia="zh-CN" w:bidi="ar"/>
        </w:rPr>
        <w:t>超过</w:t>
      </w:r>
      <w:r>
        <w:rPr>
          <w:rFonts w:hint="default" w:ascii="方正仿宋_GBK" w:hAnsi="方正仿宋_GBK" w:eastAsia="方正仿宋_GBK" w:cs="方正仿宋_GBK"/>
          <w:snapToGrid w:val="0"/>
          <w:color w:val="auto"/>
          <w:kern w:val="2"/>
          <w:sz w:val="32"/>
          <w:lang w:val="en-US" w:eastAsia="zh-CN" w:bidi="ar"/>
        </w:rPr>
        <w:t>0.</w:t>
      </w:r>
      <w:r>
        <w:rPr>
          <w:rFonts w:hint="default" w:ascii="方正仿宋_GBK" w:hAnsi="方正仿宋_GBK" w:eastAsia="方正仿宋_GBK" w:cs="方正仿宋_GBK"/>
          <w:snapToGrid w:val="0"/>
          <w:color w:val="auto"/>
          <w:kern w:val="2"/>
          <w:sz w:val="32"/>
          <w:lang w:val="en-US" w:eastAsia="zh-CN" w:bidi="ar"/>
        </w:rPr>
        <w:t>2</w:t>
      </w:r>
      <w:r>
        <w:rPr>
          <w:rFonts w:hint="default" w:ascii="方正仿宋_GBK" w:hAnsi="方正仿宋_GBK" w:eastAsia="方正仿宋_GBK" w:cs="方正仿宋_GBK"/>
          <w:snapToGrid w:val="0"/>
          <w:color w:val="auto"/>
          <w:kern w:val="2"/>
          <w:sz w:val="32"/>
          <w:lang w:val="en-US" w:eastAsia="zh-CN" w:bidi="ar"/>
        </w:rPr>
        <w:t>%收取。鼓励各合作银行和</w:t>
      </w:r>
      <w:r>
        <w:rPr>
          <w:rFonts w:hint="default" w:ascii="方正仿宋_GBK" w:hAnsi="方正仿宋_GBK" w:eastAsia="方正仿宋_GBK" w:cs="方正仿宋_GBK"/>
          <w:snapToGrid w:val="0"/>
          <w:color w:val="auto"/>
          <w:kern w:val="2"/>
          <w:sz w:val="32"/>
          <w:lang w:val="en-US" w:eastAsia="zh-CN" w:bidi="ar"/>
        </w:rPr>
        <w:t>政府性融资担保机构</w:t>
      </w:r>
      <w:r>
        <w:rPr>
          <w:rFonts w:hint="default" w:ascii="方正仿宋_GBK" w:hAnsi="方正仿宋_GBK" w:eastAsia="方正仿宋_GBK" w:cs="方正仿宋_GBK"/>
          <w:snapToGrid w:val="0"/>
          <w:color w:val="auto"/>
          <w:kern w:val="2"/>
          <w:sz w:val="32"/>
          <w:lang w:val="en-US" w:eastAsia="zh-CN" w:bidi="ar"/>
        </w:rPr>
        <w:t>降低企业贷款成本，让利企业</w:t>
      </w:r>
      <w:r>
        <w:rPr>
          <w:rFonts w:hint="default" w:ascii="方正仿宋_GBK" w:hAnsi="方正仿宋_GBK" w:eastAsia="方正仿宋_GBK" w:cs="方正仿宋_GBK"/>
          <w:snapToGrid w:val="0"/>
          <w:color w:val="auto"/>
          <w:kern w:val="2"/>
          <w:sz w:val="32"/>
          <w:lang w:val="en-US" w:eastAsia="zh-CN" w:bidi="ar"/>
        </w:rPr>
        <w:t>。</w:t>
      </w:r>
      <w:r>
        <w:rPr>
          <w:rFonts w:hint="default" w:ascii="方正仿宋_GBK" w:hAnsi="方正仿宋_GBK" w:eastAsia="方正仿宋_GBK" w:cs="方正仿宋_GBK"/>
          <w:snapToGrid w:val="0"/>
          <w:color w:val="auto"/>
          <w:sz w:val="32"/>
          <w:szCs w:val="20"/>
          <w:lang w:val="en-US" w:eastAsia="zh-CN" w:bidi="ar"/>
        </w:rPr>
        <w:t>县财政局按照“普惠易贷”融资担保业务发生担保费不超过0.2%给予担保费补贴（贷款主体只享受一年担保费补贴政策，不得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重复享受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jc w:val="center"/>
        <w:rPr>
          <w:rFonts w:hint="eastAsia" w:ascii="黑体" w:hAnsi="黑体" w:eastAsia="黑体" w:cs="黑体"/>
          <w:snapToGrid w:val="0"/>
          <w:color w:val="auto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jc w:val="center"/>
        <w:rPr>
          <w:rFonts w:hint="default"/>
          <w:snapToGrid w:val="0"/>
          <w:color w:val="auto"/>
        </w:rPr>
      </w:pPr>
      <w:r>
        <w:rPr>
          <w:rFonts w:hint="eastAsia" w:ascii="黑体" w:hAnsi="黑体" w:eastAsia="黑体" w:cs="黑体"/>
          <w:snapToGrid w:val="0"/>
          <w:color w:val="auto"/>
        </w:rPr>
        <w:t>第四章  风险补偿程序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default" w:ascii="楷体" w:hAnsi="楷体" w:eastAsia="楷体" w:cs="楷体"/>
          <w:b/>
          <w:bCs/>
          <w:snapToGrid w:val="0"/>
          <w:color w:val="auto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default"/>
          <w:snapToGrid w:val="0"/>
          <w:color w:val="auto"/>
        </w:rPr>
      </w:pPr>
      <w:r>
        <w:rPr>
          <w:rFonts w:hint="default" w:ascii="楷体" w:hAnsi="楷体" w:eastAsia="楷体" w:cs="楷体"/>
          <w:b/>
          <w:bCs/>
          <w:snapToGrid w:val="0"/>
          <w:color w:val="auto"/>
          <w:lang w:eastAsia="zh-CN"/>
        </w:rPr>
        <w:t>第十</w:t>
      </w:r>
      <w:r>
        <w:rPr>
          <w:rFonts w:hint="eastAsia" w:ascii="楷体" w:hAnsi="楷体" w:eastAsia="楷体" w:cs="楷体"/>
          <w:b/>
          <w:bCs/>
          <w:snapToGrid w:val="0"/>
          <w:color w:val="auto"/>
          <w:lang w:eastAsia="zh-CN"/>
        </w:rPr>
        <w:t>四</w:t>
      </w:r>
      <w:r>
        <w:rPr>
          <w:rFonts w:hint="default" w:ascii="楷体" w:hAnsi="楷体" w:eastAsia="楷体" w:cs="楷体"/>
          <w:b/>
          <w:bCs/>
          <w:snapToGrid w:val="0"/>
          <w:color w:val="auto"/>
          <w:lang w:eastAsia="zh-CN"/>
        </w:rPr>
        <w:t>条</w:t>
      </w:r>
      <w:r>
        <w:rPr>
          <w:rFonts w:hint="default"/>
          <w:snapToGrid w:val="0"/>
          <w:color w:val="auto"/>
          <w:lang w:val="en-US" w:eastAsia="zh-CN"/>
        </w:rPr>
        <w:t xml:space="preserve"> </w:t>
      </w:r>
      <w:r>
        <w:rPr>
          <w:rFonts w:hint="default"/>
          <w:snapToGrid w:val="0"/>
          <w:color w:val="auto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由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合作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银行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按自身贷款评审要求和程序，独立完成贷款审批和贷后管理，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政府性融资担保机构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不进行项目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尽职调查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和项目风险评审。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政府性融资担保机构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只对所涉及的担保业务合规性审核。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default" w:ascii="方正仿宋_GBK" w:hAnsi="方正仿宋_GBK" w:cs="方正仿宋_GBK"/>
          <w:snapToGrid w:val="0"/>
          <w:color w:val="auto"/>
          <w:lang w:val="en-US" w:eastAsia="zh-CN" w:bidi="ar"/>
        </w:rPr>
      </w:pPr>
      <w:r>
        <w:rPr>
          <w:rFonts w:hint="default" w:ascii="楷体" w:hAnsi="楷体" w:eastAsia="楷体" w:cs="楷体"/>
          <w:b/>
          <w:bCs/>
          <w:snapToGrid w:val="0"/>
          <w:color w:val="auto"/>
          <w:lang w:val="en-US" w:eastAsia="zh-CN"/>
        </w:rPr>
        <w:t>第十</w:t>
      </w:r>
      <w:r>
        <w:rPr>
          <w:rFonts w:hint="eastAsia" w:ascii="楷体" w:hAnsi="楷体" w:eastAsia="楷体" w:cs="楷体"/>
          <w:b/>
          <w:bCs/>
          <w:snapToGrid w:val="0"/>
          <w:color w:val="auto"/>
          <w:lang w:val="en-US" w:eastAsia="zh-CN"/>
        </w:rPr>
        <w:t>五</w:t>
      </w:r>
      <w:r>
        <w:rPr>
          <w:rFonts w:hint="default" w:ascii="楷体" w:hAnsi="楷体" w:eastAsia="楷体" w:cs="楷体"/>
          <w:b/>
          <w:bCs/>
          <w:snapToGrid w:val="0"/>
          <w:color w:val="auto"/>
          <w:lang w:val="en-US" w:eastAsia="zh-CN"/>
        </w:rPr>
        <w:t>条</w:t>
      </w:r>
      <w:r>
        <w:rPr>
          <w:rFonts w:hint="default" w:ascii="Times New Roman" w:hAnsi="Times New Roman" w:eastAsia="方正仿宋_GBK" w:cs="Times New Roman"/>
          <w:b/>
          <w:bCs/>
          <w:snapToGrid w:val="0"/>
          <w:color w:val="auto"/>
          <w:lang w:val="en-US" w:eastAsia="zh-CN"/>
        </w:rPr>
        <w:t xml:space="preserve">  </w:t>
      </w:r>
      <w:r>
        <w:rPr>
          <w:rFonts w:hint="default"/>
          <w:snapToGrid w:val="0"/>
          <w:color w:val="auto"/>
          <w:lang w:val="en-US" w:eastAsia="zh-CN"/>
        </w:rPr>
        <w:t>当贷款</w:t>
      </w:r>
      <w:r>
        <w:rPr>
          <w:rFonts w:hint="eastAsia" w:ascii="Times New Roman" w:hAnsi="Times New Roman" w:cs="Times New Roman"/>
          <w:snapToGrid w:val="0"/>
          <w:color w:val="FF0000"/>
          <w:lang w:val="en-US" w:eastAsia="zh-CN"/>
        </w:rPr>
        <w:t>主体</w:t>
      </w:r>
      <w:r>
        <w:rPr>
          <w:rFonts w:hint="default"/>
          <w:snapToGrid w:val="0"/>
          <w:color w:val="auto"/>
          <w:lang w:val="en-US" w:eastAsia="zh-CN"/>
        </w:rPr>
        <w:t>发生逾期后，</w:t>
      </w:r>
      <w:r>
        <w:rPr>
          <w:rFonts w:hint="eastAsia" w:ascii="Times New Roman" w:hAnsi="Times New Roman" w:cs="Times New Roman"/>
          <w:snapToGrid w:val="0"/>
          <w:color w:val="FF0000"/>
          <w:lang w:val="en-US" w:eastAsia="zh-CN"/>
        </w:rPr>
        <w:t>由</w:t>
      </w:r>
      <w:r>
        <w:rPr>
          <w:rFonts w:hint="default"/>
          <w:snapToGrid w:val="0"/>
          <w:color w:val="auto"/>
          <w:lang w:val="en-US" w:eastAsia="zh-CN"/>
        </w:rPr>
        <w:t>合作银行催收，</w:t>
      </w:r>
      <w:r>
        <w:rPr>
          <w:rFonts w:hint="eastAsia" w:ascii="Times New Roman" w:hAnsi="Times New Roman" w:cs="Times New Roman"/>
          <w:snapToGrid w:val="0"/>
          <w:color w:val="FF0000"/>
          <w:lang w:val="en-US" w:eastAsia="zh-CN"/>
        </w:rPr>
        <w:t>优先处置抵押物后，</w:t>
      </w:r>
      <w:r>
        <w:rPr>
          <w:rFonts w:hint="default" w:ascii="Times New Roman" w:hAnsi="Times New Roman" w:cs="Times New Roman"/>
          <w:snapToGrid w:val="0"/>
          <w:color w:val="FF0000"/>
          <w:lang w:val="en-US" w:eastAsia="zh-CN"/>
        </w:rPr>
        <w:t>认定无力偿还的</w:t>
      </w:r>
      <w:r>
        <w:rPr>
          <w:rFonts w:hint="eastAsia" w:ascii="Times New Roman" w:hAnsi="Times New Roman" w:cs="Times New Roman"/>
          <w:snapToGrid w:val="0"/>
          <w:color w:val="FF0000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20"/>
          <w:lang w:val="en-US" w:eastAsia="zh-CN"/>
        </w:rPr>
        <w:t>由风险补偿资金代偿。产品设</w:t>
      </w:r>
      <w:r>
        <w:rPr>
          <w:rFonts w:hint="default" w:ascii="方正仿宋_GBK" w:hAnsi="方正仿宋_GBK" w:eastAsia="方正仿宋_GBK" w:cs="方正仿宋_GBK"/>
          <w:snapToGrid w:val="0"/>
          <w:color w:val="auto"/>
          <w:sz w:val="32"/>
          <w:szCs w:val="20"/>
          <w:lang w:val="en-US" w:eastAsia="zh-CN" w:bidi="ar"/>
        </w:rPr>
        <w:t>置</w:t>
      </w:r>
      <w:r>
        <w:rPr>
          <w:rFonts w:hint="default" w:ascii="方正仿宋_GBK" w:hAnsi="方正仿宋_GBK" w:cs="方正仿宋_GBK"/>
          <w:snapToGrid w:val="0"/>
          <w:color w:val="FF0000"/>
          <w:sz w:val="32"/>
          <w:szCs w:val="20"/>
          <w:lang w:val="en-US" w:eastAsia="zh-CN" w:bidi="ar"/>
        </w:rPr>
        <w:t>2</w:t>
      </w:r>
      <w:r>
        <w:rPr>
          <w:rFonts w:hint="default" w:ascii="方正仿宋_GBK" w:hAnsi="方正仿宋_GBK" w:eastAsia="方正仿宋_GBK" w:cs="方正仿宋_GBK"/>
          <w:snapToGrid w:val="0"/>
          <w:color w:val="auto"/>
          <w:sz w:val="32"/>
          <w:szCs w:val="20"/>
          <w:lang w:val="en-US" w:eastAsia="zh-CN" w:bidi="ar"/>
        </w:rPr>
        <w:t>%的担保代偿率阈值，</w:t>
      </w:r>
      <w:r>
        <w:rPr>
          <w:rFonts w:hint="default" w:ascii="方正仿宋_GBK" w:hAnsi="方正仿宋_GBK" w:eastAsia="方正仿宋_GBK" w:cs="方正仿宋_GBK"/>
          <w:snapToGrid w:val="0"/>
          <w:color w:val="FF0000"/>
          <w:sz w:val="32"/>
          <w:szCs w:val="20"/>
          <w:lang w:val="en-US" w:eastAsia="zh-CN" w:bidi="ar"/>
        </w:rPr>
        <w:t>担保代偿率=（累计担保代偿额/累计解除的担保额）</w:t>
      </w:r>
      <w:r>
        <w:rPr>
          <w:rFonts w:hint="default" w:ascii="方正仿宋_GBK" w:hAnsi="方正仿宋_GBK" w:cs="方正仿宋_GBK"/>
          <w:snapToGrid w:val="0"/>
          <w:color w:val="FF0000"/>
          <w:sz w:val="32"/>
          <w:szCs w:val="20"/>
          <w:lang w:val="en-US" w:eastAsia="zh-CN" w:bidi="ar"/>
        </w:rPr>
        <w:t>*</w:t>
      </w:r>
      <w:r>
        <w:rPr>
          <w:rFonts w:hint="default" w:ascii="方正仿宋_GBK" w:hAnsi="方正仿宋_GBK" w:eastAsia="方正仿宋_GBK" w:cs="方正仿宋_GBK"/>
          <w:snapToGrid w:val="0"/>
          <w:color w:val="FF0000"/>
          <w:sz w:val="32"/>
          <w:szCs w:val="20"/>
          <w:lang w:val="en-US" w:eastAsia="zh-CN" w:bidi="ar"/>
        </w:rPr>
        <w:t>100%</w:t>
      </w:r>
      <w:r>
        <w:rPr>
          <w:rFonts w:hint="default" w:ascii="方正仿宋_GBK" w:hAnsi="方正仿宋_GBK" w:eastAsia="方正仿宋_GBK" w:cs="方正仿宋_GBK"/>
          <w:snapToGrid w:val="0"/>
          <w:color w:val="auto"/>
          <w:sz w:val="32"/>
          <w:szCs w:val="20"/>
          <w:lang w:val="en-US" w:eastAsia="zh-CN" w:bidi="ar"/>
        </w:rPr>
        <w:t>。即当担保代偿率大于</w:t>
      </w:r>
      <w:r>
        <w:rPr>
          <w:rFonts w:hint="default" w:ascii="方正仿宋_GBK" w:hAnsi="方正仿宋_GBK" w:cs="方正仿宋_GBK"/>
          <w:snapToGrid w:val="0"/>
          <w:color w:val="FF0000"/>
          <w:sz w:val="32"/>
          <w:szCs w:val="20"/>
          <w:lang w:val="en-US" w:eastAsia="zh-CN" w:bidi="ar"/>
        </w:rPr>
        <w:t>2</w:t>
      </w:r>
      <w:r>
        <w:rPr>
          <w:rFonts w:hint="default" w:ascii="方正仿宋_GBK" w:hAnsi="方正仿宋_GBK" w:eastAsia="方正仿宋_GBK" w:cs="方正仿宋_GBK"/>
          <w:snapToGrid w:val="0"/>
          <w:color w:val="auto"/>
          <w:sz w:val="32"/>
          <w:szCs w:val="20"/>
          <w:lang w:val="en-US" w:eastAsia="zh-CN" w:bidi="ar"/>
        </w:rPr>
        <w:t>%（含）时，风险补偿资金对金融机构担保代偿率超过</w:t>
      </w:r>
      <w:r>
        <w:rPr>
          <w:rFonts w:hint="default" w:ascii="方正仿宋_GBK" w:hAnsi="方正仿宋_GBK" w:cs="方正仿宋_GBK"/>
          <w:snapToGrid w:val="0"/>
          <w:color w:val="FF0000"/>
          <w:sz w:val="32"/>
          <w:szCs w:val="20"/>
          <w:lang w:val="en-US" w:eastAsia="zh-CN" w:bidi="ar"/>
        </w:rPr>
        <w:t>2</w:t>
      </w:r>
      <w:r>
        <w:rPr>
          <w:rFonts w:hint="default" w:ascii="方正仿宋_GBK" w:hAnsi="方正仿宋_GBK" w:eastAsia="方正仿宋_GBK" w:cs="方正仿宋_GBK"/>
          <w:snapToGrid w:val="0"/>
          <w:color w:val="auto"/>
          <w:sz w:val="32"/>
          <w:szCs w:val="20"/>
          <w:lang w:val="en-US" w:eastAsia="zh-CN" w:bidi="ar"/>
        </w:rPr>
        <w:t>%（含）部分的担保贷款停止代偿。当担保代偿率下降到</w:t>
      </w:r>
      <w:r>
        <w:rPr>
          <w:rFonts w:hint="default" w:ascii="方正仿宋_GBK" w:hAnsi="方正仿宋_GBK" w:cs="方正仿宋_GBK"/>
          <w:snapToGrid w:val="0"/>
          <w:color w:val="FF0000"/>
          <w:sz w:val="32"/>
          <w:szCs w:val="20"/>
          <w:lang w:val="en-US" w:eastAsia="zh-CN" w:bidi="ar"/>
        </w:rPr>
        <w:t>2</w:t>
      </w:r>
      <w:r>
        <w:rPr>
          <w:rFonts w:hint="default" w:ascii="方正仿宋_GBK" w:hAnsi="方正仿宋_GBK" w:eastAsia="方正仿宋_GBK" w:cs="方正仿宋_GBK"/>
          <w:snapToGrid w:val="0"/>
          <w:color w:val="auto"/>
          <w:sz w:val="32"/>
          <w:szCs w:val="20"/>
          <w:lang w:val="en-US" w:eastAsia="zh-CN" w:bidi="ar"/>
        </w:rPr>
        <w:t>%（含）以下时，可按照约定的风险责任比例恢复代偿。超过风险分担机制代偿率金额上限的，风险补偿资金、</w:t>
      </w:r>
      <w:r>
        <w:rPr>
          <w:rFonts w:hint="default" w:ascii="方正仿宋_GBK" w:hAnsi="方正仿宋_GBK" w:cs="方正仿宋_GBK"/>
          <w:snapToGrid w:val="0"/>
          <w:color w:val="FF0000"/>
          <w:sz w:val="32"/>
          <w:szCs w:val="20"/>
          <w:lang w:val="en-US" w:eastAsia="zh-CN" w:bidi="ar"/>
        </w:rPr>
        <w:t>政府性融资担保机构</w:t>
      </w:r>
      <w:r>
        <w:rPr>
          <w:rFonts w:hint="default" w:ascii="方正仿宋_GBK" w:hAnsi="方正仿宋_GBK" w:eastAsia="方正仿宋_GBK" w:cs="方正仿宋_GBK"/>
          <w:snapToGrid w:val="0"/>
          <w:color w:val="auto"/>
          <w:sz w:val="32"/>
          <w:szCs w:val="20"/>
          <w:lang w:val="en-US" w:eastAsia="zh-CN" w:bidi="ar"/>
        </w:rPr>
        <w:t>不再进行代偿，合作金融机构放弃超出部分对风险补偿资金、</w:t>
      </w:r>
      <w:r>
        <w:rPr>
          <w:rFonts w:hint="default" w:ascii="方正仿宋_GBK" w:hAnsi="方正仿宋_GBK" w:cs="方正仿宋_GBK"/>
          <w:snapToGrid w:val="0"/>
          <w:color w:val="FF0000"/>
          <w:sz w:val="32"/>
          <w:szCs w:val="20"/>
          <w:lang w:val="en-US" w:eastAsia="zh-CN" w:bidi="ar"/>
        </w:rPr>
        <w:t>政府性融资担保机构</w:t>
      </w:r>
      <w:r>
        <w:rPr>
          <w:rFonts w:hint="default" w:ascii="方正仿宋_GBK" w:hAnsi="方正仿宋_GBK" w:eastAsia="方正仿宋_GBK" w:cs="方正仿宋_GBK"/>
          <w:snapToGrid w:val="0"/>
          <w:color w:val="auto"/>
          <w:sz w:val="32"/>
          <w:szCs w:val="20"/>
          <w:lang w:val="en-US" w:eastAsia="zh-CN" w:bidi="ar"/>
        </w:rPr>
        <w:t>的追偿权</w:t>
      </w:r>
      <w:r>
        <w:rPr>
          <w:rFonts w:hint="default" w:ascii="方正仿宋_GBK" w:hAnsi="方正仿宋_GBK" w:cs="方正仿宋_GBK"/>
          <w:snapToGrid w:val="0"/>
          <w:color w:val="auto"/>
          <w:sz w:val="32"/>
          <w:szCs w:val="20"/>
          <w:lang w:val="en-US" w:eastAsia="zh-CN" w:bidi="ar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default"/>
          <w:snapToGrid w:val="0"/>
          <w:color w:val="auto"/>
        </w:rPr>
      </w:pPr>
      <w:r>
        <w:rPr>
          <w:rFonts w:hint="default" w:ascii="楷体" w:hAnsi="楷体" w:eastAsia="楷体" w:cs="楷体"/>
          <w:b/>
          <w:bCs/>
          <w:snapToGrid w:val="0"/>
          <w:color w:val="auto"/>
        </w:rPr>
        <w:t>第十</w:t>
      </w:r>
      <w:r>
        <w:rPr>
          <w:rFonts w:hint="eastAsia" w:ascii="楷体" w:hAnsi="楷体" w:eastAsia="楷体" w:cs="楷体"/>
          <w:b/>
          <w:bCs/>
          <w:snapToGrid w:val="0"/>
          <w:color w:val="auto"/>
          <w:lang w:val="en-US" w:eastAsia="zh-CN"/>
        </w:rPr>
        <w:t>六</w:t>
      </w:r>
      <w:r>
        <w:rPr>
          <w:rFonts w:hint="default" w:ascii="楷体" w:hAnsi="楷体" w:eastAsia="楷体" w:cs="楷体"/>
          <w:b/>
          <w:bCs/>
          <w:snapToGrid w:val="0"/>
          <w:color w:val="auto"/>
        </w:rPr>
        <w:t>条</w:t>
      </w:r>
      <w:r>
        <w:rPr>
          <w:rFonts w:hint="default"/>
          <w:b/>
          <w:bCs/>
          <w:snapToGrid w:val="0"/>
          <w:color w:val="auto"/>
        </w:rPr>
        <w:t xml:space="preserve">  </w:t>
      </w:r>
      <w:r>
        <w:rPr>
          <w:rFonts w:hint="eastAsia" w:cs="Times New Roman"/>
          <w:snapToGrid w:val="0"/>
          <w:color w:val="FF0000"/>
          <w:lang w:val="en-US" w:eastAsia="zh-CN"/>
        </w:rPr>
        <w:t>当银行认定无力偿还的</w:t>
      </w:r>
      <w:r>
        <w:rPr>
          <w:rFonts w:hint="default"/>
          <w:snapToGrid w:val="0"/>
          <w:color w:val="auto"/>
          <w:lang w:val="en-US" w:eastAsia="zh-CN"/>
        </w:rPr>
        <w:t>，</w:t>
      </w:r>
      <w:r>
        <w:rPr>
          <w:rFonts w:hint="eastAsia" w:cs="Times New Roman"/>
          <w:snapToGrid w:val="0"/>
          <w:color w:val="FF0000"/>
          <w:lang w:val="en-US" w:eastAsia="zh-CN"/>
        </w:rPr>
        <w:t>由合作银行</w:t>
      </w:r>
      <w:r>
        <w:rPr>
          <w:rFonts w:hint="default"/>
          <w:snapToGrid w:val="0"/>
          <w:color w:val="auto"/>
          <w:lang w:val="en-US" w:eastAsia="zh-CN"/>
        </w:rPr>
        <w:t>向</w:t>
      </w:r>
      <w:r>
        <w:rPr>
          <w:rFonts w:hint="eastAsia" w:cs="Times New Roman"/>
          <w:snapToGrid w:val="0"/>
          <w:color w:val="FF0000"/>
          <w:lang w:val="en-US" w:eastAsia="zh-CN"/>
        </w:rPr>
        <w:t>政府性融资担保机构</w:t>
      </w:r>
      <w:r>
        <w:rPr>
          <w:rFonts w:hint="default"/>
          <w:snapToGrid w:val="0"/>
          <w:color w:val="auto"/>
          <w:lang w:val="en-US" w:eastAsia="zh-CN"/>
        </w:rPr>
        <w:t>提出风险补偿资金代偿</w:t>
      </w:r>
      <w:r>
        <w:rPr>
          <w:rFonts w:hint="eastAsia" w:cs="Times New Roman"/>
          <w:snapToGrid w:val="0"/>
          <w:color w:val="FF0000"/>
          <w:lang w:val="en-US" w:eastAsia="zh-CN"/>
        </w:rPr>
        <w:t>补偿</w:t>
      </w:r>
      <w:r>
        <w:rPr>
          <w:rFonts w:hint="default"/>
          <w:snapToGrid w:val="0"/>
          <w:color w:val="auto"/>
          <w:lang w:val="en-US" w:eastAsia="zh-CN"/>
        </w:rPr>
        <w:t>书</w:t>
      </w:r>
      <w:r>
        <w:rPr>
          <w:rFonts w:hint="default" w:ascii="方正仿宋_GBK" w:hAnsi="方正仿宋_GBK" w:cs="方正仿宋_GBK"/>
          <w:snapToGrid w:val="0"/>
          <w:color w:val="auto"/>
          <w:lang w:val="en-US" w:eastAsia="zh-CN" w:bidi="ar"/>
        </w:rPr>
        <w:t>面申请，</w:t>
      </w:r>
      <w:r>
        <w:rPr>
          <w:rFonts w:hint="default" w:ascii="方正仿宋_GBK" w:hAnsi="方正仿宋_GBK" w:cs="方正仿宋_GBK"/>
          <w:snapToGrid w:val="0"/>
          <w:color w:val="FF0000"/>
          <w:lang w:val="en-US" w:eastAsia="zh-CN" w:bidi="ar"/>
        </w:rPr>
        <w:t>政府性融资担保机构审核</w:t>
      </w:r>
      <w:r>
        <w:rPr>
          <w:rFonts w:hint="default" w:ascii="方正仿宋_GBK" w:hAnsi="方正仿宋_GBK" w:cs="方正仿宋_GBK"/>
          <w:snapToGrid w:val="0"/>
          <w:color w:val="auto"/>
          <w:lang w:val="en-US" w:eastAsia="zh-CN" w:bidi="ar"/>
        </w:rPr>
        <w:t>后报</w:t>
      </w:r>
      <w:r>
        <w:rPr>
          <w:rFonts w:hint="default" w:ascii="方正仿宋_GBK" w:hAnsi="方正仿宋_GBK" w:cs="方正仿宋_GBK"/>
          <w:snapToGrid w:val="0"/>
          <w:color w:val="auto"/>
          <w:lang w:val="en-US" w:eastAsia="zh-CN" w:bidi="ar"/>
        </w:rPr>
        <w:t>平罗县</w:t>
      </w:r>
      <w:r>
        <w:rPr>
          <w:rFonts w:hint="default" w:ascii="方正仿宋_GBK" w:hAnsi="方正仿宋_GBK" w:cs="方正仿宋_GBK"/>
          <w:snapToGrid w:val="0"/>
          <w:color w:val="auto"/>
          <w:lang w:val="en-US" w:eastAsia="zh-CN" w:bidi="ar"/>
        </w:rPr>
        <w:t>财政局，</w:t>
      </w:r>
      <w:r>
        <w:rPr>
          <w:rFonts w:hint="default" w:ascii="方正仿宋_GBK" w:hAnsi="方正仿宋_GBK" w:cs="方正仿宋_GBK"/>
          <w:snapToGrid w:val="0"/>
          <w:color w:val="FF0000"/>
          <w:lang w:val="en-US" w:eastAsia="zh-CN" w:bidi="ar"/>
        </w:rPr>
        <w:t>由</w:t>
      </w:r>
      <w:r>
        <w:rPr>
          <w:rFonts w:hint="default" w:ascii="方正仿宋_GBK" w:hAnsi="方正仿宋_GBK" w:cs="方正仿宋_GBK"/>
          <w:snapToGrid w:val="0"/>
          <w:color w:val="auto"/>
          <w:lang w:val="en-US" w:eastAsia="zh-CN" w:bidi="ar"/>
        </w:rPr>
        <w:t>县财政局15个</w:t>
      </w:r>
      <w:r>
        <w:rPr>
          <w:rFonts w:hint="default"/>
          <w:snapToGrid w:val="0"/>
          <w:color w:val="auto"/>
          <w:lang w:val="en-US" w:eastAsia="zh-CN"/>
        </w:rPr>
        <w:t>工作日内</w:t>
      </w:r>
      <w:r>
        <w:rPr>
          <w:rFonts w:hint="eastAsia" w:cs="Times New Roman"/>
          <w:snapToGrid w:val="0"/>
          <w:color w:val="FF0000"/>
          <w:lang w:val="en-US" w:eastAsia="zh-CN"/>
        </w:rPr>
        <w:t>复审并通知政府性融资担保机构</w:t>
      </w:r>
      <w:r>
        <w:rPr>
          <w:rFonts w:hint="default"/>
          <w:snapToGrid w:val="0"/>
          <w:color w:val="auto"/>
          <w:lang w:val="en-US" w:eastAsia="zh-CN"/>
        </w:rPr>
        <w:t>，完成风险补偿金代偿手续。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2" w:firstLineChars="200"/>
        <w:rPr>
          <w:rFonts w:hint="default" w:ascii="Times New Roman" w:hAnsi="Times New Roman" w:eastAsia="方正仿宋_GBK" w:cs="Times New Roman"/>
          <w:snapToGrid w:val="0"/>
          <w:color w:val="auto"/>
          <w:kern w:val="2"/>
          <w:sz w:val="32"/>
          <w:szCs w:val="20"/>
          <w:lang w:val="en-US" w:eastAsia="zh-CN" w:bidi="ar-SA"/>
        </w:rPr>
      </w:pPr>
      <w:r>
        <w:rPr>
          <w:rFonts w:hint="default" w:ascii="楷体" w:hAnsi="楷体" w:eastAsia="楷体" w:cs="楷体"/>
          <w:b/>
          <w:bCs/>
          <w:snapToGrid w:val="0"/>
          <w:color w:val="auto"/>
          <w:kern w:val="2"/>
          <w:sz w:val="32"/>
          <w:szCs w:val="20"/>
          <w:lang w:val="en-US" w:eastAsia="zh-CN" w:bidi="ar-SA"/>
        </w:rPr>
        <w:t>第十</w:t>
      </w:r>
      <w:r>
        <w:rPr>
          <w:rFonts w:hint="eastAsia" w:ascii="楷体" w:hAnsi="楷体" w:eastAsia="楷体" w:cs="楷体"/>
          <w:b/>
          <w:bCs/>
          <w:snapToGrid w:val="0"/>
          <w:color w:val="auto"/>
          <w:kern w:val="2"/>
          <w:sz w:val="32"/>
          <w:szCs w:val="20"/>
          <w:lang w:val="en-US" w:eastAsia="zh-CN" w:bidi="ar-SA"/>
        </w:rPr>
        <w:t>七</w:t>
      </w:r>
      <w:r>
        <w:rPr>
          <w:rFonts w:hint="default" w:ascii="楷体" w:hAnsi="楷体" w:eastAsia="楷体" w:cs="楷体"/>
          <w:b/>
          <w:bCs/>
          <w:snapToGrid w:val="0"/>
          <w:color w:val="auto"/>
          <w:kern w:val="2"/>
          <w:sz w:val="32"/>
          <w:szCs w:val="20"/>
          <w:lang w:val="en-US" w:eastAsia="zh-CN" w:bidi="ar-SA"/>
        </w:rPr>
        <w:t>条</w:t>
      </w:r>
      <w:r>
        <w:rPr>
          <w:rFonts w:hint="default" w:ascii="Times New Roman" w:hAnsi="Times New Roman" w:eastAsia="方正仿宋_GBK" w:cs="Times New Roman"/>
          <w:snapToGrid w:val="0"/>
          <w:color w:val="FF0000"/>
          <w:kern w:val="2"/>
          <w:sz w:val="32"/>
          <w:szCs w:val="20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FF0000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2"/>
          <w:sz w:val="32"/>
          <w:szCs w:val="20"/>
          <w:lang w:val="en-US" w:eastAsia="zh-CN" w:bidi="ar-SA"/>
        </w:rPr>
        <w:t>风险补偿资金代偿后，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szCs w:val="20"/>
          <w:lang w:val="en-US" w:eastAsia="zh-CN" w:bidi="ar-SA"/>
        </w:rPr>
        <w:t>由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2"/>
          <w:sz w:val="32"/>
          <w:szCs w:val="20"/>
          <w:lang w:val="en-US" w:eastAsia="zh-CN" w:bidi="ar-SA"/>
        </w:rPr>
        <w:t>合作银行按照流程启动追偿程序以减少损失。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2" w:firstLineChars="200"/>
        <w:rPr>
          <w:rFonts w:hint="default" w:ascii="Times New Roman" w:hAnsi="Times New Roman" w:eastAsia="方正仿宋_GBK" w:cs="Times New Roman"/>
          <w:snapToGrid w:val="0"/>
          <w:color w:val="auto"/>
          <w:kern w:val="2"/>
          <w:sz w:val="32"/>
          <w:szCs w:val="20"/>
          <w:lang w:val="en-US" w:eastAsia="zh-CN" w:bidi="ar-SA"/>
        </w:rPr>
      </w:pPr>
      <w:r>
        <w:rPr>
          <w:rFonts w:hint="default" w:ascii="楷体" w:hAnsi="楷体" w:eastAsia="楷体" w:cs="楷体"/>
          <w:b/>
          <w:bCs/>
          <w:snapToGrid w:val="0"/>
          <w:color w:val="auto"/>
          <w:kern w:val="2"/>
          <w:sz w:val="32"/>
          <w:szCs w:val="20"/>
          <w:lang w:val="en-US" w:eastAsia="zh-CN" w:bidi="ar-SA"/>
        </w:rPr>
        <w:t>第十</w:t>
      </w:r>
      <w:r>
        <w:rPr>
          <w:rFonts w:hint="eastAsia" w:ascii="楷体" w:hAnsi="楷体" w:eastAsia="楷体" w:cs="楷体"/>
          <w:b/>
          <w:bCs/>
          <w:snapToGrid w:val="0"/>
          <w:color w:val="auto"/>
          <w:kern w:val="2"/>
          <w:sz w:val="32"/>
          <w:szCs w:val="20"/>
          <w:lang w:val="en-US" w:eastAsia="zh-CN" w:bidi="ar-SA"/>
        </w:rPr>
        <w:t>八</w:t>
      </w:r>
      <w:r>
        <w:rPr>
          <w:rFonts w:hint="default" w:ascii="楷体" w:hAnsi="楷体" w:eastAsia="楷体" w:cs="楷体"/>
          <w:b/>
          <w:bCs/>
          <w:snapToGrid w:val="0"/>
          <w:color w:val="auto"/>
          <w:kern w:val="2"/>
          <w:sz w:val="32"/>
          <w:szCs w:val="20"/>
          <w:lang w:val="en-US" w:eastAsia="zh-CN" w:bidi="ar-SA"/>
        </w:rPr>
        <w:t xml:space="preserve">条 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2"/>
          <w:sz w:val="32"/>
          <w:szCs w:val="20"/>
          <w:lang w:val="en-US" w:eastAsia="zh-CN" w:bidi="ar-SA"/>
        </w:rPr>
        <w:t>代偿后，合作银行按程序追偿清收后确认无法收回，认定为损失的，参照金融企业呆账核销管理有关规定，由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2"/>
          <w:sz w:val="32"/>
          <w:szCs w:val="20"/>
          <w:lang w:val="en-US" w:eastAsia="zh-CN" w:bidi="ar-SA"/>
        </w:rPr>
        <w:t>政府性融资担保机构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2"/>
          <w:sz w:val="32"/>
          <w:szCs w:val="20"/>
          <w:lang w:val="en-US" w:eastAsia="zh-CN" w:bidi="ar-SA"/>
        </w:rPr>
        <w:t>履行内部决策程序后，按照程序进行核销。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default" w:ascii="Times New Roman" w:hAnsi="Times New Roman" w:cs="Times New Roman"/>
          <w:snapToGrid w:val="0"/>
          <w:color w:val="FF0000"/>
        </w:rPr>
      </w:pPr>
      <w:r>
        <w:rPr>
          <w:rFonts w:hint="default" w:ascii="楷体" w:hAnsi="楷体" w:eastAsia="楷体" w:cs="楷体"/>
          <w:b/>
          <w:bCs/>
          <w:snapToGrid w:val="0"/>
          <w:color w:val="auto"/>
        </w:rPr>
        <w:t>第</w:t>
      </w:r>
      <w:r>
        <w:rPr>
          <w:rFonts w:hint="eastAsia" w:ascii="楷体" w:hAnsi="楷体" w:eastAsia="楷体" w:cs="楷体"/>
          <w:b/>
          <w:bCs/>
          <w:snapToGrid w:val="0"/>
          <w:color w:val="auto"/>
          <w:lang w:val="en-US" w:eastAsia="zh-CN"/>
        </w:rPr>
        <w:t>十九</w:t>
      </w:r>
      <w:r>
        <w:rPr>
          <w:rFonts w:hint="default" w:ascii="楷体" w:hAnsi="楷体" w:eastAsia="楷体" w:cs="楷体"/>
          <w:b/>
          <w:bCs/>
          <w:snapToGrid w:val="0"/>
          <w:color w:val="auto"/>
        </w:rPr>
        <w:t>条</w:t>
      </w:r>
      <w:r>
        <w:rPr>
          <w:rFonts w:hint="default"/>
          <w:snapToGrid w:val="0"/>
          <w:color w:val="auto"/>
        </w:rPr>
        <w:t xml:space="preserve">  </w:t>
      </w:r>
      <w:r>
        <w:rPr>
          <w:rFonts w:hint="eastAsia" w:cs="Times New Roman"/>
          <w:snapToGrid w:val="0"/>
          <w:color w:val="FF0000"/>
          <w:lang w:val="en-US" w:eastAsia="zh-CN"/>
        </w:rPr>
        <w:t>政府性融资担保机构</w:t>
      </w:r>
      <w:r>
        <w:rPr>
          <w:rFonts w:hint="default"/>
          <w:snapToGrid w:val="0"/>
          <w:color w:val="auto"/>
          <w:lang w:val="en-US" w:eastAsia="zh-CN"/>
        </w:rPr>
        <w:t>应</w:t>
      </w:r>
      <w:r>
        <w:rPr>
          <w:rFonts w:hint="default"/>
          <w:snapToGrid w:val="0"/>
          <w:color w:val="auto"/>
        </w:rPr>
        <w:t>建立</w:t>
      </w:r>
      <w:r>
        <w:rPr>
          <w:rFonts w:hint="eastAsia" w:cs="Times New Roman"/>
          <w:snapToGrid w:val="0"/>
          <w:color w:val="auto"/>
          <w:lang w:eastAsia="zh-CN"/>
        </w:rPr>
        <w:t>“</w:t>
      </w:r>
      <w:r>
        <w:rPr>
          <w:rFonts w:hint="default"/>
          <w:snapToGrid w:val="0"/>
          <w:color w:val="auto"/>
          <w:lang w:eastAsia="zh-CN"/>
        </w:rPr>
        <w:t>普惠易贷</w:t>
      </w:r>
      <w:r>
        <w:rPr>
          <w:rFonts w:hint="eastAsia" w:cs="Times New Roman"/>
          <w:snapToGrid w:val="0"/>
          <w:color w:val="auto"/>
          <w:lang w:eastAsia="zh-CN"/>
        </w:rPr>
        <w:t>”</w:t>
      </w:r>
      <w:r>
        <w:rPr>
          <w:rFonts w:hint="default"/>
          <w:snapToGrid w:val="0"/>
          <w:color w:val="auto"/>
        </w:rPr>
        <w:t>风险补偿金使用情况台账，定期对账并通报相关情况。合作银行要对</w:t>
      </w:r>
      <w:r>
        <w:rPr>
          <w:rFonts w:hint="default"/>
          <w:snapToGrid w:val="0"/>
          <w:color w:val="auto"/>
          <w:lang w:eastAsia="zh-CN"/>
        </w:rPr>
        <w:t>小微企业、</w:t>
      </w:r>
      <w:r>
        <w:rPr>
          <w:rFonts w:hint="eastAsia" w:cs="Times New Roman"/>
          <w:snapToGrid w:val="0"/>
          <w:color w:val="auto"/>
          <w:lang w:eastAsia="zh-CN"/>
        </w:rPr>
        <w:t>“</w:t>
      </w:r>
      <w:r>
        <w:rPr>
          <w:rFonts w:hint="default" w:ascii="Times New Roman" w:hAnsi="Times New Roman" w:cs="Times New Roman"/>
          <w:snapToGrid w:val="0"/>
          <w:color w:val="FF0000"/>
          <w:lang w:eastAsia="zh-CN"/>
        </w:rPr>
        <w:t>三农</w:t>
      </w:r>
      <w:r>
        <w:rPr>
          <w:rFonts w:hint="eastAsia" w:cs="Times New Roman"/>
          <w:snapToGrid w:val="0"/>
          <w:color w:val="auto"/>
          <w:lang w:eastAsia="zh-CN"/>
        </w:rPr>
        <w:t>”</w:t>
      </w:r>
      <w:r>
        <w:rPr>
          <w:rFonts w:hint="eastAsia" w:cs="Times New Roman"/>
          <w:snapToGrid w:val="0"/>
          <w:color w:val="FF0000"/>
          <w:lang w:val="en-US" w:eastAsia="zh-CN"/>
        </w:rPr>
        <w:t>主体</w:t>
      </w:r>
      <w:r>
        <w:rPr>
          <w:rFonts w:hint="default"/>
          <w:snapToGrid w:val="0"/>
          <w:color w:val="auto"/>
        </w:rPr>
        <w:t>已出现或可能出现的风险及时提出预警和处置建议。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default"/>
          <w:snapToGrid w:val="0"/>
          <w:color w:val="auto"/>
        </w:rPr>
      </w:pPr>
      <w:r>
        <w:rPr>
          <w:rFonts w:hint="default" w:ascii="楷体" w:hAnsi="楷体" w:eastAsia="楷体" w:cs="楷体"/>
          <w:b/>
          <w:bCs/>
          <w:snapToGrid w:val="0"/>
          <w:color w:val="auto"/>
        </w:rPr>
        <w:t>第</w:t>
      </w:r>
      <w:r>
        <w:rPr>
          <w:rFonts w:hint="default" w:ascii="楷体" w:hAnsi="楷体" w:eastAsia="楷体" w:cs="楷体"/>
          <w:b/>
          <w:bCs/>
          <w:snapToGrid w:val="0"/>
          <w:color w:val="auto"/>
          <w:lang w:eastAsia="zh-CN"/>
        </w:rPr>
        <w:t>二十</w:t>
      </w:r>
      <w:r>
        <w:rPr>
          <w:rFonts w:hint="default" w:ascii="楷体" w:hAnsi="楷体" w:eastAsia="楷体" w:cs="楷体"/>
          <w:b/>
          <w:bCs/>
          <w:snapToGrid w:val="0"/>
          <w:color w:val="auto"/>
        </w:rPr>
        <w:t>条</w:t>
      </w:r>
      <w:r>
        <w:rPr>
          <w:rFonts w:hint="default"/>
          <w:snapToGrid w:val="0"/>
          <w:color w:val="auto"/>
        </w:rPr>
        <w:t xml:space="preserve">  风险</w:t>
      </w:r>
      <w:r>
        <w:rPr>
          <w:rFonts w:hint="default"/>
          <w:snapToGrid w:val="0"/>
          <w:color w:val="auto"/>
          <w:lang w:eastAsia="zh-CN"/>
        </w:rPr>
        <w:t>补偿</w:t>
      </w:r>
      <w:r>
        <w:rPr>
          <w:rFonts w:hint="default"/>
          <w:snapToGrid w:val="0"/>
          <w:color w:val="auto"/>
        </w:rPr>
        <w:t>资金代偿责任的范围为合作银行</w:t>
      </w:r>
      <w:r>
        <w:rPr>
          <w:rFonts w:hint="eastAsia" w:cs="Times New Roman"/>
          <w:snapToGrid w:val="0"/>
          <w:color w:val="FF0000"/>
          <w:lang w:val="en-US" w:eastAsia="zh-CN"/>
        </w:rPr>
        <w:t>开展</w:t>
      </w:r>
      <w:r>
        <w:rPr>
          <w:rFonts w:hint="eastAsia" w:cs="Times New Roman"/>
          <w:snapToGrid w:val="0"/>
          <w:color w:val="auto"/>
          <w:lang w:eastAsia="zh-CN"/>
        </w:rPr>
        <w:t>“</w:t>
      </w:r>
      <w:r>
        <w:rPr>
          <w:rFonts w:hint="default"/>
          <w:snapToGrid w:val="0"/>
          <w:color w:val="auto"/>
          <w:lang w:eastAsia="zh-CN"/>
        </w:rPr>
        <w:t>普惠易贷</w:t>
      </w:r>
      <w:r>
        <w:rPr>
          <w:rFonts w:hint="eastAsia" w:cs="Times New Roman"/>
          <w:snapToGrid w:val="0"/>
          <w:color w:val="auto"/>
          <w:lang w:eastAsia="zh-CN"/>
        </w:rPr>
        <w:t>”</w:t>
      </w:r>
      <w:r>
        <w:rPr>
          <w:rFonts w:hint="eastAsia" w:cs="Times New Roman"/>
          <w:snapToGrid w:val="0"/>
          <w:color w:val="FF0000"/>
          <w:lang w:val="en-US" w:eastAsia="zh-CN"/>
        </w:rPr>
        <w:t>业务单笔</w:t>
      </w:r>
      <w:r>
        <w:rPr>
          <w:rFonts w:hint="default"/>
          <w:snapToGrid w:val="0"/>
          <w:color w:val="auto"/>
        </w:rPr>
        <w:t>债权本</w:t>
      </w:r>
      <w:r>
        <w:rPr>
          <w:rFonts w:hint="default" w:ascii="方正仿宋_GBK" w:hAnsi="方正仿宋_GBK" w:cs="方正仿宋_GBK"/>
          <w:snapToGrid w:val="0"/>
          <w:color w:val="auto"/>
          <w:lang w:bidi="ar"/>
        </w:rPr>
        <w:t>金</w:t>
      </w:r>
      <w:r>
        <w:rPr>
          <w:rFonts w:hint="default" w:ascii="方正仿宋_GBK" w:hAnsi="方正仿宋_GBK" w:cs="方正仿宋_GBK"/>
          <w:snapToGrid w:val="0"/>
          <w:color w:val="auto"/>
          <w:lang w:eastAsia="zh-CN" w:bidi="ar"/>
        </w:rPr>
        <w:t>的</w:t>
      </w:r>
      <w:r>
        <w:rPr>
          <w:rFonts w:hint="default" w:ascii="方正仿宋_GBK" w:hAnsi="方正仿宋_GBK" w:cs="方正仿宋_GBK"/>
          <w:snapToGrid w:val="0"/>
          <w:color w:val="FF0000"/>
          <w:lang w:val="en-US" w:eastAsia="zh-CN" w:bidi="ar"/>
        </w:rPr>
        <w:t>80</w:t>
      </w:r>
      <w:r>
        <w:rPr>
          <w:rFonts w:hint="default" w:ascii="方正仿宋_GBK" w:hAnsi="方正仿宋_GBK" w:cs="方正仿宋_GBK"/>
          <w:snapToGrid w:val="0"/>
          <w:color w:val="auto"/>
          <w:lang w:val="en-US" w:eastAsia="zh-CN" w:bidi="ar"/>
        </w:rPr>
        <w:t>%</w:t>
      </w:r>
      <w:r>
        <w:rPr>
          <w:rFonts w:hint="default" w:ascii="方正仿宋_GBK" w:hAnsi="方正仿宋_GBK" w:cs="方正仿宋_GBK"/>
          <w:snapToGrid w:val="0"/>
          <w:color w:val="auto"/>
          <w:lang w:bidi="ar"/>
        </w:rPr>
        <w:t>，</w:t>
      </w:r>
      <w:r>
        <w:rPr>
          <w:rFonts w:hint="default" w:ascii="方正仿宋_GBK" w:hAnsi="方正仿宋_GBK" w:cs="方正仿宋_GBK"/>
          <w:snapToGrid w:val="0"/>
          <w:color w:val="FF0000"/>
          <w:lang w:val="en-US" w:eastAsia="zh-CN" w:bidi="ar"/>
        </w:rPr>
        <w:t>超过当期</w:t>
      </w:r>
      <w:r>
        <w:rPr>
          <w:rFonts w:hint="eastAsia" w:cs="Times New Roman"/>
          <w:snapToGrid w:val="0"/>
          <w:color w:val="FF0000"/>
          <w:lang w:val="en-US" w:eastAsia="zh-CN"/>
        </w:rPr>
        <w:t>担保代偿率的不予代偿，</w:t>
      </w:r>
      <w:r>
        <w:rPr>
          <w:rFonts w:hint="default"/>
          <w:snapToGrid w:val="0"/>
          <w:color w:val="auto"/>
        </w:rPr>
        <w:t>合作银行在上述范围内债权减少时，风险</w:t>
      </w:r>
      <w:r>
        <w:rPr>
          <w:rFonts w:hint="default"/>
          <w:snapToGrid w:val="0"/>
          <w:color w:val="auto"/>
          <w:lang w:eastAsia="zh-CN"/>
        </w:rPr>
        <w:t>补偿</w:t>
      </w:r>
      <w:r>
        <w:rPr>
          <w:rFonts w:hint="default"/>
          <w:snapToGrid w:val="0"/>
          <w:color w:val="auto"/>
        </w:rPr>
        <w:t>资金的代偿责任相应减少。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default" w:ascii="Times New Roman" w:hAnsi="Times New Roman" w:cs="Times New Roman"/>
          <w:snapToGrid w:val="0"/>
          <w:color w:val="auto"/>
        </w:rPr>
      </w:pPr>
      <w:r>
        <w:rPr>
          <w:rFonts w:hint="default" w:ascii="楷体" w:hAnsi="楷体" w:eastAsia="楷体" w:cs="楷体"/>
          <w:b/>
          <w:bCs/>
          <w:snapToGrid w:val="0"/>
          <w:color w:val="auto"/>
          <w:sz w:val="32"/>
          <w:szCs w:val="20"/>
        </w:rPr>
        <w:t>第二十</w:t>
      </w:r>
      <w:r>
        <w:rPr>
          <w:rFonts w:hint="eastAsia" w:ascii="楷体" w:hAnsi="楷体" w:eastAsia="楷体" w:cs="楷体"/>
          <w:b/>
          <w:bCs/>
          <w:snapToGrid w:val="0"/>
          <w:color w:val="auto"/>
          <w:sz w:val="32"/>
          <w:szCs w:val="20"/>
          <w:lang w:eastAsia="zh-CN"/>
        </w:rPr>
        <w:t>一</w:t>
      </w:r>
      <w:r>
        <w:rPr>
          <w:rFonts w:hint="default" w:ascii="楷体" w:hAnsi="楷体" w:eastAsia="楷体" w:cs="楷体"/>
          <w:b/>
          <w:bCs/>
          <w:snapToGrid w:val="0"/>
          <w:color w:val="auto"/>
          <w:sz w:val="32"/>
          <w:szCs w:val="20"/>
        </w:rPr>
        <w:t>条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20"/>
        </w:rPr>
        <w:t xml:space="preserve">  </w:t>
      </w:r>
      <w:r>
        <w:rPr>
          <w:rFonts w:hint="default" w:ascii="Times New Roman" w:hAnsi="Times New Roman" w:eastAsia="方正仿宋_GBK"/>
          <w:snapToGrid w:val="0"/>
          <w:color w:val="000000"/>
          <w:sz w:val="32"/>
          <w:szCs w:val="20"/>
        </w:rPr>
        <w:t>风险</w:t>
      </w:r>
      <w:r>
        <w:rPr>
          <w:rFonts w:hint="default" w:ascii="Times New Roman" w:hAnsi="Times New Roman" w:eastAsia="方正仿宋_GBK"/>
          <w:snapToGrid w:val="0"/>
          <w:color w:val="000000"/>
          <w:sz w:val="32"/>
          <w:szCs w:val="20"/>
          <w:lang w:eastAsia="zh-CN"/>
        </w:rPr>
        <w:t>补偿</w:t>
      </w:r>
      <w:r>
        <w:rPr>
          <w:rFonts w:hint="default" w:ascii="Times New Roman" w:hAnsi="Times New Roman" w:eastAsia="方正仿宋_GBK"/>
          <w:snapToGrid w:val="0"/>
          <w:color w:val="000000"/>
          <w:sz w:val="32"/>
          <w:szCs w:val="20"/>
        </w:rPr>
        <w:t>资金就风险补偿金总量承担有限代偿责任</w:t>
      </w:r>
      <w:r>
        <w:rPr>
          <w:rFonts w:hint="default" w:ascii="Times New Roman" w:hAnsi="Times New Roman" w:eastAsia="方正仿宋_GBK"/>
          <w:snapToGrid w:val="0"/>
          <w:color w:val="000000"/>
          <w:sz w:val="32"/>
          <w:szCs w:val="20"/>
          <w:lang w:eastAsia="zh-CN"/>
        </w:rPr>
        <w:t>，</w:t>
      </w:r>
      <w:r>
        <w:rPr>
          <w:rFonts w:hint="default" w:ascii="Times New Roman" w:hAnsi="Times New Roman" w:eastAsia="方正仿宋_GBK"/>
          <w:snapToGrid w:val="0"/>
          <w:color w:val="000000"/>
          <w:sz w:val="32"/>
          <w:szCs w:val="20"/>
        </w:rPr>
        <w:t>风险</w:t>
      </w:r>
      <w:r>
        <w:rPr>
          <w:rFonts w:hint="default" w:ascii="Times New Roman" w:hAnsi="Times New Roman" w:eastAsia="方正仿宋_GBK"/>
          <w:snapToGrid w:val="0"/>
          <w:color w:val="000000"/>
          <w:sz w:val="32"/>
          <w:szCs w:val="20"/>
          <w:lang w:eastAsia="zh-CN"/>
        </w:rPr>
        <w:t>补偿</w:t>
      </w:r>
      <w:r>
        <w:rPr>
          <w:rFonts w:hint="default" w:ascii="Times New Roman" w:hAnsi="Times New Roman" w:eastAsia="方正仿宋_GBK"/>
          <w:snapToGrid w:val="0"/>
          <w:color w:val="000000"/>
          <w:sz w:val="32"/>
          <w:szCs w:val="20"/>
        </w:rPr>
        <w:t>资金</w:t>
      </w:r>
      <w:r>
        <w:rPr>
          <w:rFonts w:hint="default" w:ascii="Times New Roman" w:hAnsi="Times New Roman" w:eastAsia="方正仿宋_GBK"/>
          <w:snapToGrid w:val="0"/>
          <w:color w:val="000000"/>
          <w:sz w:val="32"/>
          <w:szCs w:val="20"/>
          <w:lang w:val="en-US" w:eastAsia="zh-CN"/>
        </w:rPr>
        <w:t>代偿后的债权由</w:t>
      </w:r>
      <w:r>
        <w:rPr>
          <w:rFonts w:hint="eastAsia" w:ascii="Times New Roman" w:hAnsi="Times New Roman" w:eastAsia="方正仿宋_GBK" w:cs="Times New Roman"/>
          <w:snapToGrid w:val="0"/>
          <w:color w:val="000000"/>
          <w:sz w:val="32"/>
          <w:szCs w:val="20"/>
          <w:lang w:val="en-US" w:eastAsia="zh-CN"/>
        </w:rPr>
        <w:t>合作银行、政府性融资担保机构共同</w:t>
      </w:r>
      <w:r>
        <w:rPr>
          <w:rFonts w:hint="default" w:ascii="Times New Roman" w:hAnsi="Times New Roman" w:eastAsia="方正仿宋_GBK"/>
          <w:snapToGrid w:val="0"/>
          <w:color w:val="000000"/>
          <w:sz w:val="32"/>
          <w:szCs w:val="20"/>
          <w:lang w:val="en-US" w:eastAsia="zh-CN"/>
        </w:rPr>
        <w:t>负责追偿</w:t>
      </w:r>
      <w:r>
        <w:rPr>
          <w:rFonts w:hint="eastAsia" w:ascii="Times New Roman" w:hAnsi="Times New Roman" w:eastAsia="方正仿宋_GBK" w:cs="Times New Roman"/>
          <w:snapToGrid w:val="0"/>
          <w:color w:val="000000"/>
          <w:sz w:val="32"/>
          <w:szCs w:val="20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2"/>
          <w:sz w:val="32"/>
          <w:szCs w:val="20"/>
          <w:lang w:val="en-US" w:eastAsia="zh-CN" w:bidi="ar-SA"/>
        </w:rPr>
        <w:t>追偿所得或企业恢复还款收回的资金，扣除相关追索费用后，剩余资金退回至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szCs w:val="20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2"/>
          <w:sz w:val="32"/>
          <w:szCs w:val="20"/>
          <w:lang w:val="en-US" w:eastAsia="zh-CN" w:bidi="ar-SA"/>
        </w:rPr>
        <w:t>普惠易贷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szCs w:val="20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2"/>
          <w:sz w:val="32"/>
          <w:szCs w:val="20"/>
          <w:lang w:val="en-US" w:eastAsia="zh-CN" w:bidi="ar-SA"/>
        </w:rPr>
        <w:t>风险补偿资金账户。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jc w:val="center"/>
        <w:rPr>
          <w:rFonts w:hint="eastAsia" w:ascii="黑体" w:hAnsi="黑体" w:eastAsia="黑体" w:cs="黑体"/>
          <w:snapToGrid w:val="0"/>
          <w:color w:val="auto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jc w:val="center"/>
        <w:rPr>
          <w:rFonts w:hint="default"/>
          <w:snapToGrid w:val="0"/>
          <w:color w:val="auto"/>
        </w:rPr>
      </w:pPr>
      <w:r>
        <w:rPr>
          <w:rFonts w:hint="eastAsia" w:ascii="黑体" w:hAnsi="黑体" w:eastAsia="黑体" w:cs="黑体"/>
          <w:snapToGrid w:val="0"/>
          <w:color w:val="auto"/>
        </w:rPr>
        <w:t>第五章  监督管理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default" w:ascii="楷体" w:hAnsi="楷体" w:eastAsia="楷体" w:cs="楷体"/>
          <w:b/>
          <w:bCs/>
          <w:snapToGrid w:val="0"/>
          <w:color w:val="auto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default" w:eastAsia="方正仿宋_GBK"/>
          <w:snapToGrid w:val="0"/>
          <w:color w:val="auto"/>
          <w:lang w:eastAsia="zh-CN"/>
        </w:rPr>
      </w:pPr>
      <w:r>
        <w:rPr>
          <w:rFonts w:hint="default" w:ascii="楷体" w:hAnsi="楷体" w:eastAsia="楷体" w:cs="楷体"/>
          <w:b/>
          <w:bCs/>
          <w:snapToGrid w:val="0"/>
          <w:color w:val="auto"/>
        </w:rPr>
        <w:t>第二十</w:t>
      </w:r>
      <w:r>
        <w:rPr>
          <w:rFonts w:hint="eastAsia" w:ascii="楷体" w:hAnsi="楷体" w:eastAsia="楷体" w:cs="楷体"/>
          <w:b/>
          <w:bCs/>
          <w:snapToGrid w:val="0"/>
          <w:color w:val="auto"/>
          <w:lang w:eastAsia="zh-CN"/>
        </w:rPr>
        <w:t>二</w:t>
      </w:r>
      <w:r>
        <w:rPr>
          <w:rFonts w:hint="default" w:ascii="楷体" w:hAnsi="楷体" w:eastAsia="楷体" w:cs="楷体"/>
          <w:b/>
          <w:bCs/>
          <w:snapToGrid w:val="0"/>
          <w:color w:val="auto"/>
        </w:rPr>
        <w:t>条</w:t>
      </w:r>
      <w:r>
        <w:rPr>
          <w:rFonts w:hint="default"/>
          <w:snapToGrid w:val="0"/>
          <w:color w:val="auto"/>
        </w:rPr>
        <w:t xml:space="preserve">  </w:t>
      </w:r>
      <w:r>
        <w:rPr>
          <w:rFonts w:hint="eastAsia" w:cs="Times New Roman"/>
          <w:snapToGrid w:val="0"/>
          <w:color w:val="auto"/>
          <w:lang w:val="en-US" w:eastAsia="zh-CN"/>
        </w:rPr>
        <w:t>政府性融资担保机构</w:t>
      </w:r>
      <w:r>
        <w:rPr>
          <w:rFonts w:hint="default"/>
          <w:snapToGrid w:val="0"/>
          <w:color w:val="auto"/>
        </w:rPr>
        <w:t>具体负责风险补偿金资金账户日常管理</w:t>
      </w:r>
      <w:r>
        <w:rPr>
          <w:rFonts w:hint="default"/>
          <w:snapToGrid w:val="0"/>
          <w:color w:val="auto"/>
          <w:lang w:eastAsia="zh-CN"/>
        </w:rPr>
        <w:t>，</w:t>
      </w:r>
      <w:r>
        <w:rPr>
          <w:rFonts w:hint="eastAsia" w:cs="Times New Roman"/>
          <w:snapToGrid w:val="0"/>
          <w:color w:val="auto"/>
          <w:lang w:val="en-US" w:eastAsia="zh-CN"/>
        </w:rPr>
        <w:t>并与银行签订合作协议。</w:t>
      </w:r>
    </w:p>
    <w:p>
      <w:pPr>
        <w:pStyle w:val="2"/>
        <w:spacing w:line="560" w:lineRule="exact"/>
        <w:ind w:firstLine="642" w:firstLineChars="200"/>
        <w:rPr>
          <w:rFonts w:hint="default" w:ascii="Times New Roman" w:hAnsi="Times New Roman" w:eastAsia="方正仿宋_GBK"/>
          <w:snapToGrid w:val="0"/>
          <w:color w:val="auto"/>
        </w:rPr>
      </w:pPr>
      <w:r>
        <w:rPr>
          <w:rFonts w:hint="default" w:ascii="楷体" w:hAnsi="楷体" w:eastAsia="楷体" w:cs="楷体"/>
          <w:b/>
          <w:bCs/>
          <w:snapToGrid w:val="0"/>
          <w:color w:val="auto"/>
          <w:kern w:val="2"/>
          <w:sz w:val="32"/>
          <w:szCs w:val="20"/>
          <w:lang w:val="en-US" w:eastAsia="zh-CN" w:bidi="ar-SA"/>
        </w:rPr>
        <w:t>第二十</w:t>
      </w:r>
      <w:r>
        <w:rPr>
          <w:rFonts w:hint="eastAsia" w:ascii="楷体" w:hAnsi="楷体" w:eastAsia="楷体" w:cs="楷体"/>
          <w:b/>
          <w:bCs/>
          <w:snapToGrid w:val="0"/>
          <w:color w:val="auto"/>
          <w:kern w:val="2"/>
          <w:sz w:val="32"/>
          <w:szCs w:val="20"/>
          <w:lang w:val="en-US" w:eastAsia="zh-CN" w:bidi="ar-SA"/>
        </w:rPr>
        <w:t>三</w:t>
      </w:r>
      <w:r>
        <w:rPr>
          <w:rFonts w:hint="default" w:ascii="楷体" w:hAnsi="楷体" w:eastAsia="楷体" w:cs="楷体"/>
          <w:b/>
          <w:bCs/>
          <w:snapToGrid w:val="0"/>
          <w:color w:val="auto"/>
          <w:kern w:val="2"/>
          <w:sz w:val="32"/>
          <w:szCs w:val="20"/>
          <w:lang w:val="en-US" w:eastAsia="zh-CN" w:bidi="ar-SA"/>
        </w:rPr>
        <w:t>条</w:t>
      </w:r>
      <w:r>
        <w:rPr>
          <w:rFonts w:hint="default" w:ascii="Times New Roman" w:hAnsi="Times New Roman" w:eastAsia="方正仿宋_GBK"/>
          <w:snapToGrid w:val="0"/>
          <w:color w:val="auto"/>
        </w:rPr>
        <w:t xml:space="preserve">  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2"/>
          <w:sz w:val="32"/>
          <w:szCs w:val="20"/>
          <w:lang w:val="en-US" w:eastAsia="zh-CN" w:bidi="ar-SA"/>
        </w:rPr>
        <w:t>每个合作年度结束，县财政局对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szCs w:val="20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2"/>
          <w:sz w:val="32"/>
          <w:szCs w:val="20"/>
          <w:lang w:val="en-US" w:eastAsia="zh-CN" w:bidi="ar-SA"/>
        </w:rPr>
        <w:t>普惠易贷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szCs w:val="20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2"/>
          <w:sz w:val="32"/>
          <w:szCs w:val="20"/>
          <w:lang w:val="en-US" w:eastAsia="zh-CN" w:bidi="ar-SA"/>
        </w:rPr>
        <w:t>业务运营情况和风险补偿资金使用情况进行进行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2"/>
          <w:sz w:val="32"/>
          <w:szCs w:val="20"/>
          <w:lang w:val="en-US" w:eastAsia="zh-CN" w:bidi="ar-SA"/>
        </w:rPr>
        <w:t>绩效评价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2"/>
          <w:sz w:val="32"/>
          <w:szCs w:val="20"/>
          <w:lang w:val="en-US" w:eastAsia="zh-CN" w:bidi="ar-SA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default"/>
          <w:snapToGrid w:val="0"/>
          <w:color w:val="auto"/>
        </w:rPr>
      </w:pPr>
      <w:r>
        <w:rPr>
          <w:rFonts w:hint="default" w:ascii="楷体" w:hAnsi="楷体" w:eastAsia="楷体" w:cs="楷体"/>
          <w:b/>
          <w:bCs/>
          <w:snapToGrid w:val="0"/>
          <w:color w:val="auto"/>
        </w:rPr>
        <w:t>第二十</w:t>
      </w:r>
      <w:r>
        <w:rPr>
          <w:rFonts w:hint="eastAsia" w:ascii="楷体" w:hAnsi="楷体" w:eastAsia="楷体" w:cs="楷体"/>
          <w:b/>
          <w:bCs/>
          <w:snapToGrid w:val="0"/>
          <w:color w:val="auto"/>
          <w:lang w:val="en-US" w:eastAsia="zh-CN"/>
        </w:rPr>
        <w:t>四</w:t>
      </w:r>
      <w:r>
        <w:rPr>
          <w:rFonts w:hint="default" w:ascii="楷体" w:hAnsi="楷体" w:eastAsia="楷体" w:cs="楷体"/>
          <w:b/>
          <w:bCs/>
          <w:snapToGrid w:val="0"/>
          <w:color w:val="auto"/>
        </w:rPr>
        <w:t>条</w:t>
      </w:r>
      <w:r>
        <w:rPr>
          <w:rFonts w:hint="default"/>
          <w:snapToGrid w:val="0"/>
          <w:color w:val="auto"/>
        </w:rPr>
        <w:t xml:space="preserve">  贷款</w:t>
      </w:r>
      <w:r>
        <w:rPr>
          <w:rFonts w:hint="eastAsia" w:cs="Times New Roman"/>
          <w:snapToGrid w:val="0"/>
          <w:color w:val="auto"/>
          <w:lang w:val="en-US" w:eastAsia="zh-CN"/>
        </w:rPr>
        <w:t>主体</w:t>
      </w:r>
      <w:r>
        <w:rPr>
          <w:rFonts w:hint="default"/>
          <w:snapToGrid w:val="0"/>
          <w:color w:val="auto"/>
        </w:rPr>
        <w:t>出现违反财经纪律、提供虚假信息、骗取贷款的行为或恶意逃避债务导致</w:t>
      </w:r>
      <w:r>
        <w:rPr>
          <w:rFonts w:hint="eastAsia" w:cs="Times New Roman"/>
          <w:snapToGrid w:val="0"/>
          <w:color w:val="auto"/>
          <w:lang w:eastAsia="zh-CN"/>
        </w:rPr>
        <w:t>“</w:t>
      </w:r>
      <w:r>
        <w:rPr>
          <w:rFonts w:hint="default"/>
          <w:snapToGrid w:val="0"/>
          <w:color w:val="auto"/>
          <w:lang w:eastAsia="zh-CN"/>
        </w:rPr>
        <w:t>普惠易贷</w:t>
      </w:r>
      <w:r>
        <w:rPr>
          <w:rFonts w:hint="eastAsia" w:cs="Times New Roman"/>
          <w:snapToGrid w:val="0"/>
          <w:color w:val="auto"/>
          <w:lang w:eastAsia="zh-CN"/>
        </w:rPr>
        <w:t>”</w:t>
      </w:r>
      <w:r>
        <w:rPr>
          <w:rFonts w:hint="default"/>
          <w:snapToGrid w:val="0"/>
          <w:color w:val="auto"/>
        </w:rPr>
        <w:t>风险补偿金和银行贷款损失的，列入诚信黑名单外，按照《财政违法行为处罚处分条例》（国务</w:t>
      </w:r>
      <w:r>
        <w:rPr>
          <w:rFonts w:hint="default" w:ascii="方正仿宋_GBK" w:hAnsi="方正仿宋_GBK" w:cs="方正仿宋_GBK"/>
          <w:snapToGrid w:val="0"/>
          <w:color w:val="auto"/>
          <w:lang w:bidi="ar"/>
        </w:rPr>
        <w:t>院令第427号）进行处</w:t>
      </w:r>
      <w:r>
        <w:rPr>
          <w:rFonts w:hint="default"/>
          <w:snapToGrid w:val="0"/>
          <w:color w:val="auto"/>
        </w:rPr>
        <w:t>理。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default"/>
          <w:snapToGrid w:val="0"/>
          <w:color w:val="auto"/>
        </w:rPr>
      </w:pPr>
      <w:r>
        <w:rPr>
          <w:rFonts w:hint="default" w:ascii="楷体" w:hAnsi="楷体" w:eastAsia="楷体" w:cs="楷体"/>
          <w:b/>
          <w:bCs/>
          <w:snapToGrid w:val="0"/>
          <w:color w:val="auto"/>
        </w:rPr>
        <w:t>第二十</w:t>
      </w:r>
      <w:r>
        <w:rPr>
          <w:rFonts w:hint="eastAsia" w:ascii="楷体" w:hAnsi="楷体" w:eastAsia="楷体" w:cs="楷体"/>
          <w:b/>
          <w:bCs/>
          <w:snapToGrid w:val="0"/>
          <w:color w:val="auto"/>
          <w:lang w:val="en-US" w:eastAsia="zh-CN"/>
        </w:rPr>
        <w:t>五</w:t>
      </w:r>
      <w:r>
        <w:rPr>
          <w:rFonts w:hint="default" w:ascii="楷体" w:hAnsi="楷体" w:eastAsia="楷体" w:cs="楷体"/>
          <w:b/>
          <w:bCs/>
          <w:snapToGrid w:val="0"/>
          <w:color w:val="auto"/>
        </w:rPr>
        <w:t>条</w:t>
      </w:r>
      <w:r>
        <w:rPr>
          <w:rFonts w:hint="default"/>
          <w:snapToGrid w:val="0"/>
          <w:color w:val="auto"/>
        </w:rPr>
        <w:t xml:space="preserve">  </w:t>
      </w:r>
      <w:r>
        <w:rPr>
          <w:rFonts w:hint="eastAsia" w:cs="Times New Roman"/>
          <w:snapToGrid w:val="0"/>
          <w:color w:val="auto"/>
          <w:lang w:eastAsia="zh-CN"/>
        </w:rPr>
        <w:t>“</w:t>
      </w:r>
      <w:r>
        <w:rPr>
          <w:rFonts w:hint="default"/>
          <w:snapToGrid w:val="0"/>
          <w:color w:val="auto"/>
          <w:lang w:eastAsia="zh-CN"/>
        </w:rPr>
        <w:t>普惠易贷</w:t>
      </w:r>
      <w:r>
        <w:rPr>
          <w:rFonts w:hint="eastAsia" w:cs="Times New Roman"/>
          <w:snapToGrid w:val="0"/>
          <w:color w:val="auto"/>
          <w:lang w:eastAsia="zh-CN"/>
        </w:rPr>
        <w:t>”</w:t>
      </w:r>
      <w:r>
        <w:rPr>
          <w:rFonts w:hint="default"/>
          <w:snapToGrid w:val="0"/>
          <w:color w:val="auto"/>
          <w:lang w:eastAsia="zh-CN"/>
        </w:rPr>
        <w:t>业务按照自治区相关尽职免责规定执行。</w:t>
      </w:r>
      <w:r>
        <w:rPr>
          <w:rFonts w:hint="default"/>
          <w:snapToGrid w:val="0"/>
          <w:color w:val="auto"/>
        </w:rPr>
        <w:t>相关工作人员在</w:t>
      </w:r>
      <w:r>
        <w:rPr>
          <w:rFonts w:hint="eastAsia" w:cs="Times New Roman"/>
          <w:snapToGrid w:val="0"/>
          <w:color w:val="auto"/>
          <w:lang w:eastAsia="zh-CN"/>
        </w:rPr>
        <w:t>“</w:t>
      </w:r>
      <w:r>
        <w:rPr>
          <w:rFonts w:hint="default"/>
          <w:snapToGrid w:val="0"/>
          <w:color w:val="auto"/>
          <w:lang w:eastAsia="zh-CN"/>
        </w:rPr>
        <w:t>普惠易贷</w:t>
      </w:r>
      <w:r>
        <w:rPr>
          <w:rFonts w:hint="eastAsia" w:cs="Times New Roman"/>
          <w:snapToGrid w:val="0"/>
          <w:color w:val="auto"/>
          <w:lang w:eastAsia="zh-CN"/>
        </w:rPr>
        <w:t>”</w:t>
      </w:r>
      <w:r>
        <w:rPr>
          <w:rFonts w:hint="default"/>
          <w:snapToGrid w:val="0"/>
          <w:color w:val="auto"/>
        </w:rPr>
        <w:t>业务管理工作中滥用职权、玩忽职守、徇私舞弊的，依纪依法给予相应处分</w:t>
      </w:r>
      <w:r>
        <w:rPr>
          <w:rFonts w:hint="default"/>
          <w:snapToGrid w:val="0"/>
          <w:color w:val="auto"/>
          <w:lang w:eastAsia="zh-CN"/>
        </w:rPr>
        <w:t>。</w:t>
      </w:r>
      <w:r>
        <w:rPr>
          <w:rFonts w:hint="default"/>
          <w:snapToGrid w:val="0"/>
          <w:color w:val="auto"/>
        </w:rPr>
        <w:t>构成犯罪的，移送司法机关依法追究刑事责任。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jc w:val="center"/>
        <w:rPr>
          <w:rFonts w:hint="eastAsia" w:ascii="黑体" w:hAnsi="黑体" w:eastAsia="黑体" w:cs="黑体"/>
          <w:snapToGrid w:val="0"/>
          <w:color w:val="auto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jc w:val="center"/>
        <w:rPr>
          <w:rFonts w:hint="default"/>
          <w:snapToGrid w:val="0"/>
          <w:color w:val="auto"/>
        </w:rPr>
      </w:pPr>
      <w:r>
        <w:rPr>
          <w:rFonts w:hint="eastAsia" w:ascii="黑体" w:hAnsi="黑体" w:eastAsia="黑体" w:cs="黑体"/>
          <w:snapToGrid w:val="0"/>
          <w:color w:val="auto"/>
        </w:rPr>
        <w:t>第六章  附则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default" w:ascii="楷体" w:hAnsi="楷体" w:eastAsia="楷体" w:cs="楷体"/>
          <w:b/>
          <w:bCs/>
          <w:snapToGrid w:val="0"/>
          <w:color w:val="auto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default"/>
          <w:snapToGrid w:val="0"/>
          <w:color w:val="auto"/>
        </w:rPr>
      </w:pPr>
      <w:r>
        <w:rPr>
          <w:rFonts w:hint="default" w:ascii="楷体" w:hAnsi="楷体" w:eastAsia="楷体" w:cs="楷体"/>
          <w:b/>
          <w:bCs/>
          <w:snapToGrid w:val="0"/>
          <w:color w:val="auto"/>
        </w:rPr>
        <w:t>第</w:t>
      </w:r>
      <w:r>
        <w:rPr>
          <w:rFonts w:hint="default" w:ascii="楷体" w:hAnsi="楷体" w:eastAsia="楷体" w:cs="楷体"/>
          <w:b/>
          <w:bCs/>
          <w:snapToGrid w:val="0"/>
          <w:color w:val="auto"/>
          <w:lang w:eastAsia="zh-CN"/>
        </w:rPr>
        <w:t>二十</w:t>
      </w:r>
      <w:r>
        <w:rPr>
          <w:rFonts w:hint="eastAsia" w:ascii="楷体" w:hAnsi="楷体" w:eastAsia="楷体" w:cs="楷体"/>
          <w:b/>
          <w:bCs/>
          <w:snapToGrid w:val="0"/>
          <w:color w:val="auto"/>
          <w:lang w:val="en-US" w:eastAsia="zh-CN"/>
        </w:rPr>
        <w:t>六</w:t>
      </w:r>
      <w:r>
        <w:rPr>
          <w:rFonts w:hint="default" w:ascii="楷体" w:hAnsi="楷体" w:eastAsia="楷体" w:cs="楷体"/>
          <w:b/>
          <w:bCs/>
          <w:snapToGrid w:val="0"/>
          <w:color w:val="auto"/>
        </w:rPr>
        <w:t>条</w:t>
      </w:r>
      <w:r>
        <w:rPr>
          <w:rFonts w:hint="default"/>
          <w:snapToGrid w:val="0"/>
          <w:color w:val="auto"/>
        </w:rPr>
        <w:t xml:space="preserve">  </w:t>
      </w:r>
      <w:r>
        <w:rPr>
          <w:rFonts w:hint="eastAsia" w:cs="Times New Roman"/>
          <w:snapToGrid w:val="0"/>
          <w:color w:val="auto"/>
          <w:lang w:eastAsia="zh-CN"/>
        </w:rPr>
        <w:t>“</w:t>
      </w:r>
      <w:r>
        <w:rPr>
          <w:rFonts w:hint="default"/>
          <w:snapToGrid w:val="0"/>
          <w:color w:val="auto"/>
          <w:lang w:eastAsia="zh-CN"/>
        </w:rPr>
        <w:t>普惠易贷</w:t>
      </w:r>
      <w:r>
        <w:rPr>
          <w:rFonts w:hint="eastAsia" w:cs="Times New Roman"/>
          <w:snapToGrid w:val="0"/>
          <w:color w:val="auto"/>
          <w:lang w:eastAsia="zh-CN"/>
        </w:rPr>
        <w:t>”</w:t>
      </w:r>
      <w:r>
        <w:rPr>
          <w:rFonts w:hint="default"/>
          <w:snapToGrid w:val="0"/>
          <w:color w:val="auto"/>
        </w:rPr>
        <w:t>业务的审批、发放、回收、贷后管理等按合作银行</w:t>
      </w:r>
      <w:r>
        <w:rPr>
          <w:rFonts w:hint="default"/>
          <w:snapToGrid w:val="0"/>
          <w:color w:val="auto"/>
          <w:lang w:eastAsia="zh-CN"/>
        </w:rPr>
        <w:t>、</w:t>
      </w:r>
      <w:r>
        <w:rPr>
          <w:rFonts w:hint="eastAsia" w:cs="Times New Roman"/>
          <w:snapToGrid w:val="0"/>
          <w:color w:val="auto"/>
          <w:lang w:val="en-US" w:eastAsia="zh-CN"/>
        </w:rPr>
        <w:t>政府性融资担保机构</w:t>
      </w:r>
      <w:r>
        <w:rPr>
          <w:rFonts w:hint="default"/>
          <w:snapToGrid w:val="0"/>
          <w:color w:val="auto"/>
        </w:rPr>
        <w:t>的相关规定</w:t>
      </w:r>
      <w:r>
        <w:rPr>
          <w:rFonts w:hint="default"/>
          <w:snapToGrid w:val="0"/>
          <w:color w:val="auto"/>
          <w:lang w:eastAsia="zh-CN"/>
        </w:rPr>
        <w:t>执行</w:t>
      </w:r>
      <w:r>
        <w:rPr>
          <w:rFonts w:hint="default"/>
          <w:snapToGrid w:val="0"/>
          <w:color w:val="auto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default" w:ascii="Times New Roman" w:hAnsi="Times New Roman" w:cs="Times New Roman"/>
          <w:snapToGrid w:val="0"/>
          <w:color w:val="auto"/>
        </w:rPr>
      </w:pPr>
      <w:r>
        <w:rPr>
          <w:rFonts w:hint="default" w:ascii="楷体" w:hAnsi="楷体" w:eastAsia="楷体" w:cs="楷体"/>
          <w:b/>
          <w:bCs/>
          <w:snapToGrid w:val="0"/>
          <w:color w:val="auto"/>
          <w:kern w:val="2"/>
          <w:sz w:val="32"/>
          <w:szCs w:val="20"/>
          <w:lang w:val="en-US" w:eastAsia="zh-CN" w:bidi="ar-SA"/>
        </w:rPr>
        <w:t>第二十</w:t>
      </w:r>
      <w:r>
        <w:rPr>
          <w:rFonts w:hint="eastAsia" w:ascii="楷体" w:hAnsi="楷体" w:eastAsia="楷体" w:cs="楷体"/>
          <w:b/>
          <w:bCs/>
          <w:snapToGrid w:val="0"/>
          <w:color w:val="auto"/>
          <w:kern w:val="2"/>
          <w:sz w:val="32"/>
          <w:szCs w:val="20"/>
          <w:lang w:val="en-US" w:eastAsia="zh-CN" w:bidi="ar-SA"/>
        </w:rPr>
        <w:t>七</w:t>
      </w:r>
      <w:r>
        <w:rPr>
          <w:rFonts w:hint="default" w:ascii="楷体" w:hAnsi="楷体" w:eastAsia="楷体" w:cs="楷体"/>
          <w:b/>
          <w:bCs/>
          <w:snapToGrid w:val="0"/>
          <w:color w:val="auto"/>
          <w:kern w:val="2"/>
          <w:sz w:val="32"/>
          <w:szCs w:val="20"/>
          <w:lang w:val="en-US" w:eastAsia="zh-CN" w:bidi="ar-SA"/>
        </w:rPr>
        <w:t>条</w:t>
      </w:r>
      <w:r>
        <w:rPr>
          <w:rFonts w:hint="eastAsia" w:ascii="楷体" w:hAnsi="楷体" w:eastAsia="楷体" w:cs="楷体"/>
          <w:b/>
          <w:bCs/>
          <w:snapToGrid w:val="0"/>
          <w:color w:val="auto"/>
          <w:kern w:val="2"/>
          <w:sz w:val="32"/>
          <w:szCs w:val="20"/>
          <w:lang w:val="en-US" w:eastAsia="zh-CN" w:bidi="ar-SA"/>
        </w:rPr>
        <w:t xml:space="preserve">  </w:t>
      </w:r>
      <w:r>
        <w:rPr>
          <w:rFonts w:hint="default"/>
          <w:snapToGrid w:val="0"/>
          <w:color w:val="auto"/>
        </w:rPr>
        <w:t>本办法由</w:t>
      </w:r>
      <w:r>
        <w:rPr>
          <w:rFonts w:hint="default"/>
          <w:snapToGrid w:val="0"/>
          <w:color w:val="auto"/>
          <w:lang w:val="en-US" w:eastAsia="zh-CN"/>
        </w:rPr>
        <w:t>县</w:t>
      </w:r>
      <w:r>
        <w:rPr>
          <w:rFonts w:hint="default"/>
          <w:snapToGrid w:val="0"/>
          <w:color w:val="auto"/>
        </w:rPr>
        <w:t>财政局负责解释。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642" w:firstLineChars="200"/>
        <w:rPr>
          <w:rFonts w:hint="default"/>
          <w:snapToGrid w:val="0"/>
          <w:color w:val="auto"/>
        </w:rPr>
      </w:pPr>
      <w:r>
        <w:rPr>
          <w:rFonts w:hint="default" w:ascii="楷体" w:hAnsi="楷体" w:eastAsia="楷体" w:cs="楷体"/>
          <w:b/>
          <w:bCs/>
          <w:snapToGrid w:val="0"/>
          <w:color w:val="auto"/>
        </w:rPr>
        <w:t>第</w:t>
      </w:r>
      <w:r>
        <w:rPr>
          <w:rFonts w:hint="default" w:ascii="楷体" w:hAnsi="楷体" w:eastAsia="楷体" w:cs="楷体"/>
          <w:b/>
          <w:bCs/>
          <w:snapToGrid w:val="0"/>
          <w:color w:val="auto"/>
          <w:lang w:val="en-US" w:eastAsia="zh-CN"/>
        </w:rPr>
        <w:t>二十八</w:t>
      </w:r>
      <w:r>
        <w:rPr>
          <w:rFonts w:hint="default" w:ascii="楷体" w:hAnsi="楷体" w:eastAsia="楷体" w:cs="楷体"/>
          <w:b/>
          <w:bCs/>
          <w:snapToGrid w:val="0"/>
          <w:color w:val="auto"/>
        </w:rPr>
        <w:t>条</w:t>
      </w:r>
      <w:r>
        <w:rPr>
          <w:rFonts w:hint="eastAsia" w:ascii="楷体" w:hAnsi="楷体" w:eastAsia="楷体" w:cs="楷体"/>
          <w:b/>
          <w:bCs/>
          <w:snapToGrid w:val="0"/>
          <w:color w:val="auto"/>
          <w:lang w:val="en-US" w:eastAsia="zh-CN"/>
        </w:rPr>
        <w:t xml:space="preserve">  </w:t>
      </w:r>
      <w:r>
        <w:rPr>
          <w:rFonts w:hint="eastAsia"/>
          <w:snapToGrid w:val="0"/>
          <w:color w:val="auto"/>
          <w:lang w:eastAsia="zh-CN"/>
        </w:rPr>
        <w:t>本办法自发布</w:t>
      </w:r>
      <w:r>
        <w:rPr>
          <w:rFonts w:hint="eastAsia" w:ascii="方正仿宋_GBK" w:hAnsi="方正仿宋_GBK" w:cs="方正仿宋_GBK"/>
          <w:snapToGrid w:val="0"/>
          <w:color w:val="auto"/>
          <w:lang w:eastAsia="zh-CN"/>
        </w:rPr>
        <w:t>之日</w:t>
      </w:r>
      <w:r>
        <w:rPr>
          <w:rFonts w:hint="eastAsia" w:ascii="方正仿宋_GBK" w:hAnsi="方正仿宋_GBK" w:cs="方正仿宋_GBK"/>
          <w:snapToGrid w:val="0"/>
          <w:color w:val="auto"/>
          <w:lang w:val="en-US" w:eastAsia="zh-CN"/>
        </w:rPr>
        <w:t>30日</w:t>
      </w:r>
      <w:r>
        <w:rPr>
          <w:rFonts w:hint="eastAsia" w:ascii="方正仿宋_GBK" w:hAnsi="方正仿宋_GBK" w:cs="方正仿宋_GBK"/>
          <w:snapToGrid w:val="0"/>
          <w:color w:val="auto"/>
          <w:lang w:eastAsia="zh-CN"/>
        </w:rPr>
        <w:t>后施行，即自</w:t>
      </w:r>
      <w:r>
        <w:rPr>
          <w:rFonts w:hint="default" w:ascii="方正仿宋_GBK" w:hAnsi="方正仿宋_GBK" w:cs="方正仿宋_GBK"/>
          <w:snapToGrid w:val="0"/>
          <w:color w:val="auto"/>
          <w:lang w:val="en-US" w:eastAsia="zh-CN" w:bidi="ar"/>
        </w:rPr>
        <w:t>2025年</w:t>
      </w:r>
      <w:r>
        <w:rPr>
          <w:rFonts w:hint="eastAsia" w:ascii="方正仿宋_GBK" w:hAnsi="方正仿宋_GBK" w:cs="方正仿宋_GBK"/>
          <w:snapToGrid w:val="0"/>
          <w:color w:val="auto"/>
          <w:lang w:val="en-US" w:eastAsia="zh-CN" w:bidi="ar"/>
        </w:rPr>
        <w:t>10</w:t>
      </w:r>
      <w:r>
        <w:rPr>
          <w:rFonts w:hint="default" w:ascii="方正仿宋_GBK" w:hAnsi="方正仿宋_GBK" w:cs="方正仿宋_GBK"/>
          <w:snapToGrid w:val="0"/>
          <w:color w:val="auto"/>
          <w:lang w:val="en-US" w:eastAsia="zh-CN" w:bidi="ar"/>
        </w:rPr>
        <w:t>月</w:t>
      </w:r>
      <w:r>
        <w:rPr>
          <w:rFonts w:hint="eastAsia" w:ascii="方正仿宋_GBK" w:hAnsi="方正仿宋_GBK" w:cs="方正仿宋_GBK"/>
          <w:snapToGrid w:val="0"/>
          <w:color w:val="auto"/>
          <w:lang w:val="en-US" w:eastAsia="zh-CN" w:bidi="ar"/>
        </w:rPr>
        <w:t>23</w:t>
      </w:r>
      <w:r>
        <w:rPr>
          <w:rFonts w:hint="default" w:ascii="方正仿宋_GBK" w:hAnsi="方正仿宋_GBK" w:cs="方正仿宋_GBK"/>
          <w:snapToGrid w:val="0"/>
          <w:color w:val="auto"/>
          <w:lang w:val="en-US" w:eastAsia="zh-CN" w:bidi="ar"/>
        </w:rPr>
        <w:t>日</w:t>
      </w:r>
      <w:r>
        <w:rPr>
          <w:rFonts w:hint="default" w:ascii="方正仿宋_GBK" w:hAnsi="方正仿宋_GBK" w:cs="方正仿宋_GBK"/>
          <w:snapToGrid w:val="0"/>
          <w:color w:val="auto"/>
          <w:lang w:eastAsia="zh-CN" w:bidi="ar"/>
        </w:rPr>
        <w:t>施行，有效期</w:t>
      </w:r>
      <w:r>
        <w:rPr>
          <w:rFonts w:hint="default" w:ascii="方正仿宋_GBK" w:hAnsi="方正仿宋_GBK" w:cs="方正仿宋_GBK"/>
          <w:snapToGrid w:val="0"/>
          <w:color w:val="auto"/>
          <w:lang w:val="en-US" w:eastAsia="zh-CN" w:bidi="ar"/>
        </w:rPr>
        <w:t>至2030年</w:t>
      </w:r>
      <w:r>
        <w:rPr>
          <w:rFonts w:hint="eastAsia" w:ascii="方正仿宋_GBK" w:hAnsi="方正仿宋_GBK" w:cs="方正仿宋_GBK"/>
          <w:snapToGrid w:val="0"/>
          <w:color w:val="auto"/>
          <w:lang w:val="en-US" w:eastAsia="zh-CN" w:bidi="ar"/>
        </w:rPr>
        <w:t>10</w:t>
      </w:r>
      <w:r>
        <w:rPr>
          <w:rFonts w:hint="default" w:ascii="方正仿宋_GBK" w:hAnsi="方正仿宋_GBK" w:cs="方正仿宋_GBK"/>
          <w:snapToGrid w:val="0"/>
          <w:color w:val="auto"/>
          <w:lang w:val="en-US" w:eastAsia="zh-CN" w:bidi="ar"/>
        </w:rPr>
        <w:t>月</w:t>
      </w:r>
      <w:r>
        <w:rPr>
          <w:rFonts w:hint="eastAsia" w:ascii="方正仿宋_GBK" w:hAnsi="方正仿宋_GBK" w:cs="方正仿宋_GBK"/>
          <w:snapToGrid w:val="0"/>
          <w:color w:val="auto"/>
          <w:lang w:val="en-US" w:eastAsia="zh-CN" w:bidi="ar"/>
        </w:rPr>
        <w:t>23</w:t>
      </w:r>
      <w:r>
        <w:rPr>
          <w:rFonts w:hint="default" w:ascii="方正仿宋_GBK" w:hAnsi="方正仿宋_GBK" w:cs="方正仿宋_GBK"/>
          <w:snapToGrid w:val="0"/>
          <w:color w:val="auto"/>
          <w:lang w:val="en-US" w:eastAsia="zh-CN" w:bidi="ar"/>
        </w:rPr>
        <w:t>日</w:t>
      </w:r>
      <w:r>
        <w:rPr>
          <w:rFonts w:hint="default" w:ascii="方正仿宋_GBK" w:hAnsi="方正仿宋_GBK" w:cs="方正仿宋_GBK"/>
          <w:snapToGrid w:val="0"/>
          <w:color w:val="auto"/>
          <w:lang w:eastAsia="zh-CN" w:bidi="ar"/>
        </w:rPr>
        <w:t>。</w:t>
      </w:r>
      <w:r>
        <w:rPr>
          <w:rFonts w:hint="eastAsia" w:ascii="方正仿宋_GBK" w:hAnsi="方正仿宋_GBK" w:cs="方正仿宋_GBK"/>
          <w:snapToGrid w:val="0"/>
          <w:color w:val="auto"/>
          <w:lang w:bidi="ar"/>
        </w:rPr>
        <w:t>有效期届满前6个月，由平罗县财政局会同相关单位评估实施效果，决定是否修</w:t>
      </w:r>
      <w:r>
        <w:rPr>
          <w:rFonts w:hint="eastAsia" w:ascii="Times New Roman" w:hAnsi="Times New Roman" w:cs="Times New Roman"/>
          <w:snapToGrid w:val="0"/>
          <w:color w:val="auto"/>
        </w:rPr>
        <w:t>订或延续。</w:t>
      </w: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4933950</wp:posOffset>
              </wp:positionH>
              <wp:positionV relativeFrom="paragraph">
                <wp:posOffset>-83185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88.5pt;margin-top:-6.5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Ow5AyXYAAAADAEAAA8AAABkcnMvZG93bnJldi54bWxNj7FOwzAQhnck3sE6&#10;JLbWToGmpHE6VGJhoyAkNje+xlHtc2S7afL2uBOMd/fru++vd5OzbMQQe08SiqUAhtR63VMn4evz&#10;bbEBFpMirawnlDBjhF1zf1erSvsrfeB4SB3LEIqVkmBSGirOY2vQqbj0A1K+nXxwKuUxdFwHdc1w&#10;Z/lKiDV3qqf8wagB9wbb8+HiJJTTt8ch4h5/TmMbTD9v7Pss5eNDIbbAEk7pLww3/awOTXY6+gvp&#10;yGxmlGXukiQsiqcC2C0h1i95dZSwKp9fgTc1/1+i+QVQSwMEFAAAAAgAh07iQCsK2W7HAQAAewMA&#10;AA4AAABkcnMvZTJvRG9jLnhtbK1TTa7TMBDeI3EHy3uatAtURU2fgKeHkBAgPTiA69iNJdtjjd0m&#10;5QBwA1Zs2HOunoOx0/Q9YIfYOPPnz983M9ncjM6yo8JowLd8uag5U15CZ/y+5Z8+3j1bcxaT8J2w&#10;4FXLTyrym+3TJ5shNGoFPdhOISMQH5shtLxPKTRVFWWvnIgLCMpTUgM6kcjFfdWhGAjd2WpV18+r&#10;AbALCFLFSNHbKcm3BV9rJdN7raNKzLacuKVyYjl3+ay2G9HsUYTeyAsN8Q8snDCeHr1C3Yok2AHN&#10;X1DOSIQIOi0kuAq0NlIVDaRmWf+h5r4XQRUt1JwYrm2K/w9Wvjt+QGY6mh1nXjga0fnb1/P3n+cf&#10;X9gqt2cIsaGq+0B1aXwJY8sTHtScihTPwkeNLn9JEqMS6vXp2l81JiYpuFyv1uuaUpJys0NPVA/X&#10;A8b0WoFj2Wg50gBLX8XxbUxT6VySX/NwZ6wtQ7T+twBh5kiV6U8cs5XG3XjRtIPuRJJod+mdHvAz&#10;ZwPtQcs9LSpn9o2nNueVmQ2cjd1sCC/pIvWDs8l8lcjTwkYCOAQ0+56wJz+Ti+HFIRHjIiTTmThc&#10;WNKESysu25hX6LFfqh7+me0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7DkDJdgAAAAMAQAADwAA&#10;AAAAAAABACAAAAA4AAAAZHJzL2Rvd25yZXYueG1sUEsBAhQAFAAAAAgAh07iQCsK2W7HAQAAewMA&#10;AA4AAAAAAAAAAQAgAAAAPQ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revisionView w:markup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ZWQ4ZDQ4NjVmN2EwMTVhOGI3ZDNlYmI0ZTAwMjUifQ=="/>
  </w:docVars>
  <w:rsids>
    <w:rsidRoot w:val="7BFBAE6A"/>
    <w:rsid w:val="00496DA9"/>
    <w:rsid w:val="00F46D15"/>
    <w:rsid w:val="01437C9C"/>
    <w:rsid w:val="021C5C15"/>
    <w:rsid w:val="02B7449E"/>
    <w:rsid w:val="031E62CB"/>
    <w:rsid w:val="03C40C96"/>
    <w:rsid w:val="040C0819"/>
    <w:rsid w:val="04E83035"/>
    <w:rsid w:val="054F6C10"/>
    <w:rsid w:val="05AD1B88"/>
    <w:rsid w:val="08145EEF"/>
    <w:rsid w:val="08275C22"/>
    <w:rsid w:val="0B496F8B"/>
    <w:rsid w:val="0BC07AD2"/>
    <w:rsid w:val="0D38397D"/>
    <w:rsid w:val="0DE43C25"/>
    <w:rsid w:val="0E9B1118"/>
    <w:rsid w:val="0ED168E7"/>
    <w:rsid w:val="0F5B4403"/>
    <w:rsid w:val="11627CCB"/>
    <w:rsid w:val="13B10A95"/>
    <w:rsid w:val="13EE1CEA"/>
    <w:rsid w:val="150F3CC6"/>
    <w:rsid w:val="15E52C78"/>
    <w:rsid w:val="160B0931"/>
    <w:rsid w:val="174B284B"/>
    <w:rsid w:val="18B51028"/>
    <w:rsid w:val="1A4453BA"/>
    <w:rsid w:val="1A98650B"/>
    <w:rsid w:val="1D2642A2"/>
    <w:rsid w:val="1D8A2A83"/>
    <w:rsid w:val="1FF85BDB"/>
    <w:rsid w:val="1FF91232"/>
    <w:rsid w:val="21270F12"/>
    <w:rsid w:val="215B3141"/>
    <w:rsid w:val="23E80503"/>
    <w:rsid w:val="25EF0C18"/>
    <w:rsid w:val="26B02000"/>
    <w:rsid w:val="272B1F61"/>
    <w:rsid w:val="27351CB2"/>
    <w:rsid w:val="2A5A4DB3"/>
    <w:rsid w:val="2B2D0EF2"/>
    <w:rsid w:val="2BA03472"/>
    <w:rsid w:val="2C7548FE"/>
    <w:rsid w:val="2C7F5165"/>
    <w:rsid w:val="2CCD473A"/>
    <w:rsid w:val="2D5C5ABE"/>
    <w:rsid w:val="2D630BFB"/>
    <w:rsid w:val="2DDE0CD0"/>
    <w:rsid w:val="2E933762"/>
    <w:rsid w:val="2F34284F"/>
    <w:rsid w:val="30085A89"/>
    <w:rsid w:val="30D140CD"/>
    <w:rsid w:val="30DE223E"/>
    <w:rsid w:val="31D200FD"/>
    <w:rsid w:val="3265528E"/>
    <w:rsid w:val="32E60304"/>
    <w:rsid w:val="34207846"/>
    <w:rsid w:val="362F3D70"/>
    <w:rsid w:val="375A419D"/>
    <w:rsid w:val="39C24EFB"/>
    <w:rsid w:val="3A3F5643"/>
    <w:rsid w:val="3A654204"/>
    <w:rsid w:val="3B543AB6"/>
    <w:rsid w:val="3BD827B4"/>
    <w:rsid w:val="41410DFB"/>
    <w:rsid w:val="41652D3C"/>
    <w:rsid w:val="419929E5"/>
    <w:rsid w:val="43498766"/>
    <w:rsid w:val="43A85162"/>
    <w:rsid w:val="43F6411F"/>
    <w:rsid w:val="43FD725B"/>
    <w:rsid w:val="44384737"/>
    <w:rsid w:val="44670B79"/>
    <w:rsid w:val="44BC0EC5"/>
    <w:rsid w:val="459E05CA"/>
    <w:rsid w:val="45B778DE"/>
    <w:rsid w:val="46A63BDA"/>
    <w:rsid w:val="4777461D"/>
    <w:rsid w:val="4AAFCEC8"/>
    <w:rsid w:val="4C4023DB"/>
    <w:rsid w:val="4CB40DE4"/>
    <w:rsid w:val="4F697E9B"/>
    <w:rsid w:val="4F937417"/>
    <w:rsid w:val="5119769F"/>
    <w:rsid w:val="52B7716F"/>
    <w:rsid w:val="534327B1"/>
    <w:rsid w:val="566B35EC"/>
    <w:rsid w:val="56874ADB"/>
    <w:rsid w:val="572823EA"/>
    <w:rsid w:val="57FFC720"/>
    <w:rsid w:val="593037D7"/>
    <w:rsid w:val="5946158C"/>
    <w:rsid w:val="5A897643"/>
    <w:rsid w:val="5BBF9DCC"/>
    <w:rsid w:val="5BF82499"/>
    <w:rsid w:val="5CFFE202"/>
    <w:rsid w:val="5DC50992"/>
    <w:rsid w:val="60762418"/>
    <w:rsid w:val="60C86CA5"/>
    <w:rsid w:val="61497B2C"/>
    <w:rsid w:val="61F96E5C"/>
    <w:rsid w:val="62AA63A9"/>
    <w:rsid w:val="62C541A0"/>
    <w:rsid w:val="654F3237"/>
    <w:rsid w:val="65B30A1C"/>
    <w:rsid w:val="661A55F3"/>
    <w:rsid w:val="66D659BE"/>
    <w:rsid w:val="675608AD"/>
    <w:rsid w:val="67650AF0"/>
    <w:rsid w:val="67756A42"/>
    <w:rsid w:val="68755EF6"/>
    <w:rsid w:val="68C301C4"/>
    <w:rsid w:val="693D1862"/>
    <w:rsid w:val="6A4B7C07"/>
    <w:rsid w:val="6A892D47"/>
    <w:rsid w:val="6B80239C"/>
    <w:rsid w:val="6BDDC4B2"/>
    <w:rsid w:val="6E032E11"/>
    <w:rsid w:val="6E4C2A0A"/>
    <w:rsid w:val="6EDF73DA"/>
    <w:rsid w:val="6FBFCAA3"/>
    <w:rsid w:val="70122980"/>
    <w:rsid w:val="70253512"/>
    <w:rsid w:val="71FFC17F"/>
    <w:rsid w:val="75241FEA"/>
    <w:rsid w:val="777BFB99"/>
    <w:rsid w:val="79420C91"/>
    <w:rsid w:val="7AFE6E3A"/>
    <w:rsid w:val="7BFBAE6A"/>
    <w:rsid w:val="7C6B04FF"/>
    <w:rsid w:val="7D3F319C"/>
    <w:rsid w:val="7DAC47A2"/>
    <w:rsid w:val="7E556CC5"/>
    <w:rsid w:val="7FD791D6"/>
    <w:rsid w:val="7FF6EF33"/>
    <w:rsid w:val="7FFC4DBC"/>
    <w:rsid w:val="7FFFA3BC"/>
    <w:rsid w:val="BDEFC330"/>
    <w:rsid w:val="BED70D0C"/>
    <w:rsid w:val="BEFB30CF"/>
    <w:rsid w:val="BEFD4843"/>
    <w:rsid w:val="BF7FD42E"/>
    <w:rsid w:val="BFBF6587"/>
    <w:rsid w:val="DD2B2E11"/>
    <w:rsid w:val="E1AFDD5F"/>
    <w:rsid w:val="E7F50E35"/>
    <w:rsid w:val="EBFEC84A"/>
    <w:rsid w:val="EF72D867"/>
    <w:rsid w:val="EF7BA1F4"/>
    <w:rsid w:val="F3CF6C14"/>
    <w:rsid w:val="F5FE2C7F"/>
    <w:rsid w:val="F67BE8BB"/>
    <w:rsid w:val="FBEF7EAA"/>
    <w:rsid w:val="FD1E8B1C"/>
    <w:rsid w:val="FFA61581"/>
    <w:rsid w:val="FFFF2A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2297</Words>
  <Characters>2374</Characters>
  <Lines>0</Lines>
  <Paragraphs>0</Paragraphs>
  <TotalTime>0</TotalTime>
  <ScaleCrop>false</ScaleCrop>
  <LinksUpToDate>false</LinksUpToDate>
  <CharactersWithSpaces>2422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2025-04-09T19:27:00Z</dcterms:created>
  <dc:creator>kylin</dc:creator>
  <cp:lastModifiedBy>kylin</cp:lastModifiedBy>
  <cp:lastPrinted>2025-09-19T10:54:00Z</cp:lastPrinted>
  <dcterms:modified xsi:type="dcterms:W3CDTF">2025-09-28T09:59:08Z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0C27D68EA5D497C8FC46D2681695EC56_43</vt:lpwstr>
  </property>
  <property fmtid="{D5CDD505-2E9C-101B-9397-08002B2CF9AE}" pid="4" name="KSOTemplateDocerSaveRecord">
    <vt:lpwstr>eyJoZGlkIjoiMGRlZTQ3YzAxZmZlNjk0Yzg0YTk2MmMyN2ViNzA0ZmEiLCJ1c2VySWQiOiIxMDQ2NDc2MDg2In0=</vt:lpwstr>
  </property>
</Properties>
</file>