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平罗县宝丰镇2023年度法治政府建设</w:t>
      </w:r>
    </w:p>
    <w:p>
      <w:pPr>
        <w:keepNext w:val="0"/>
        <w:keepLines w:val="0"/>
        <w:pageBreakBefore w:val="0"/>
        <w:widowControl w:val="0"/>
        <w:wordWrap/>
        <w:topLinePunct w:val="0"/>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spacing w:val="-11"/>
          <w:sz w:val="44"/>
          <w:szCs w:val="44"/>
          <w:lang w:val="en-US" w:eastAsia="zh-CN"/>
        </w:rPr>
        <w:t>年度报告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2023年以来，在</w:t>
      </w:r>
      <w:r>
        <w:rPr>
          <w:rFonts w:hint="eastAsia" w:ascii="仿宋_GB2312" w:hAnsi="仿宋_GB2312" w:eastAsia="仿宋_GB2312" w:cs="仿宋_GB2312"/>
          <w:sz w:val="32"/>
          <w:szCs w:val="32"/>
        </w:rPr>
        <w:t>县委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政府的正确领导下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宝丰镇</w:t>
      </w:r>
      <w:r>
        <w:rPr>
          <w:rFonts w:hint="eastAsia" w:ascii="仿宋_GB2312" w:hAnsi="仿宋_GB2312" w:eastAsia="仿宋_GB2312" w:cs="仿宋_GB2312"/>
          <w:sz w:val="32"/>
          <w:szCs w:val="32"/>
          <w:lang w:eastAsia="zh-CN"/>
        </w:rPr>
        <w:t>坚持以习近平新时代中国特色社会主义思想为指导，认真学习贯彻落实习近平法治思想，紧紧围绕法治建设各项目标任务，</w:t>
      </w:r>
      <w:r>
        <w:rPr>
          <w:rFonts w:hint="eastAsia" w:ascii="仿宋_GB2312" w:hAnsi="仿宋_GB2312" w:eastAsia="仿宋_GB2312" w:cs="仿宋_GB2312"/>
          <w:sz w:val="32"/>
          <w:szCs w:val="32"/>
        </w:rPr>
        <w:t>严格依法履行法定职责，不断提高依法决策、依法管理、依法行政水平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推进法治建设工作有序开展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lang w:val="en-US" w:eastAsia="zh-CN" w:bidi="ar-SA"/>
        </w:rPr>
        <w:t>按照有关文件要求，现将</w:t>
      </w:r>
      <w:r>
        <w:rPr>
          <w:rFonts w:hint="eastAsia" w:ascii="仿宋_GB2312" w:hAnsi="仿宋_GB2312" w:eastAsia="仿宋_GB2312" w:cs="仿宋_GB2312"/>
          <w:bCs/>
          <w:kern w:val="2"/>
          <w:sz w:val="32"/>
          <w:szCs w:val="32"/>
          <w:lang w:val="en-US" w:eastAsia="zh-CN" w:bidi="ar-SA"/>
        </w:rPr>
        <w:t>有关情况报告如下</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ascii="黑体" w:hAnsi="宋体" w:eastAsia="黑体" w:cs="黑体"/>
          <w:kern w:val="0"/>
          <w:sz w:val="32"/>
          <w:szCs w:val="32"/>
          <w:lang w:val="en-US" w:eastAsia="zh-CN" w:bidi="ar"/>
        </w:rPr>
        <w:t>202</w:t>
      </w:r>
      <w:r>
        <w:rPr>
          <w:rFonts w:hint="eastAsia" w:ascii="黑体" w:hAnsi="宋体" w:eastAsia="黑体" w:cs="黑体"/>
          <w:kern w:val="0"/>
          <w:sz w:val="32"/>
          <w:szCs w:val="32"/>
          <w:lang w:val="en-US" w:eastAsia="zh-CN" w:bidi="ar"/>
        </w:rPr>
        <w:t>3年度法治政府建设主要工作举措及成效</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楷体" w:hAnsi="楷体" w:eastAsia="楷体" w:cs="楷体"/>
          <w:b/>
          <w:bCs/>
          <w:kern w:val="2"/>
          <w:sz w:val="32"/>
          <w:szCs w:val="32"/>
          <w:lang w:val="en-US" w:eastAsia="zh-CN" w:bidi="ar-SA"/>
        </w:rPr>
        <w:t>（一）落实党政主要负责人履行法治建设第一责任人职责</w:t>
      </w:r>
      <w:r>
        <w:rPr>
          <w:rFonts w:hint="eastAsia" w:ascii="楷体" w:hAnsi="楷体" w:eastAsia="楷体" w:cs="楷体"/>
          <w:b/>
          <w:bCs/>
          <w:color w:val="000000"/>
          <w:kern w:val="2"/>
          <w:sz w:val="32"/>
          <w:szCs w:val="32"/>
          <w:lang w:val="en-US" w:eastAsia="zh-CN" w:bidi="ar-SA"/>
        </w:rPr>
        <w:t>。</w:t>
      </w:r>
      <w:r>
        <w:rPr>
          <w:rFonts w:hint="eastAsia" w:ascii="仿宋_GB2312" w:hAnsi="宋体" w:eastAsia="仿宋_GB2312" w:cs="Times New Roman"/>
          <w:sz w:val="32"/>
          <w:szCs w:val="32"/>
          <w:lang w:val="en-US" w:eastAsia="zh-CN"/>
        </w:rPr>
        <w:t>镇党委、政府高度重视，将法治建设工作纳入年度工作计划中，制定方案，进一步细化依法行政工作任务，结合本镇实际，制定年度法治政府、普法依法治理等工作方案，全面深入推进依法行政工作，始终坚持把依法行政当作构建和谐社会、建设法治政府的重大举措来推动落实。根据领导干部岗位变动及时调整宝丰镇法治建设工作领导小组成员，形成主要领导负责抓，分管领导具体抓，各中心（办）抓好落实的工作格局。</w:t>
      </w:r>
      <w:r>
        <w:rPr>
          <w:rFonts w:hint="eastAsia" w:ascii="仿宋_GB2312" w:hAnsi="宋体" w:eastAsia="仿宋_GB2312" w:cs="仿宋_GB2312"/>
          <w:color w:val="auto"/>
          <w:kern w:val="0"/>
          <w:sz w:val="32"/>
          <w:szCs w:val="32"/>
          <w:lang w:val="en-US" w:eastAsia="zh-CN" w:bidi="ar"/>
        </w:rPr>
        <w:t>镇党政主要负责人切实履行推进法治政府建设“第一责任人”职责，始终坚持“党委统一领导，党政齐抓共管”的原则，作为一项重要的政治任务，全面做好法治政府建设工作。同时，党委会定期听取法治建设工作情况汇报，及时研究解决有关重大问题，并将镇领导班子成员法治学习情况、重大事项依法决策情况、依法履职情况等列入年终述职内容。今年以来镇党委会研究部署依法治县和法治政府工作4次。</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（二）扎实推动学习习近平法治思想走深走实。一是</w:t>
      </w:r>
      <w:r>
        <w:rPr>
          <w:rFonts w:hint="eastAsia" w:ascii="仿宋_GB2312" w:hAnsi="仿宋_GB2312" w:eastAsia="仿宋_GB2312" w:cs="仿宋_GB2312"/>
          <w:sz w:val="32"/>
          <w:szCs w:val="32"/>
          <w:lang w:val="en-US" w:eastAsia="zh-CN"/>
        </w:rPr>
        <w:t>安排部署学习贯彻习近平法治思想</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sz w:val="32"/>
          <w:szCs w:val="32"/>
          <w:lang w:val="en-US" w:eastAsia="zh-CN"/>
        </w:rPr>
        <w:t>将学习习近平法治思想纵向推进落到实处</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sz w:val="32"/>
          <w:szCs w:val="32"/>
          <w:lang w:eastAsia="zh-CN"/>
        </w:rPr>
        <w:t>通过不定期</w:t>
      </w:r>
      <w:r>
        <w:rPr>
          <w:rFonts w:hint="eastAsia" w:ascii="仿宋" w:hAnsi="仿宋" w:eastAsia="仿宋" w:cs="仿宋"/>
          <w:sz w:val="32"/>
          <w:szCs w:val="32"/>
          <w:lang w:val="en-US" w:eastAsia="zh-CN"/>
        </w:rPr>
        <w:t>举</w:t>
      </w:r>
      <w:r>
        <w:rPr>
          <w:rFonts w:hint="eastAsia" w:ascii="仿宋_GB2312" w:hAnsi="仿宋_GB2312" w:eastAsia="仿宋_GB2312" w:cs="仿宋_GB2312"/>
          <w:sz w:val="32"/>
          <w:szCs w:val="32"/>
          <w:lang w:val="en-US" w:eastAsia="zh-CN"/>
        </w:rPr>
        <w:t>办领导干部学习贯彻习近平法治思想专题研讨班，健全完善党委理论中心组学习习近平法治思想常态化机制等措施。</w:t>
      </w:r>
      <w:r>
        <w:rPr>
          <w:rFonts w:hint="eastAsia" w:ascii="仿宋_GB2312" w:hAnsi="仿宋_GB2312" w:eastAsia="仿宋_GB2312" w:cs="仿宋_GB2312"/>
          <w:b w:val="0"/>
          <w:bCs w:val="0"/>
          <w:color w:val="000000"/>
          <w:sz w:val="32"/>
          <w:szCs w:val="32"/>
          <w:lang w:val="en-US" w:eastAsia="zh-CN"/>
        </w:rPr>
        <w:t>2023年</w:t>
      </w:r>
      <w:r>
        <w:rPr>
          <w:rFonts w:hint="eastAsia" w:ascii="仿宋_GB2312" w:hAnsi="仿宋_GB2312" w:eastAsia="仿宋_GB2312" w:cs="仿宋_GB2312"/>
          <w:color w:val="auto"/>
          <w:kern w:val="2"/>
          <w:sz w:val="32"/>
          <w:szCs w:val="32"/>
          <w:lang w:val="en-US" w:eastAsia="zh-CN" w:bidi="ar-SA"/>
        </w:rPr>
        <w:t>制定并下发</w:t>
      </w:r>
      <w:r>
        <w:rPr>
          <w:rFonts w:hint="eastAsia" w:ascii="仿宋_GB2312" w:hAnsi="仿宋_GB2312" w:eastAsia="仿宋_GB2312" w:cs="仿宋_GB2312"/>
          <w:b w:val="0"/>
          <w:bCs w:val="0"/>
          <w:color w:val="auto"/>
          <w:kern w:val="2"/>
          <w:sz w:val="32"/>
          <w:szCs w:val="32"/>
          <w:lang w:val="en-US" w:eastAsia="zh-CN" w:bidi="ar-SA"/>
        </w:rPr>
        <w:t>《宝丰镇</w:t>
      </w:r>
      <w:r>
        <w:rPr>
          <w:rFonts w:hint="eastAsia" w:ascii="仿宋_GB2312" w:hAnsi="仿宋_GB2312" w:eastAsia="仿宋_GB2312" w:cs="仿宋_GB2312"/>
          <w:b w:val="0"/>
          <w:bCs w:val="0"/>
          <w:color w:val="auto"/>
          <w:kern w:val="2"/>
          <w:sz w:val="32"/>
          <w:szCs w:val="32"/>
          <w:lang w:val="en" w:eastAsia="zh-CN" w:bidi="ar-SA"/>
        </w:rPr>
        <w:t>党委理论学习中心组</w:t>
      </w:r>
      <w:r>
        <w:rPr>
          <w:rFonts w:hint="eastAsia" w:ascii="仿宋_GB2312" w:hAnsi="仿宋_GB2312" w:eastAsia="仿宋_GB2312" w:cs="仿宋_GB2312"/>
          <w:b w:val="0"/>
          <w:bCs w:val="0"/>
          <w:color w:val="auto"/>
          <w:kern w:val="2"/>
          <w:sz w:val="32"/>
          <w:szCs w:val="32"/>
          <w:lang w:val="en-US" w:eastAsia="zh-CN" w:bidi="ar-SA"/>
        </w:rPr>
        <w:t>2023年专题学习计划》</w:t>
      </w:r>
      <w:r>
        <w:rPr>
          <w:rFonts w:hint="eastAsia" w:ascii="仿宋_GB2312" w:hAnsi="仿宋_GB2312" w:eastAsia="仿宋_GB2312" w:cs="仿宋_GB2312"/>
          <w:color w:val="auto"/>
          <w:kern w:val="2"/>
          <w:sz w:val="32"/>
          <w:szCs w:val="32"/>
          <w:lang w:val="en-US" w:eastAsia="zh-CN" w:bidi="ar-SA"/>
        </w:rPr>
        <w:t>。依托党委理论中心组学习，党员冬季轮训班、镇村干部例会、支部主题党日活动等形式全面开展习近平法治思想、《习近平法治思想学习纲要》《习近平谈治国理政》以及《中华人民共和国宪法》《中华人民共和国民法典》等法律法规知识的学习，在全镇形成法治学习常态化机制。2023年以来，</w:t>
      </w:r>
      <w:r>
        <w:rPr>
          <w:rFonts w:hint="eastAsia" w:ascii="仿宋_GB2312" w:hAnsi="仿宋_GB2312" w:eastAsia="仿宋_GB2312" w:cs="仿宋_GB2312"/>
          <w:sz w:val="32"/>
          <w:szCs w:val="32"/>
          <w:lang w:val="en-US" w:eastAsia="zh-CN"/>
        </w:rPr>
        <w:t>镇党委理论学习中心组学习习近平法治思想4次，党委会会前学法7次，干部例会会前学法3次。</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多种形式促进党员干部学法用法。组织干部积极参加国家工作人员学法用法无纸化考试，参考率均达100%，考试成绩全部达到90分以上，以考促学，进一步提高领导干部法律知识能力，树立法治思维，提高运用法治思维推动工作、解决问题的能力。组织线上旁听庭审2场次、组织法律法规知识测试1次，不断提升党员干部尊法学法守法用法意识。</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（三）全面履行政府职能，提升政务服务效能。</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全面落实权责清单，着力推进优化营商环境，按照有件必备、有备必审、有错必纠原则，进一步强化对涉及营商环境的规范性文件的监管和审批流程。着重在市场主体保护、市场环境、政务服务、执法监管、法治保障等方面，积极开展服务型行政执法宣传，助推优化法治化营商环境。</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充分组织安排学习习近平总书记关于保护民营企业的重要讲话精神和中央决策部署相关内容，提高领导干部依法决策、依法行政的意识，加强运用法治思维、法治方式解决问题的能力。</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全面推进政务公开。深入贯彻落实《中华人民共和国政府信息公开条例》。通过政府门户网站、“平罗县宝丰镇”微信公众平台及各村（居）小微权利一点通、村（居）政务公开栏、微信群等，将政务公开、政府信息公开和村务公开、党务公开有机结合，最大限度方便基层群众查询政府信息。</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eastAsia="仿宋_GB2312" w:cs="仿宋_GB2312"/>
          <w:sz w:val="32"/>
          <w:szCs w:val="32"/>
          <w:lang w:eastAsia="zh-CN"/>
        </w:rPr>
      </w:pPr>
      <w:r>
        <w:rPr>
          <w:rFonts w:hint="eastAsia" w:ascii="楷体" w:hAnsi="楷体" w:eastAsia="楷体" w:cs="楷体"/>
          <w:b/>
          <w:bCs/>
          <w:sz w:val="32"/>
          <w:szCs w:val="32"/>
        </w:rPr>
        <w:t>（四）完善依法行政机制，提</w:t>
      </w:r>
      <w:r>
        <w:rPr>
          <w:rFonts w:hint="eastAsia" w:ascii="楷体" w:hAnsi="楷体" w:eastAsia="楷体" w:cs="楷体"/>
          <w:b/>
          <w:bCs/>
          <w:sz w:val="32"/>
          <w:szCs w:val="32"/>
          <w:lang w:val="en-US" w:eastAsia="zh-CN"/>
        </w:rPr>
        <w:t>高</w:t>
      </w:r>
      <w:r>
        <w:rPr>
          <w:rFonts w:hint="eastAsia" w:ascii="楷体" w:hAnsi="楷体" w:eastAsia="楷体" w:cs="楷体"/>
          <w:b/>
          <w:bCs/>
          <w:sz w:val="32"/>
          <w:szCs w:val="32"/>
        </w:rPr>
        <w:t>依法治理能力。</w:t>
      </w:r>
      <w:r>
        <w:rPr>
          <w:rFonts w:hint="eastAsia" w:ascii="仿宋_GB2312" w:eastAsia="仿宋_GB2312" w:cs="仿宋_GB2312"/>
          <w:b/>
          <w:bCs/>
          <w:sz w:val="32"/>
          <w:szCs w:val="32"/>
        </w:rPr>
        <w:t>一是</w:t>
      </w:r>
      <w:r>
        <w:rPr>
          <w:rFonts w:hint="eastAsia" w:ascii="仿宋_GB2312" w:eastAsia="仿宋_GB2312" w:cs="仿宋_GB2312"/>
          <w:sz w:val="32"/>
          <w:szCs w:val="32"/>
        </w:rPr>
        <w:t>认真贯彻落实《重大行政决策程序暂行条例》，对涉及群众重大利益的重大项目必须通过党委会集体讨论，并组织专业机构进行环境、社会效益等风险评估后实施。</w:t>
      </w:r>
      <w:r>
        <w:rPr>
          <w:rFonts w:hint="eastAsia" w:ascii="仿宋_GB2312" w:eastAsia="仿宋_GB2312" w:cs="仿宋_GB2312"/>
          <w:b/>
          <w:bCs/>
          <w:sz w:val="32"/>
          <w:szCs w:val="32"/>
        </w:rPr>
        <w:t>二是</w:t>
      </w:r>
      <w:r>
        <w:rPr>
          <w:rFonts w:hint="eastAsia" w:ascii="仿宋_GB2312" w:eastAsia="仿宋_GB2312" w:cs="仿宋_GB2312"/>
          <w:sz w:val="32"/>
          <w:szCs w:val="32"/>
        </w:rPr>
        <w:t>注重规范性文件监督管理。按照自治区全面清理行政规范性文件工作要求，对全镇2023年以来印发文件进行全面梳理，2023年以来，我镇未制发行政规范性文件。</w:t>
      </w:r>
      <w:r>
        <w:rPr>
          <w:rFonts w:hint="eastAsia" w:ascii="仿宋_GB2312" w:eastAsia="仿宋_GB2312" w:cs="仿宋_GB2312"/>
          <w:b/>
          <w:bCs/>
          <w:sz w:val="32"/>
          <w:szCs w:val="32"/>
        </w:rPr>
        <w:t>三是</w:t>
      </w:r>
      <w:r>
        <w:rPr>
          <w:rFonts w:hint="eastAsia" w:ascii="仿宋_GB2312" w:eastAsia="仿宋_GB2312" w:cs="仿宋_GB2312"/>
          <w:sz w:val="32"/>
          <w:szCs w:val="32"/>
        </w:rPr>
        <w:t>全面推行政府法律顾问制度。</w:t>
      </w:r>
      <w:r>
        <w:rPr>
          <w:rFonts w:hint="eastAsia" w:ascii="仿宋_GB2312" w:eastAsia="仿宋_GB2312" w:cs="仿宋_GB2312"/>
          <w:sz w:val="32"/>
          <w:szCs w:val="32"/>
          <w:lang w:val="en-US" w:eastAsia="zh-CN"/>
        </w:rPr>
        <w:t>宝丰</w:t>
      </w:r>
      <w:r>
        <w:rPr>
          <w:rFonts w:hint="eastAsia" w:ascii="仿宋_GB2312" w:eastAsia="仿宋_GB2312" w:cs="仿宋_GB2312"/>
          <w:sz w:val="32"/>
          <w:szCs w:val="32"/>
        </w:rPr>
        <w:t>镇与</w:t>
      </w:r>
      <w:r>
        <w:rPr>
          <w:rFonts w:hint="eastAsia" w:ascii="仿宋_GB2312" w:eastAsia="仿宋_GB2312" w:cs="仿宋_GB2312"/>
          <w:sz w:val="32"/>
          <w:szCs w:val="32"/>
          <w:lang w:val="en-US" w:eastAsia="zh-CN"/>
        </w:rPr>
        <w:t>鑫源</w:t>
      </w:r>
      <w:r>
        <w:rPr>
          <w:rFonts w:hint="eastAsia" w:ascii="仿宋_GB2312" w:eastAsia="仿宋_GB2312" w:cs="仿宋_GB2312"/>
          <w:sz w:val="32"/>
          <w:szCs w:val="32"/>
        </w:rPr>
        <w:t>律师事务所签订法律顾问合同，</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个村</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居</w:t>
      </w:r>
      <w:r>
        <w:rPr>
          <w:rFonts w:hint="eastAsia" w:ascii="仿宋_GB2312" w:eastAsia="仿宋_GB2312" w:cs="仿宋_GB2312"/>
          <w:sz w:val="32"/>
          <w:szCs w:val="32"/>
          <w:lang w:eastAsia="zh-CN"/>
        </w:rPr>
        <w:t>）</w:t>
      </w:r>
      <w:r>
        <w:rPr>
          <w:rFonts w:hint="eastAsia" w:ascii="仿宋_GB2312" w:eastAsia="仿宋_GB2312" w:cs="仿宋_GB2312"/>
          <w:sz w:val="32"/>
          <w:szCs w:val="32"/>
        </w:rPr>
        <w:t>全部落实“一村</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居</w:t>
      </w:r>
      <w:r>
        <w:rPr>
          <w:rFonts w:hint="eastAsia" w:ascii="仿宋_GB2312" w:eastAsia="仿宋_GB2312" w:cs="仿宋_GB2312"/>
          <w:sz w:val="32"/>
          <w:szCs w:val="32"/>
          <w:lang w:eastAsia="zh-CN"/>
        </w:rPr>
        <w:t>）</w:t>
      </w:r>
      <w:r>
        <w:rPr>
          <w:rFonts w:hint="eastAsia" w:ascii="仿宋_GB2312" w:eastAsia="仿宋_GB2312" w:cs="仿宋_GB2312"/>
          <w:sz w:val="32"/>
          <w:szCs w:val="32"/>
        </w:rPr>
        <w:t>一法律顾问，”在重大行政决策、土地流转、合同审查</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法律咨询</w:t>
      </w:r>
      <w:r>
        <w:rPr>
          <w:rFonts w:hint="eastAsia" w:ascii="仿宋_GB2312" w:eastAsia="仿宋_GB2312" w:cs="仿宋_GB2312"/>
          <w:sz w:val="32"/>
          <w:szCs w:val="32"/>
        </w:rPr>
        <w:t>等方面，充分发挥</w:t>
      </w:r>
      <w:r>
        <w:rPr>
          <w:rFonts w:hint="eastAsia" w:ascii="仿宋_GB2312" w:eastAsia="仿宋_GB2312" w:cs="仿宋_GB2312"/>
          <w:sz w:val="32"/>
          <w:szCs w:val="32"/>
          <w:lang w:val="en-US" w:eastAsia="zh-CN"/>
        </w:rPr>
        <w:t>村（居）</w:t>
      </w:r>
      <w:r>
        <w:rPr>
          <w:rFonts w:hint="eastAsia" w:ascii="仿宋_GB2312" w:eastAsia="仿宋_GB2312" w:cs="仿宋_GB2312"/>
          <w:sz w:val="32"/>
          <w:szCs w:val="32"/>
        </w:rPr>
        <w:t>法律顾问作用，让</w:t>
      </w:r>
      <w:r>
        <w:rPr>
          <w:rFonts w:hint="eastAsia" w:ascii="仿宋_GB2312" w:eastAsia="仿宋_GB2312" w:cs="仿宋_GB2312"/>
          <w:sz w:val="32"/>
          <w:szCs w:val="32"/>
          <w:lang w:val="en-US" w:eastAsia="zh-CN"/>
        </w:rPr>
        <w:t>法律顾问</w:t>
      </w:r>
      <w:r>
        <w:rPr>
          <w:rFonts w:hint="eastAsia" w:ascii="仿宋_GB2312" w:eastAsia="仿宋_GB2312" w:cs="仿宋_GB2312"/>
          <w:sz w:val="32"/>
          <w:szCs w:val="32"/>
        </w:rPr>
        <w:t>参与其中，有效防范了行政决策的法律风险。</w:t>
      </w:r>
      <w:r>
        <w:rPr>
          <w:rFonts w:hint="eastAsia" w:ascii="仿宋_GB2312" w:eastAsia="仿宋_GB2312" w:cs="仿宋_GB2312"/>
          <w:b/>
          <w:bCs/>
          <w:sz w:val="32"/>
          <w:szCs w:val="32"/>
          <w:lang w:val="en-US" w:eastAsia="zh-CN"/>
        </w:rPr>
        <w:t>四</w:t>
      </w:r>
      <w:r>
        <w:rPr>
          <w:rFonts w:hint="eastAsia" w:ascii="仿宋_GB2312" w:eastAsia="仿宋_GB2312" w:cs="仿宋_GB2312"/>
          <w:b/>
          <w:bCs/>
          <w:sz w:val="32"/>
          <w:szCs w:val="32"/>
        </w:rPr>
        <w:t>是</w:t>
      </w:r>
      <w:r>
        <w:rPr>
          <w:rFonts w:hint="eastAsia" w:ascii="仿宋_GB2312" w:eastAsia="仿宋_GB2312" w:cs="仿宋_GB2312"/>
          <w:sz w:val="32"/>
          <w:szCs w:val="32"/>
        </w:rPr>
        <w:t>严格贯彻落实行政执法“三项制度”要求、行政执法全过程记录及行政执法人员持证执法工作要求，确保行政执法全过程合法有效。同时，严格执法人员资格管理，扎实开展行政执法业务培训工作，全面提升了行政执法人员素质。目前全镇持有执法证的人员共</w:t>
      </w: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人，今年参加考试</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人</w:t>
      </w:r>
      <w:r>
        <w:rPr>
          <w:rFonts w:hint="eastAsia" w:ascii="仿宋_GB2312" w:eastAsia="仿宋_GB2312" w:cs="仿宋_GB2312"/>
          <w:sz w:val="32"/>
          <w:szCs w:val="32"/>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楷体" w:hAnsi="楷体" w:eastAsia="楷体" w:cs="楷体"/>
          <w:b/>
          <w:bCs/>
          <w:kern w:val="0"/>
          <w:sz w:val="32"/>
          <w:szCs w:val="32"/>
          <w:lang w:val="en-US" w:eastAsia="zh-CN" w:bidi="ar"/>
        </w:rPr>
        <w:t>（五）依法有效化解矛盾纠纷，形成社会治理法治化格局。</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坚持以人民为中心的发展思想，不断提升为民服务质效，始终秉持人民调解工作是化解社会矛盾“第一道防线”的工作要求。坚持发展新时代“枫桥经验”，加大矛盾纠纷排查调处力度,将日常排查与集中排查相结合、普遍排查与重点排查相结合，最大限度地从源头预防和减少矛盾纠纷。加强了多元化解矛盾纠纷机制，强化了与各中心（办）之间的联系，力求小事不出村、大事不出镇、矛盾不上交。2023年以来，排查各类矛盾纠纷和不稳定因素145次，排查化解矛盾纠纷27件，为群众挽回各类经济损失24.11万元。组织开展人民调解员业务培训4场次，培训人员430人次。</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规范行政复议与行政应诉工作。持续加强行政复议和行政应诉，严格依法履行出庭应诉职责，认真履行党政主要负责人出庭应诉制度，今年我镇未发生行政复议和行政诉讼案件。</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提升公共法律服务水平。统筹推进公共法律服务体系标准化规范建设、公共法律服务体系指标规范建设。利用“人人律智能电话”、“公共法律服务一体终端机”、公法云等线上线下设备，努力为辖区居民、企业提供优质高效法律服务。今年以来，为群众解答法律咨询50余人次。</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仿宋_GB2312" w:hAnsi="仿宋_GB2312" w:eastAsia="仿宋_GB2312" w:cs="仿宋_GB2312"/>
          <w:b w:val="0"/>
          <w:bCs w:val="0"/>
          <w:sz w:val="32"/>
          <w:szCs w:val="32"/>
          <w:lang w:val="en-US" w:eastAsia="zh-CN"/>
        </w:rPr>
      </w:pPr>
      <w:r>
        <w:rPr>
          <w:rStyle w:val="14"/>
          <w:rFonts w:hint="eastAsia" w:ascii="楷体" w:hAnsi="楷体" w:eastAsia="楷体" w:cs="楷体"/>
          <w:b/>
          <w:bCs w:val="0"/>
          <w:i w:val="0"/>
          <w:caps w:val="0"/>
          <w:color w:val="auto"/>
          <w:spacing w:val="0"/>
          <w:kern w:val="0"/>
          <w:sz w:val="32"/>
          <w:szCs w:val="32"/>
          <w:shd w:val="clear" w:color="auto" w:fill="FFFFFF"/>
          <w:lang w:val="en-US" w:eastAsia="zh-CN" w:bidi="ar"/>
        </w:rPr>
        <w:t>（六）深入推进全民普法，全面提升法治社会建设水平。一是</w:t>
      </w:r>
      <w:r>
        <w:rPr>
          <w:rFonts w:hint="eastAsia" w:ascii="仿宋_GB2312" w:hAnsi="仿宋_GB2312" w:eastAsia="仿宋_GB2312" w:cs="仿宋_GB2312"/>
          <w:b w:val="0"/>
          <w:bCs/>
          <w:color w:val="auto"/>
          <w:sz w:val="32"/>
          <w:szCs w:val="32"/>
          <w:lang w:val="en-US" w:eastAsia="zh-CN"/>
        </w:rPr>
        <w:t>认真开展</w:t>
      </w:r>
      <w:r>
        <w:rPr>
          <w:rFonts w:hint="default" w:ascii="仿宋_GB2312" w:hAnsi="仿宋_GB2312" w:eastAsia="仿宋_GB2312" w:cs="仿宋_GB2312"/>
          <w:b w:val="0"/>
          <w:bCs/>
          <w:color w:val="auto"/>
          <w:sz w:val="32"/>
          <w:szCs w:val="32"/>
          <w:lang w:val="en-US" w:eastAsia="zh-CN"/>
        </w:rPr>
        <w:t>“八五”法治宣传教育</w:t>
      </w:r>
      <w:r>
        <w:rPr>
          <w:rFonts w:hint="eastAsia" w:ascii="仿宋_GB2312" w:hAnsi="仿宋_GB2312" w:eastAsia="仿宋_GB2312" w:cs="仿宋_GB2312"/>
          <w:b w:val="0"/>
          <w:bCs/>
          <w:color w:val="auto"/>
          <w:sz w:val="32"/>
          <w:szCs w:val="32"/>
          <w:lang w:val="en-US" w:eastAsia="zh-CN"/>
        </w:rPr>
        <w:t>工作</w:t>
      </w:r>
      <w:r>
        <w:rPr>
          <w:rFonts w:hint="default" w:ascii="仿宋_GB2312" w:hAnsi="仿宋_GB2312" w:eastAsia="仿宋_GB2312" w:cs="仿宋_GB2312"/>
          <w:b w:val="0"/>
          <w:bCs/>
          <w:color w:val="auto"/>
          <w:sz w:val="32"/>
          <w:szCs w:val="32"/>
          <w:lang w:val="en-US" w:eastAsia="zh-CN"/>
        </w:rPr>
        <w:t>，加强法治宣传教育力度，推动社会依法治理。大力推进“谁执法谁普法”“谁服务谁普法”工作机制，形成全镇各部门齐心协力、齐抓共管“大普法”工作格局。结合</w:t>
      </w:r>
      <w:r>
        <w:rPr>
          <w:rFonts w:hint="eastAsia" w:ascii="仿宋_GB2312" w:hAnsi="仿宋_GB2312" w:eastAsia="仿宋_GB2312" w:cs="仿宋_GB2312"/>
          <w:b w:val="0"/>
          <w:bCs/>
          <w:color w:val="auto"/>
          <w:sz w:val="32"/>
          <w:szCs w:val="32"/>
          <w:lang w:val="en-US" w:eastAsia="zh-CN"/>
        </w:rPr>
        <w:t>宝丰</w:t>
      </w:r>
      <w:r>
        <w:rPr>
          <w:rFonts w:hint="default" w:ascii="仿宋_GB2312" w:hAnsi="仿宋_GB2312" w:eastAsia="仿宋_GB2312" w:cs="仿宋_GB2312"/>
          <w:b w:val="0"/>
          <w:bCs/>
          <w:color w:val="auto"/>
          <w:sz w:val="32"/>
          <w:szCs w:val="32"/>
          <w:lang w:val="en-US" w:eastAsia="zh-CN"/>
        </w:rPr>
        <w:t>镇工作职责，明确普法工作总体思路和主要任务，修订完善普法责任制“四个清单，研究制定年度普法工作计划和责任清单。利用</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民法典</w:t>
      </w:r>
      <w:r>
        <w:rPr>
          <w:rFonts w:hint="eastAsia" w:ascii="仿宋_GB2312" w:hAnsi="仿宋_GB2312" w:eastAsia="仿宋_GB2312" w:cs="仿宋_GB2312"/>
          <w:b w:val="0"/>
          <w:bCs/>
          <w:color w:val="auto"/>
          <w:sz w:val="32"/>
          <w:szCs w:val="32"/>
          <w:lang w:val="en-US" w:eastAsia="zh-CN"/>
        </w:rPr>
        <w:t>宣传月”、</w:t>
      </w:r>
      <w:r>
        <w:rPr>
          <w:rFonts w:hint="default"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6.26</w:t>
      </w:r>
      <w:r>
        <w:rPr>
          <w:rFonts w:hint="default" w:ascii="仿宋_GB2312" w:hAnsi="仿宋_GB2312" w:eastAsia="仿宋_GB2312" w:cs="仿宋_GB2312"/>
          <w:b w:val="0"/>
          <w:bCs/>
          <w:color w:val="auto"/>
          <w:sz w:val="32"/>
          <w:szCs w:val="32"/>
          <w:lang w:val="en-US" w:eastAsia="zh-CN"/>
        </w:rPr>
        <w:t>禁毒日</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12.4”国家</w:t>
      </w:r>
      <w:r>
        <w:rPr>
          <w:rFonts w:hint="default" w:ascii="仿宋_GB2312" w:hAnsi="仿宋_GB2312" w:eastAsia="仿宋_GB2312" w:cs="仿宋_GB2312"/>
          <w:b w:val="0"/>
          <w:bCs/>
          <w:color w:val="auto"/>
          <w:sz w:val="32"/>
          <w:szCs w:val="32"/>
          <w:lang w:val="en-US" w:eastAsia="zh-CN"/>
        </w:rPr>
        <w:t>宪法</w:t>
      </w:r>
      <w:r>
        <w:rPr>
          <w:rFonts w:hint="eastAsia" w:ascii="仿宋_GB2312" w:hAnsi="仿宋_GB2312" w:eastAsia="仿宋_GB2312" w:cs="仿宋_GB2312"/>
          <w:b w:val="0"/>
          <w:bCs/>
          <w:color w:val="auto"/>
          <w:sz w:val="32"/>
          <w:szCs w:val="32"/>
          <w:lang w:val="en-US" w:eastAsia="zh-CN"/>
        </w:rPr>
        <w:t>日宣传周等</w:t>
      </w:r>
      <w:r>
        <w:rPr>
          <w:rFonts w:hint="default" w:ascii="仿宋_GB2312" w:hAnsi="仿宋_GB2312" w:eastAsia="仿宋_GB2312" w:cs="仿宋_GB2312"/>
          <w:b w:val="0"/>
          <w:bCs/>
          <w:color w:val="auto"/>
          <w:sz w:val="32"/>
          <w:szCs w:val="32"/>
          <w:lang w:val="en-US" w:eastAsia="zh-CN"/>
        </w:rPr>
        <w:t>重大节</w:t>
      </w:r>
      <w:r>
        <w:rPr>
          <w:rFonts w:hint="eastAsia" w:ascii="仿宋_GB2312" w:hAnsi="仿宋_GB2312" w:eastAsia="仿宋_GB2312" w:cs="仿宋_GB2312"/>
          <w:b w:val="0"/>
          <w:bCs/>
          <w:color w:val="auto"/>
          <w:sz w:val="32"/>
          <w:szCs w:val="32"/>
          <w:lang w:val="en-US" w:eastAsia="zh-CN"/>
        </w:rPr>
        <w:t>日，</w:t>
      </w:r>
      <w:r>
        <w:rPr>
          <w:rFonts w:hint="default" w:ascii="仿宋_GB2312" w:hAnsi="仿宋_GB2312" w:eastAsia="仿宋_GB2312" w:cs="仿宋_GB2312"/>
          <w:b w:val="0"/>
          <w:bCs/>
          <w:color w:val="auto"/>
          <w:sz w:val="32"/>
          <w:szCs w:val="32"/>
          <w:lang w:val="en-US" w:eastAsia="zh-CN"/>
        </w:rPr>
        <w:t>通过采用设立展板</w:t>
      </w:r>
      <w:r>
        <w:rPr>
          <w:rFonts w:hint="eastAsia" w:ascii="仿宋_GB2312" w:hAnsi="仿宋_GB2312" w:eastAsia="仿宋_GB2312" w:cs="仿宋_GB2312"/>
          <w:b w:val="0"/>
          <w:bCs/>
          <w:color w:val="auto"/>
          <w:sz w:val="32"/>
          <w:szCs w:val="32"/>
          <w:lang w:val="en-US" w:eastAsia="zh-CN"/>
        </w:rPr>
        <w:t>、悬挂横幅</w:t>
      </w:r>
      <w:r>
        <w:rPr>
          <w:rFonts w:hint="default"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发放</w:t>
      </w:r>
      <w:r>
        <w:rPr>
          <w:rFonts w:hint="default" w:ascii="仿宋_GB2312" w:hAnsi="仿宋_GB2312" w:eastAsia="仿宋_GB2312" w:cs="仿宋_GB2312"/>
          <w:b w:val="0"/>
          <w:bCs/>
          <w:color w:val="auto"/>
          <w:sz w:val="32"/>
          <w:szCs w:val="32"/>
          <w:lang w:val="en-US" w:eastAsia="zh-CN"/>
        </w:rPr>
        <w:t>宣传资料等</w:t>
      </w:r>
      <w:r>
        <w:rPr>
          <w:rFonts w:hint="eastAsia" w:ascii="仿宋_GB2312" w:hAnsi="仿宋_GB2312" w:eastAsia="仿宋_GB2312" w:cs="仿宋_GB2312"/>
          <w:b w:val="0"/>
          <w:bCs/>
          <w:color w:val="auto"/>
          <w:sz w:val="32"/>
          <w:szCs w:val="32"/>
          <w:lang w:val="en-US" w:eastAsia="zh-CN"/>
        </w:rPr>
        <w:t>方式，</w:t>
      </w:r>
      <w:r>
        <w:rPr>
          <w:rFonts w:hint="default" w:ascii="仿宋_GB2312" w:hAnsi="仿宋_GB2312" w:eastAsia="仿宋_GB2312" w:cs="仿宋_GB2312"/>
          <w:b w:val="0"/>
          <w:bCs/>
          <w:color w:val="auto"/>
          <w:sz w:val="32"/>
          <w:szCs w:val="32"/>
          <w:lang w:val="en-US" w:eastAsia="zh-CN"/>
        </w:rPr>
        <w:t>组织</w:t>
      </w:r>
      <w:r>
        <w:rPr>
          <w:rFonts w:hint="eastAsia" w:ascii="仿宋_GB2312" w:hAnsi="仿宋_GB2312" w:eastAsia="仿宋_GB2312" w:cs="仿宋_GB2312"/>
          <w:b w:val="0"/>
          <w:bCs/>
          <w:color w:val="auto"/>
          <w:sz w:val="32"/>
          <w:szCs w:val="32"/>
          <w:lang w:val="en-US" w:eastAsia="zh-CN"/>
        </w:rPr>
        <w:t>各中心（办）</w:t>
      </w:r>
      <w:r>
        <w:rPr>
          <w:rFonts w:hint="default" w:ascii="仿宋_GB2312" w:hAnsi="仿宋_GB2312" w:eastAsia="仿宋_GB2312" w:cs="仿宋_GB2312"/>
          <w:b w:val="0"/>
          <w:bCs/>
          <w:color w:val="auto"/>
          <w:sz w:val="32"/>
          <w:szCs w:val="32"/>
          <w:lang w:val="en-US" w:eastAsia="zh-CN"/>
        </w:rPr>
        <w:t>深入街头、市场</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社区等人流量</w:t>
      </w:r>
      <w:r>
        <w:rPr>
          <w:rFonts w:hint="eastAsia" w:ascii="仿宋_GB2312" w:hAnsi="仿宋_GB2312" w:eastAsia="仿宋_GB2312" w:cs="仿宋_GB2312"/>
          <w:b w:val="0"/>
          <w:bCs/>
          <w:color w:val="auto"/>
          <w:sz w:val="32"/>
          <w:szCs w:val="32"/>
          <w:lang w:val="en-US" w:eastAsia="zh-CN"/>
        </w:rPr>
        <w:t>较</w:t>
      </w:r>
      <w:r>
        <w:rPr>
          <w:rFonts w:hint="default" w:ascii="仿宋_GB2312" w:hAnsi="仿宋_GB2312" w:eastAsia="仿宋_GB2312" w:cs="仿宋_GB2312"/>
          <w:b w:val="0"/>
          <w:bCs/>
          <w:color w:val="auto"/>
          <w:sz w:val="32"/>
          <w:szCs w:val="32"/>
          <w:lang w:val="en-US" w:eastAsia="zh-CN"/>
        </w:rPr>
        <w:t>多</w:t>
      </w:r>
      <w:r>
        <w:rPr>
          <w:rFonts w:hint="eastAsia" w:ascii="仿宋_GB2312" w:hAnsi="仿宋_GB2312" w:eastAsia="仿宋_GB2312" w:cs="仿宋_GB2312"/>
          <w:b w:val="0"/>
          <w:bCs/>
          <w:color w:val="auto"/>
          <w:sz w:val="32"/>
          <w:szCs w:val="32"/>
          <w:lang w:val="en-US" w:eastAsia="zh-CN"/>
        </w:rPr>
        <w:t>的</w:t>
      </w:r>
      <w:r>
        <w:rPr>
          <w:rFonts w:hint="default" w:ascii="仿宋_GB2312" w:hAnsi="仿宋_GB2312" w:eastAsia="仿宋_GB2312" w:cs="仿宋_GB2312"/>
          <w:b w:val="0"/>
          <w:bCs/>
          <w:color w:val="auto"/>
          <w:sz w:val="32"/>
          <w:szCs w:val="32"/>
          <w:lang w:val="en-US" w:eastAsia="zh-CN"/>
        </w:rPr>
        <w:t>地方</w:t>
      </w:r>
      <w:r>
        <w:rPr>
          <w:rFonts w:hint="eastAsia" w:ascii="仿宋_GB2312" w:hAnsi="仿宋_GB2312" w:eastAsia="仿宋_GB2312" w:cs="仿宋_GB2312"/>
          <w:b w:val="0"/>
          <w:bCs/>
          <w:color w:val="auto"/>
          <w:sz w:val="32"/>
          <w:szCs w:val="32"/>
          <w:lang w:val="en-US" w:eastAsia="zh-CN"/>
        </w:rPr>
        <w:t>进</w:t>
      </w:r>
      <w:r>
        <w:rPr>
          <w:rFonts w:hint="default" w:ascii="仿宋_GB2312" w:hAnsi="仿宋_GB2312" w:eastAsia="仿宋_GB2312" w:cs="仿宋_GB2312"/>
          <w:b w:val="0"/>
          <w:bCs/>
          <w:color w:val="auto"/>
          <w:sz w:val="32"/>
          <w:szCs w:val="32"/>
          <w:lang w:val="en-US" w:eastAsia="zh-CN"/>
        </w:rPr>
        <w:t>行普法宣传。</w:t>
      </w:r>
      <w:r>
        <w:rPr>
          <w:rFonts w:hint="eastAsia" w:ascii="仿宋_GB2312" w:hAnsi="仿宋_GB2312" w:eastAsia="仿宋_GB2312" w:cs="仿宋_GB2312"/>
          <w:b w:val="0"/>
          <w:bCs/>
          <w:color w:val="auto"/>
          <w:sz w:val="32"/>
          <w:szCs w:val="32"/>
          <w:lang w:val="en-US" w:eastAsia="zh-CN"/>
        </w:rPr>
        <w:t>2023年以来，</w:t>
      </w:r>
      <w:r>
        <w:rPr>
          <w:rFonts w:hint="default" w:ascii="仿宋_GB2312" w:hAnsi="仿宋_GB2312" w:eastAsia="仿宋_GB2312" w:cs="仿宋_GB2312"/>
          <w:b w:val="0"/>
          <w:bCs/>
          <w:color w:val="auto"/>
          <w:sz w:val="32"/>
          <w:szCs w:val="32"/>
          <w:lang w:val="en-US" w:eastAsia="zh-CN"/>
        </w:rPr>
        <w:t>共</w:t>
      </w:r>
      <w:r>
        <w:rPr>
          <w:rFonts w:hint="eastAsia" w:ascii="仿宋_GB2312" w:hAnsi="仿宋_GB2312" w:eastAsia="仿宋_GB2312" w:cs="仿宋_GB2312"/>
          <w:b w:val="0"/>
          <w:bCs/>
          <w:color w:val="auto"/>
          <w:sz w:val="32"/>
          <w:szCs w:val="32"/>
          <w:lang w:val="en-US" w:eastAsia="zh-CN"/>
        </w:rPr>
        <w:t>开展各类法治宣传教育活动20场次，</w:t>
      </w:r>
      <w:r>
        <w:rPr>
          <w:rFonts w:hint="default" w:ascii="仿宋_GB2312" w:hAnsi="仿宋_GB2312" w:eastAsia="仿宋_GB2312" w:cs="仿宋_GB2312"/>
          <w:b w:val="0"/>
          <w:bCs/>
          <w:color w:val="auto"/>
          <w:sz w:val="32"/>
          <w:szCs w:val="32"/>
          <w:lang w:val="en-US" w:eastAsia="zh-CN"/>
        </w:rPr>
        <w:t>发放</w:t>
      </w:r>
      <w:r>
        <w:rPr>
          <w:rFonts w:hint="eastAsia" w:ascii="仿宋_GB2312" w:hAnsi="仿宋_GB2312" w:eastAsia="仿宋_GB2312" w:cs="仿宋_GB2312"/>
          <w:b w:val="0"/>
          <w:bCs/>
          <w:color w:val="auto"/>
          <w:sz w:val="32"/>
          <w:szCs w:val="32"/>
          <w:lang w:val="en-US" w:eastAsia="zh-CN"/>
        </w:rPr>
        <w:t>各类</w:t>
      </w:r>
      <w:r>
        <w:rPr>
          <w:rFonts w:hint="default" w:ascii="仿宋_GB2312" w:hAnsi="仿宋_GB2312" w:eastAsia="仿宋_GB2312" w:cs="仿宋_GB2312"/>
          <w:b w:val="0"/>
          <w:bCs/>
          <w:color w:val="auto"/>
          <w:sz w:val="32"/>
          <w:szCs w:val="32"/>
          <w:lang w:val="en-US" w:eastAsia="zh-CN"/>
        </w:rPr>
        <w:t>普法宣传</w:t>
      </w:r>
      <w:r>
        <w:rPr>
          <w:rFonts w:hint="eastAsia" w:ascii="仿宋_GB2312" w:hAnsi="仿宋_GB2312" w:eastAsia="仿宋_GB2312" w:cs="仿宋_GB2312"/>
          <w:b w:val="0"/>
          <w:bCs/>
          <w:color w:val="auto"/>
          <w:sz w:val="32"/>
          <w:szCs w:val="32"/>
          <w:lang w:val="en-US" w:eastAsia="zh-CN"/>
        </w:rPr>
        <w:t>资料2</w:t>
      </w:r>
      <w:r>
        <w:rPr>
          <w:rFonts w:hint="default" w:ascii="仿宋_GB2312" w:hAnsi="仿宋_GB2312" w:eastAsia="仿宋_GB2312" w:cs="仿宋_GB2312"/>
          <w:b w:val="0"/>
          <w:bCs/>
          <w:color w:val="auto"/>
          <w:sz w:val="32"/>
          <w:szCs w:val="32"/>
          <w:lang w:val="en-US" w:eastAsia="zh-CN"/>
        </w:rPr>
        <w:t>000余份</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二是</w:t>
      </w:r>
      <w:r>
        <w:rPr>
          <w:rFonts w:hint="eastAsia" w:ascii="仿宋_GB2312" w:hAnsi="仿宋_GB2312" w:eastAsia="仿宋_GB2312" w:cs="仿宋_GB2312"/>
          <w:b w:val="0"/>
          <w:bCs w:val="0"/>
          <w:sz w:val="32"/>
          <w:szCs w:val="32"/>
          <w:lang w:val="en-US" w:eastAsia="zh-CN"/>
        </w:rPr>
        <w:t>结合全县法律明白人培养工程，加大村级法律明白人培养力度，在全镇共培育法律明白人77人，法律明白人骨干37人。今年开展法律明白人培训3场次。</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sz w:val="32"/>
          <w:szCs w:val="32"/>
          <w:lang w:val="en-US" w:eastAsia="zh-CN"/>
        </w:rPr>
        <w:t>深化法律宣传全覆盖。积极</w:t>
      </w:r>
      <w:r>
        <w:rPr>
          <w:rFonts w:hint="default" w:ascii="仿宋_GB2312" w:hAnsi="仿宋_GB2312" w:eastAsia="仿宋_GB2312" w:cs="仿宋_GB2312"/>
          <w:b w:val="0"/>
          <w:bCs w:val="0"/>
          <w:sz w:val="32"/>
          <w:szCs w:val="32"/>
          <w:lang w:val="en-US" w:eastAsia="zh-CN"/>
        </w:rPr>
        <w:t>开展法律宣传进乡村</w:t>
      </w:r>
      <w:r>
        <w:rPr>
          <w:rFonts w:hint="eastAsia" w:ascii="仿宋_GB2312" w:hAnsi="仿宋_GB2312" w:eastAsia="仿宋_GB2312" w:cs="仿宋_GB2312"/>
          <w:b w:val="0"/>
          <w:bCs w:val="0"/>
          <w:sz w:val="32"/>
          <w:szCs w:val="32"/>
          <w:lang w:val="en-US" w:eastAsia="zh-CN"/>
        </w:rPr>
        <w:t>、进学校、进企业等活动8场次，共发放普法宣传册1500余份，现场解答法律咨询40余人次，</w:t>
      </w:r>
      <w:r>
        <w:rPr>
          <w:rFonts w:hint="default" w:ascii="仿宋_GB2312" w:hAnsi="仿宋_GB2312" w:eastAsia="仿宋_GB2312" w:cs="仿宋_GB2312"/>
          <w:b w:val="0"/>
          <w:bCs w:val="0"/>
          <w:sz w:val="32"/>
          <w:szCs w:val="32"/>
          <w:lang w:val="en-US" w:eastAsia="zh-CN"/>
        </w:rPr>
        <w:t>同时还积极利用</w:t>
      </w:r>
      <w:r>
        <w:rPr>
          <w:rFonts w:hint="eastAsia" w:ascii="仿宋_GB2312" w:hAnsi="仿宋_GB2312" w:eastAsia="仿宋_GB2312" w:cs="仿宋_GB2312"/>
          <w:b w:val="0"/>
          <w:bCs w:val="0"/>
          <w:sz w:val="32"/>
          <w:szCs w:val="32"/>
          <w:lang w:val="en-US" w:eastAsia="zh-CN"/>
        </w:rPr>
        <w:t>各村工作群</w:t>
      </w:r>
      <w:r>
        <w:rPr>
          <w:rFonts w:hint="default" w:ascii="仿宋_GB2312" w:hAnsi="仿宋_GB2312" w:eastAsia="仿宋_GB2312" w:cs="仿宋_GB2312"/>
          <w:b w:val="0"/>
          <w:bCs w:val="0"/>
          <w:sz w:val="32"/>
          <w:szCs w:val="32"/>
          <w:lang w:val="en-US" w:eastAsia="zh-CN"/>
        </w:rPr>
        <w:t>普及法律</w:t>
      </w:r>
      <w:r>
        <w:rPr>
          <w:rFonts w:hint="eastAsia" w:ascii="仿宋_GB2312" w:hAnsi="仿宋_GB2312" w:eastAsia="仿宋_GB2312" w:cs="仿宋_GB2312"/>
          <w:b w:val="0"/>
          <w:bCs w:val="0"/>
          <w:sz w:val="32"/>
          <w:szCs w:val="32"/>
          <w:lang w:val="en-US" w:eastAsia="zh-CN"/>
        </w:rPr>
        <w:t>知</w:t>
      </w:r>
      <w:r>
        <w:rPr>
          <w:rFonts w:hint="default" w:ascii="仿宋_GB2312" w:hAnsi="仿宋_GB2312" w:eastAsia="仿宋_GB2312" w:cs="仿宋_GB2312"/>
          <w:b w:val="0"/>
          <w:bCs w:val="0"/>
          <w:sz w:val="32"/>
          <w:szCs w:val="32"/>
          <w:lang w:val="en-US" w:eastAsia="zh-CN"/>
        </w:rPr>
        <w:t>识，深受广大</w:t>
      </w:r>
      <w:r>
        <w:rPr>
          <w:rFonts w:hint="eastAsia" w:ascii="仿宋_GB2312" w:hAnsi="仿宋_GB2312" w:eastAsia="仿宋_GB2312" w:cs="仿宋_GB2312"/>
          <w:b w:val="0"/>
          <w:bCs w:val="0"/>
          <w:sz w:val="32"/>
          <w:szCs w:val="32"/>
          <w:lang w:val="en-US" w:eastAsia="zh-CN"/>
        </w:rPr>
        <w:t>群众欢迎，</w:t>
      </w:r>
      <w:r>
        <w:rPr>
          <w:rFonts w:hint="default" w:ascii="仿宋_GB2312" w:hAnsi="仿宋_GB2312" w:eastAsia="仿宋_GB2312" w:cs="仿宋_GB2312"/>
          <w:b w:val="0"/>
          <w:bCs w:val="0"/>
          <w:sz w:val="32"/>
          <w:szCs w:val="32"/>
          <w:lang w:val="en-US" w:eastAsia="zh-CN"/>
        </w:rPr>
        <w:t>收到了良好的效果。</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000000"/>
          <w:sz w:val="32"/>
          <w:szCs w:val="32"/>
          <w:lang w:val="en-US" w:eastAsia="zh-CN"/>
        </w:rPr>
        <w:t>存在不足和原因</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今年来，我镇在法治政府建设上取得了一定的成绩，但还没有达到预期的目标，法治政府建设工作中仍然存在一些问题，主要表现在以下几个方面：</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部分干部的法律知识储备不够，对相关法律法规学习不深，对行政执法程序掌握不透，理论联系实际的深度和广度也不够，分析问题和解决问题的能力有待提高；</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法治宣传工作覆盖面窄，基于农村外出人口众多，对于法治政府建设的宣传工作仍然停留在面向老人及青少年，涉及面不够广泛，法律进机关、进企业、进村（居）等活动开展不深入；</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执法力量薄弱，尤其是缺乏高素质的法治工作专业人才，一定程度上不能很好的满足实际工作需要。</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三、2024年工作安排</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（一）切实加强党对法治政府建设的领导。</w:t>
      </w:r>
      <w:r>
        <w:rPr>
          <w:rFonts w:hint="eastAsia" w:ascii="仿宋_GB2312" w:hAnsi="仿宋_GB2312" w:eastAsia="仿宋_GB2312" w:cs="仿宋_GB2312"/>
          <w:sz w:val="32"/>
          <w:szCs w:val="32"/>
          <w:lang w:val="en-US" w:eastAsia="zh-CN"/>
        </w:rPr>
        <w:t>以习近平法治思想为引领，坚持党的领导这个根本原则，坚决把牢法治建设正确方向。深入贯彻践行习近平法治思想，围绕上级关于法治政府建设的决策部署，谋划和落实好法治政府建设的各项工作和任务，主动向县委报告法治政府建设中的重大问题和困难，确保政府职能依法全面履行，依法行政能力普遍提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（二）持续加大普法宣传力度增强法治观念。</w:t>
      </w:r>
      <w:r>
        <w:rPr>
          <w:rFonts w:hint="eastAsia" w:ascii="仿宋_GB2312" w:hAnsi="仿宋_GB2312" w:eastAsia="仿宋_GB2312" w:cs="仿宋_GB2312"/>
          <w:sz w:val="32"/>
          <w:szCs w:val="32"/>
          <w:lang w:val="en-US" w:eastAsia="zh-CN"/>
        </w:rPr>
        <w:t>紧紧抓住党员领导干部“关键少数”，将依法行政等情况纳入年度考核，保证履行好权力的政治责任与法治责任，使领导干部成为法治化建设的主要推动者与群众法治理念的引领者。支持和引导群众开展法治文化活动，满足人民群众日益增长的法治文化需要。发挥优势，因地制宜，积极推进基层法治文化活动建设，加强法治文化传播，营造法治氛围。</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（三）进一步提高领导干部运用法治思维和法治方式处理问题的能力。</w:t>
      </w:r>
      <w:r>
        <w:rPr>
          <w:rFonts w:hint="eastAsia" w:ascii="仿宋_GB2312" w:hAnsi="仿宋_GB2312" w:eastAsia="仿宋_GB2312" w:cs="仿宋_GB2312"/>
          <w:sz w:val="32"/>
          <w:szCs w:val="32"/>
          <w:lang w:val="en-US" w:eastAsia="zh-CN"/>
        </w:rPr>
        <w:t>充分调动班子成员的能动作用，进一步增强班子的凝聚力和战斗力，为全镇法治政府建设提供坚强组织保障，定期组织领导干部开展法律知识讲座、专业知识培训等，不断提高依法行政能力，提高执法工作人员法律素质和依法办事能力。领导干部带头尊法学法守法用法，</w:t>
      </w:r>
      <w:bookmarkStart w:id="0" w:name="_GoBack"/>
      <w:bookmarkEnd w:id="0"/>
      <w:r>
        <w:rPr>
          <w:rFonts w:hint="eastAsia" w:ascii="仿宋_GB2312" w:hAnsi="仿宋_GB2312" w:eastAsia="仿宋_GB2312" w:cs="仿宋_GB2312"/>
          <w:sz w:val="32"/>
          <w:szCs w:val="32"/>
          <w:lang w:val="en-US" w:eastAsia="zh-CN"/>
        </w:rPr>
        <w:t>不断提高运用法治思维和法治方式深化改革、推动发展、化解矛盾、维护稳定、应对风险的能力。</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640" w:leftChars="0" w:right="420" w:rightChars="200" w:hanging="640" w:hanging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平罗县宝丰镇人民政府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640" w:leftChars="0" w:right="420" w:rightChars="200" w:hanging="640" w:hanging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2023年12月29日</w:t>
      </w:r>
    </w:p>
    <w:sectPr>
      <w:footerReference r:id="rId3" w:type="default"/>
      <w:pgSz w:w="11906" w:h="16838"/>
      <w:pgMar w:top="1984"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ZTEwZjgxMzQ0NmRiNDVmODRkOTEyNmUxMmE1M2MifQ=="/>
  </w:docVars>
  <w:rsids>
    <w:rsidRoot w:val="19905339"/>
    <w:rsid w:val="01191525"/>
    <w:rsid w:val="020E6A4C"/>
    <w:rsid w:val="02A96E98"/>
    <w:rsid w:val="05946F9C"/>
    <w:rsid w:val="069F3BC7"/>
    <w:rsid w:val="073562D9"/>
    <w:rsid w:val="0B5D36F1"/>
    <w:rsid w:val="0BF92CAC"/>
    <w:rsid w:val="0E001426"/>
    <w:rsid w:val="0F286D08"/>
    <w:rsid w:val="12A5518F"/>
    <w:rsid w:val="1395583F"/>
    <w:rsid w:val="142715F7"/>
    <w:rsid w:val="162D39F0"/>
    <w:rsid w:val="19905339"/>
    <w:rsid w:val="1C694603"/>
    <w:rsid w:val="1C7B31B0"/>
    <w:rsid w:val="1FFDE9CF"/>
    <w:rsid w:val="20906B51"/>
    <w:rsid w:val="22E2053C"/>
    <w:rsid w:val="23624AD7"/>
    <w:rsid w:val="2526512A"/>
    <w:rsid w:val="26CA7C33"/>
    <w:rsid w:val="279D772B"/>
    <w:rsid w:val="2DE53D06"/>
    <w:rsid w:val="2EFD4CBC"/>
    <w:rsid w:val="2F013A7B"/>
    <w:rsid w:val="2F8647B5"/>
    <w:rsid w:val="31900B83"/>
    <w:rsid w:val="32A454C9"/>
    <w:rsid w:val="35215A5D"/>
    <w:rsid w:val="37983B97"/>
    <w:rsid w:val="39EA33AD"/>
    <w:rsid w:val="3B384C6F"/>
    <w:rsid w:val="3EF85126"/>
    <w:rsid w:val="44246EDE"/>
    <w:rsid w:val="450577A3"/>
    <w:rsid w:val="483607A6"/>
    <w:rsid w:val="48D82C4F"/>
    <w:rsid w:val="4B69167A"/>
    <w:rsid w:val="4C9F1308"/>
    <w:rsid w:val="4EEA2E4A"/>
    <w:rsid w:val="4FB60D02"/>
    <w:rsid w:val="511E161D"/>
    <w:rsid w:val="54A2005F"/>
    <w:rsid w:val="55FA0ABB"/>
    <w:rsid w:val="573C5E95"/>
    <w:rsid w:val="59114DD8"/>
    <w:rsid w:val="5CF3349A"/>
    <w:rsid w:val="5D583F04"/>
    <w:rsid w:val="5E61681E"/>
    <w:rsid w:val="619A4F52"/>
    <w:rsid w:val="6356620A"/>
    <w:rsid w:val="663C7C5F"/>
    <w:rsid w:val="685A0DB1"/>
    <w:rsid w:val="6B5B1EEA"/>
    <w:rsid w:val="6BA753E0"/>
    <w:rsid w:val="6BFF0F86"/>
    <w:rsid w:val="6C3A60FA"/>
    <w:rsid w:val="6C3E336F"/>
    <w:rsid w:val="6C7F2654"/>
    <w:rsid w:val="6E382162"/>
    <w:rsid w:val="6E386DE5"/>
    <w:rsid w:val="72770BF8"/>
    <w:rsid w:val="72B11287"/>
    <w:rsid w:val="73EBCB09"/>
    <w:rsid w:val="755F74C6"/>
    <w:rsid w:val="77B43AFA"/>
    <w:rsid w:val="77CF7FA6"/>
    <w:rsid w:val="77FBDA40"/>
    <w:rsid w:val="78E57CE3"/>
    <w:rsid w:val="79CD0EA3"/>
    <w:rsid w:val="7A921FBF"/>
    <w:rsid w:val="7AC706E4"/>
    <w:rsid w:val="7BDF202C"/>
    <w:rsid w:val="7DF056EF"/>
    <w:rsid w:val="7E9D7D96"/>
    <w:rsid w:val="7EE62E54"/>
    <w:rsid w:val="7F7F4ECF"/>
    <w:rsid w:val="7F817D50"/>
    <w:rsid w:val="7FDE2E8E"/>
    <w:rsid w:val="7FDF05E6"/>
    <w:rsid w:val="85FDFED7"/>
    <w:rsid w:val="97FF6F52"/>
    <w:rsid w:val="A7DD02C8"/>
    <w:rsid w:val="BAFD088A"/>
    <w:rsid w:val="BFFF54E8"/>
    <w:rsid w:val="DCEF6AE6"/>
    <w:rsid w:val="EFFF5899"/>
    <w:rsid w:val="F58DDB88"/>
    <w:rsid w:val="F7FD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0"/>
    <w:pPr>
      <w:keepNext/>
      <w:keepLines/>
      <w:widowControl/>
      <w:ind w:left="840" w:leftChars="400"/>
      <w:jc w:val="left"/>
      <w:outlineLvl w:val="1"/>
    </w:pPr>
    <w:rPr>
      <w:rFonts w:eastAsia="仿宋"/>
      <w:b/>
      <w:bCs/>
      <w:kern w:val="0"/>
      <w:sz w:val="30"/>
      <w:szCs w:val="3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 w:type="paragraph" w:styleId="5">
    <w:name w:val="Normal Indent"/>
    <w:basedOn w:val="1"/>
    <w:next w:val="1"/>
    <w:autoRedefine/>
    <w:qFormat/>
    <w:uiPriority w:val="0"/>
    <w:pPr>
      <w:ind w:firstLine="420" w:firstLineChars="200"/>
    </w:pPr>
  </w:style>
  <w:style w:type="paragraph" w:styleId="6">
    <w:name w:val="Body Text Indent"/>
    <w:basedOn w:val="1"/>
    <w:autoRedefine/>
    <w:qFormat/>
    <w:uiPriority w:val="0"/>
    <w:pPr>
      <w:ind w:firstLine="640" w:firstLineChars="200"/>
    </w:pPr>
    <w:rPr>
      <w:sz w:val="32"/>
      <w:szCs w:val="24"/>
      <w:lang w:val="en-GB"/>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1"/>
    <w:autoRedefine/>
    <w:qFormat/>
    <w:uiPriority w:val="0"/>
    <w:pPr>
      <w:ind w:left="200" w:firstLine="420" w:firstLineChars="200"/>
    </w:pPr>
    <w:rPr>
      <w:rFonts w:hint="eastAsia" w:ascii="Times New Roman" w:eastAsia="仿宋_GB2312"/>
      <w:sz w:val="32"/>
    </w:rPr>
  </w:style>
  <w:style w:type="character" w:styleId="14">
    <w:name w:val="Strong"/>
    <w:basedOn w:val="13"/>
    <w:qFormat/>
    <w:uiPriority w:val="0"/>
    <w:rPr>
      <w:b/>
      <w:color w:val="166CB2"/>
    </w:rPr>
  </w:style>
  <w:style w:type="character" w:styleId="15">
    <w:name w:val="FollowedHyperlink"/>
    <w:basedOn w:val="13"/>
    <w:qFormat/>
    <w:uiPriority w:val="0"/>
    <w:rPr>
      <w:color w:val="333333"/>
      <w:u w:val="none"/>
    </w:rPr>
  </w:style>
  <w:style w:type="character" w:styleId="16">
    <w:name w:val="Emphasis"/>
    <w:basedOn w:val="13"/>
    <w:autoRedefine/>
    <w:qFormat/>
    <w:uiPriority w:val="0"/>
    <w:rPr>
      <w:b/>
    </w:rPr>
  </w:style>
  <w:style w:type="character" w:styleId="17">
    <w:name w:val="HTML Definition"/>
    <w:basedOn w:val="13"/>
    <w:qFormat/>
    <w:uiPriority w:val="0"/>
  </w:style>
  <w:style w:type="character" w:styleId="18">
    <w:name w:val="HTML Variable"/>
    <w:basedOn w:val="13"/>
    <w:autoRedefine/>
    <w:qFormat/>
    <w:uiPriority w:val="0"/>
  </w:style>
  <w:style w:type="character" w:styleId="19">
    <w:name w:val="Hyperlink"/>
    <w:basedOn w:val="13"/>
    <w:qFormat/>
    <w:uiPriority w:val="0"/>
    <w:rPr>
      <w:color w:val="333333"/>
      <w:u w:val="none"/>
    </w:rPr>
  </w:style>
  <w:style w:type="character" w:styleId="20">
    <w:name w:val="HTML Code"/>
    <w:basedOn w:val="13"/>
    <w:autoRedefine/>
    <w:qFormat/>
    <w:uiPriority w:val="0"/>
    <w:rPr>
      <w:rFonts w:ascii="Courier New" w:hAnsi="Courier New"/>
      <w:sz w:val="20"/>
    </w:rPr>
  </w:style>
  <w:style w:type="character" w:styleId="21">
    <w:name w:val="HTML Cite"/>
    <w:basedOn w:val="13"/>
    <w:autoRedefine/>
    <w:qFormat/>
    <w:uiPriority w:val="0"/>
  </w:style>
  <w:style w:type="character" w:styleId="22">
    <w:name w:val="HTML Keyboard"/>
    <w:basedOn w:val="13"/>
    <w:autoRedefine/>
    <w:qFormat/>
    <w:uiPriority w:val="0"/>
    <w:rPr>
      <w:rFonts w:ascii="Courier New" w:hAnsi="Courier New"/>
      <w:sz w:val="20"/>
    </w:rPr>
  </w:style>
  <w:style w:type="character" w:styleId="23">
    <w:name w:val="HTML Sample"/>
    <w:basedOn w:val="13"/>
    <w:autoRedefine/>
    <w:qFormat/>
    <w:uiPriority w:val="0"/>
    <w:rPr>
      <w:rFonts w:ascii="Courier New" w:hAnsi="Courier New"/>
    </w:rPr>
  </w:style>
  <w:style w:type="paragraph" w:customStyle="1" w:styleId="24">
    <w:name w:val="Normal Indent1"/>
    <w:basedOn w:val="1"/>
    <w:autoRedefine/>
    <w:qFormat/>
    <w:uiPriority w:val="0"/>
    <w:pPr>
      <w:ind w:firstLine="200" w:firstLineChars="200"/>
    </w:pPr>
    <w:rPr>
      <w:rFonts w:ascii="Times New Roman" w:hAnsi="Times New Roman" w:eastAsia="宋体" w:cs="Times New Roman"/>
      <w:sz w:val="21"/>
    </w:rPr>
  </w:style>
  <w:style w:type="paragraph" w:customStyle="1" w:styleId="25">
    <w:name w:val="Normal (Web)"/>
    <w:basedOn w:val="1"/>
    <w:autoRedefine/>
    <w:qFormat/>
    <w:uiPriority w:val="0"/>
    <w:pPr>
      <w:spacing w:before="100" w:beforeLines="0" w:beforeAutospacing="1" w:after="100" w:afterLines="0" w:afterAutospacing="1"/>
      <w:ind w:left="0" w:right="0"/>
      <w:jc w:val="left"/>
    </w:pPr>
    <w:rPr>
      <w:kern w:val="0"/>
      <w:sz w:val="24"/>
      <w:lang w:val="en-US" w:eastAsia="zh-CN"/>
    </w:rPr>
  </w:style>
  <w:style w:type="character" w:customStyle="1" w:styleId="26">
    <w:name w:val="layui-laypage-curr"/>
    <w:basedOn w:val="13"/>
    <w:autoRedefine/>
    <w:qFormat/>
    <w:uiPriority w:val="0"/>
  </w:style>
  <w:style w:type="paragraph" w:customStyle="1" w:styleId="27">
    <w:name w:val="Normal Indent"/>
    <w:autoRedefine/>
    <w:qFormat/>
    <w:uiPriority w:val="0"/>
    <w:pPr>
      <w:widowControl w:val="0"/>
      <w:ind w:firstLine="200" w:firstLineChars="20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4188</Words>
  <Characters>4254</Characters>
  <Lines>0</Lines>
  <Paragraphs>0</Paragraphs>
  <TotalTime>9</TotalTime>
  <ScaleCrop>false</ScaleCrop>
  <LinksUpToDate>false</LinksUpToDate>
  <CharactersWithSpaces>4263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2019-11-14T11:29:00Z</dcterms:created>
  <dc:creator>lenovo</dc:creator>
  <cp:lastModifiedBy>望北、</cp:lastModifiedBy>
  <cp:lastPrinted>2024-01-30T02:45:00Z</cp:lastPrinted>
  <dcterms:modified xsi:type="dcterms:W3CDTF">2024-02-28T07:27:02Z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DBA20FBF33704806BED938E65FFB514E_13</vt:lpwstr>
  </property>
</Properties>
</file>