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snapToGrid w:val="0"/>
          <w:kern w:val="0"/>
          <w:sz w:val="32"/>
          <w:szCs w:val="32"/>
        </w:rPr>
        <w:t>2</w:t>
      </w:r>
    </w:p>
    <w:p>
      <w:pPr>
        <w:spacing w:before="161" w:beforeLines="50" w:line="560" w:lineRule="exact"/>
        <w:jc w:val="center"/>
        <w:rPr>
          <w:rFonts w:hint="eastAsia" w:ascii="方正小标宋_GBK" w:hAnsi="方正小标宋简体" w:eastAsia="方正小标宋_GBK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napToGrid w:val="0"/>
          <w:kern w:val="0"/>
          <w:sz w:val="36"/>
          <w:szCs w:val="36"/>
        </w:rPr>
        <w:t>2022年度农村人居环境整治考核奖补资金分配表</w:t>
      </w:r>
      <w:bookmarkEnd w:id="0"/>
    </w:p>
    <w:tbl>
      <w:tblPr>
        <w:tblStyle w:val="4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01"/>
        <w:gridCol w:w="288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排名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乡镇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奖补等次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姚伏镇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高庄乡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崇岗镇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渠口乡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红崖子乡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灵沙乡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城关镇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高仁乡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黄渠桥镇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宝丰镇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头闸镇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陶乐镇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通伏乡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BB15604"/>
    <w:rsid w:val="0BB1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2023-04-07T11:18:00Z</dcterms:created>
  <dc:creator>糖果</dc:creator>
  <cp:lastModifiedBy>糖果</cp:lastModifiedBy>
  <dcterms:modified xsi:type="dcterms:W3CDTF">2023-04-07T11:22:56Z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3E9DFC85D5084054B224FDE5E22B3D8B</vt:lpwstr>
  </property>
</Properties>
</file>