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方正黑体_GBK" w:hAnsi="Times New Roman" w:eastAsia="方正黑体_GBK" w:cs="方正黑体_GBK"/>
          <w:sz w:val="32"/>
          <w:szCs w:val="32"/>
        </w:rPr>
      </w:pPr>
      <w:r>
        <w:rPr>
          <w:rFonts w:hint="eastAsia" w:ascii="方正黑体_GBK" w:hAnsi="Times New Roman" w:eastAsia="方正黑体_GBK" w:cs="方正黑体_GBK"/>
          <w:sz w:val="32"/>
          <w:szCs w:val="32"/>
        </w:rPr>
        <w:t>附件</w:t>
      </w:r>
      <w:r>
        <w:rPr>
          <w:rFonts w:ascii="方正黑体_GBK" w:hAnsi="Times New Roman" w:eastAsia="方正黑体_GBK" w:cs="方正黑体_GBK"/>
          <w:sz w:val="32"/>
          <w:szCs w:val="32"/>
        </w:rPr>
        <w:t>1</w:t>
      </w:r>
    </w:p>
    <w:p>
      <w:pPr>
        <w:pStyle w:val="10"/>
        <w:spacing w:line="560" w:lineRule="exact"/>
        <w:ind w:firstLine="0" w:firstLineChars="0"/>
        <w:outlineLvl w:val="0"/>
        <w:rPr>
          <w:rFonts w:ascii="方正小标宋简体" w:hAnsi="方正小标宋简体" w:eastAsia="方正小标宋简体" w:cs="Times New Roman"/>
          <w:sz w:val="44"/>
          <w:szCs w:val="44"/>
        </w:rPr>
      </w:pPr>
      <w:bookmarkStart w:id="0" w:name="_Toc28313"/>
    </w:p>
    <w:p>
      <w:pPr>
        <w:pStyle w:val="10"/>
        <w:spacing w:line="560" w:lineRule="exact"/>
        <w:ind w:firstLine="0" w:firstLineChars="0"/>
        <w:jc w:val="center"/>
        <w:outlineLvl w:val="0"/>
        <w:rPr>
          <w:rFonts w:ascii="方正小标宋_GBK" w:hAnsi="方正小标宋简体" w:eastAsia="方正小标宋_GBK" w:cs="Times New Roman"/>
          <w:sz w:val="44"/>
          <w:szCs w:val="44"/>
        </w:rPr>
      </w:pPr>
      <w:bookmarkStart w:id="15" w:name="_GoBack"/>
      <w:r>
        <w:rPr>
          <w:rFonts w:hint="eastAsia" w:ascii="方正小标宋_GBK" w:hAnsi="方正小标宋简体" w:eastAsia="方正小标宋_GBK" w:cs="方正小标宋_GBK"/>
          <w:sz w:val="44"/>
          <w:szCs w:val="44"/>
        </w:rPr>
        <w:t>平罗县城市声环境功能区划分</w:t>
      </w:r>
      <w:bookmarkEnd w:id="0"/>
      <w:bookmarkStart w:id="1" w:name="_Toc29536"/>
      <w:r>
        <w:rPr>
          <w:rFonts w:hint="eastAsia" w:ascii="方正小标宋_GBK" w:hAnsi="方正小标宋简体" w:eastAsia="方正小标宋_GBK" w:cs="方正小标宋_GBK"/>
          <w:sz w:val="44"/>
          <w:szCs w:val="44"/>
        </w:rPr>
        <w:t>方案</w:t>
      </w:r>
      <w:bookmarkEnd w:id="1"/>
      <w:bookmarkEnd w:id="15"/>
    </w:p>
    <w:p>
      <w:pPr>
        <w:pStyle w:val="10"/>
        <w:spacing w:line="540" w:lineRule="exact"/>
        <w:ind w:firstLine="31680"/>
        <w:outlineLvl w:val="0"/>
        <w:rPr>
          <w:rFonts w:ascii="Times New Roman" w:hAnsi="Times New Roman" w:eastAsia="方正仿宋_GBK" w:cs="Times New Roman"/>
          <w:sz w:val="32"/>
          <w:szCs w:val="32"/>
        </w:rPr>
      </w:pPr>
    </w:p>
    <w:p>
      <w:pPr>
        <w:pStyle w:val="10"/>
        <w:spacing w:line="540" w:lineRule="exact"/>
        <w:ind w:firstLine="31680"/>
        <w:outlineLvl w:val="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为进一步做好平罗县声环境保护工作，改善区域声环境质量，依据《中华人民共和国环境保护法》《中华人民共和国环境噪声污染防治法》及《声环境质量标准》（</w:t>
      </w:r>
      <w:r>
        <w:rPr>
          <w:rFonts w:ascii="Times New Roman" w:hAnsi="Times New Roman" w:eastAsia="方正仿宋_GBK" w:cs="Times New Roman"/>
          <w:sz w:val="32"/>
          <w:szCs w:val="32"/>
        </w:rPr>
        <w:t>GB3096-2008</w:t>
      </w:r>
      <w:r>
        <w:rPr>
          <w:rFonts w:hint="eastAsia" w:ascii="Times New Roman" w:hAnsi="Times New Roman" w:eastAsia="方正仿宋_GBK" w:cs="方正仿宋_GBK"/>
          <w:sz w:val="32"/>
          <w:szCs w:val="32"/>
        </w:rPr>
        <w:t>）、《声环境功能区划分技术规范》（</w:t>
      </w:r>
      <w:r>
        <w:rPr>
          <w:rFonts w:ascii="Times New Roman" w:hAnsi="Times New Roman" w:eastAsia="方正仿宋_GBK" w:cs="Times New Roman"/>
          <w:sz w:val="32"/>
          <w:szCs w:val="32"/>
        </w:rPr>
        <w:t>GB/T15190-2014</w:t>
      </w:r>
      <w:r>
        <w:rPr>
          <w:rFonts w:hint="eastAsia" w:ascii="Times New Roman" w:hAnsi="Times New Roman" w:eastAsia="方正仿宋_GBK" w:cs="方正仿宋_GBK"/>
          <w:sz w:val="32"/>
          <w:szCs w:val="32"/>
        </w:rPr>
        <w:t>）等有关法律、标准和规范，结合平罗县建设现状和未来发展规划，对平罗县城市声环境功能区划分。</w:t>
      </w:r>
    </w:p>
    <w:p>
      <w:pPr>
        <w:pStyle w:val="10"/>
        <w:spacing w:line="540" w:lineRule="exact"/>
        <w:ind w:firstLine="31680"/>
        <w:outlineLvl w:val="0"/>
        <w:rPr>
          <w:rFonts w:ascii="方正黑体_GBK" w:hAnsi="Times New Roman" w:eastAsia="方正黑体_GBK" w:cs="Times New Roman"/>
          <w:sz w:val="32"/>
          <w:szCs w:val="32"/>
        </w:rPr>
      </w:pPr>
      <w:bookmarkStart w:id="2" w:name="_Toc32402"/>
      <w:r>
        <w:rPr>
          <w:rFonts w:hint="eastAsia" w:ascii="方正黑体_GBK" w:hAnsi="Times New Roman" w:eastAsia="方正黑体_GBK" w:cs="方正黑体_GBK"/>
          <w:sz w:val="32"/>
          <w:szCs w:val="32"/>
        </w:rPr>
        <w:t>一、划分范围</w:t>
      </w:r>
      <w:bookmarkEnd w:id="2"/>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平罗县县城区域涉及城关镇和高庄乡两个乡镇，以环城路为边界，西至西环路，东至</w:t>
      </w:r>
      <w:r>
        <w:rPr>
          <w:rFonts w:ascii="Times New Roman" w:hAnsi="Times New Roman" w:eastAsia="方正仿宋_GBK" w:cs="Times New Roman"/>
          <w:sz w:val="32"/>
          <w:szCs w:val="32"/>
        </w:rPr>
        <w:t>109</w:t>
      </w:r>
      <w:r>
        <w:rPr>
          <w:rFonts w:hint="eastAsia" w:ascii="Times New Roman" w:hAnsi="Times New Roman" w:eastAsia="方正仿宋_GBK" w:cs="方正仿宋_GBK"/>
          <w:sz w:val="32"/>
          <w:szCs w:val="32"/>
        </w:rPr>
        <w:t>国道，北至北环路，南至陶沙路，面积</w:t>
      </w:r>
      <w:r>
        <w:rPr>
          <w:rFonts w:ascii="Times New Roman" w:hAnsi="Times New Roman" w:eastAsia="方正仿宋_GBK" w:cs="Times New Roman"/>
          <w:sz w:val="32"/>
          <w:szCs w:val="32"/>
        </w:rPr>
        <w:t>32.16km</w:t>
      </w:r>
      <w:r>
        <w:rPr>
          <w:rFonts w:ascii="Times New Roman" w:hAnsi="Times New Roman" w:eastAsia="方正仿宋_GBK" w:cs="Times New Roman"/>
          <w:sz w:val="32"/>
          <w:szCs w:val="32"/>
          <w:vertAlign w:val="superscript"/>
        </w:rPr>
        <w:t>2</w:t>
      </w:r>
      <w:r>
        <w:rPr>
          <w:rFonts w:hint="eastAsia" w:ascii="Times New Roman" w:hAnsi="Times New Roman" w:eastAsia="方正仿宋_GBK" w:cs="方正仿宋_GBK"/>
          <w:sz w:val="32"/>
          <w:szCs w:val="32"/>
        </w:rPr>
        <w:t>；乡村区域一般不划分声环境功能区。</w:t>
      </w:r>
    </w:p>
    <w:p>
      <w:pPr>
        <w:pStyle w:val="10"/>
        <w:spacing w:line="540" w:lineRule="exact"/>
        <w:ind w:firstLine="31680"/>
        <w:outlineLvl w:val="0"/>
        <w:rPr>
          <w:rFonts w:ascii="方正黑体_GBK" w:hAnsi="Times New Roman" w:eastAsia="方正黑体_GBK" w:cs="Times New Roman"/>
          <w:sz w:val="32"/>
          <w:szCs w:val="32"/>
        </w:rPr>
      </w:pPr>
      <w:bookmarkStart w:id="3" w:name="_Toc6109"/>
      <w:bookmarkStart w:id="4" w:name="_Toc18683"/>
      <w:bookmarkStart w:id="5" w:name="_Toc8458"/>
      <w:r>
        <w:rPr>
          <w:rFonts w:hint="eastAsia" w:ascii="方正黑体_GBK" w:hAnsi="Times New Roman" w:eastAsia="方正黑体_GBK" w:cs="方正黑体_GBK"/>
          <w:sz w:val="32"/>
          <w:szCs w:val="32"/>
        </w:rPr>
        <w:t>二、声环境功能区分类</w:t>
      </w:r>
      <w:bookmarkEnd w:id="3"/>
      <w:bookmarkEnd w:id="4"/>
      <w:bookmarkEnd w:id="5"/>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《声环境质量标准》（</w:t>
      </w:r>
      <w:r>
        <w:rPr>
          <w:rFonts w:ascii="Times New Roman" w:hAnsi="Times New Roman" w:eastAsia="方正仿宋_GBK" w:cs="Times New Roman"/>
          <w:sz w:val="32"/>
          <w:szCs w:val="32"/>
        </w:rPr>
        <w:t>GB3096-2008</w:t>
      </w:r>
      <w:r>
        <w:rPr>
          <w:rFonts w:hint="eastAsia" w:ascii="Times New Roman" w:hAnsi="Times New Roman" w:eastAsia="方正仿宋_GBK" w:cs="方正仿宋_GBK"/>
          <w:sz w:val="32"/>
          <w:szCs w:val="32"/>
        </w:rPr>
        <w:t>）规定声环境功能区分为五种类型。</w:t>
      </w:r>
      <w:r>
        <w:rPr>
          <w:rFonts w:ascii="Times New Roman" w:hAnsi="Times New Roman" w:eastAsia="方正仿宋_GBK" w:cs="Times New Roman"/>
          <w:sz w:val="32"/>
          <w:szCs w:val="32"/>
        </w:rPr>
        <w:t xml:space="preserve"> </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0</w:t>
      </w:r>
      <w:r>
        <w:rPr>
          <w:rFonts w:hint="eastAsia" w:ascii="Times New Roman" w:hAnsi="Times New Roman" w:eastAsia="方正仿宋_GBK" w:cs="方正仿宋_GBK"/>
          <w:sz w:val="32"/>
          <w:szCs w:val="32"/>
        </w:rPr>
        <w:t>类声环境功能区：指康复疗养区等特别需要安静的区域。</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类声环境功能区：指以居民住宅、医疗卫生、文化教育、科研设计、行政办公为主要功能，需要保持安静的区域。</w:t>
      </w:r>
      <w:r>
        <w:rPr>
          <w:rFonts w:ascii="Times New Roman" w:hAnsi="Times New Roman" w:eastAsia="方正仿宋_GBK" w:cs="Times New Roman"/>
          <w:sz w:val="32"/>
          <w:szCs w:val="32"/>
        </w:rPr>
        <w:t xml:space="preserve"> </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类声环境功能区：指以商业金融、集市贸易为主要功能，或者居住、商业、工业混杂，需要维护住宅安静的区域。</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类声环境功能区：指以工业生产、仓储物流为主要功能，需要防止工业噪声对周围环境产生严重影响的区域。</w:t>
      </w:r>
      <w:r>
        <w:rPr>
          <w:rFonts w:ascii="Times New Roman" w:hAnsi="Times New Roman" w:eastAsia="方正仿宋_GBK" w:cs="Times New Roman"/>
          <w:sz w:val="32"/>
          <w:szCs w:val="32"/>
        </w:rPr>
        <w:t xml:space="preserve"> </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方正仿宋_GBK"/>
          <w:sz w:val="32"/>
          <w:szCs w:val="32"/>
        </w:rPr>
        <w:t>类声环境功能区：指交通干线两侧一定距离之内，需要防止交通噪声对周围环境产生严重影响的区域，包括</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类和</w:t>
      </w:r>
      <w:r>
        <w:rPr>
          <w:rFonts w:ascii="Times New Roman" w:hAnsi="Times New Roman" w:eastAsia="方正仿宋_GBK" w:cs="Times New Roman"/>
          <w:sz w:val="32"/>
          <w:szCs w:val="32"/>
        </w:rPr>
        <w:t>4b</w:t>
      </w:r>
      <w:r>
        <w:rPr>
          <w:rFonts w:hint="eastAsia" w:ascii="Times New Roman" w:hAnsi="Times New Roman" w:eastAsia="方正仿宋_GBK" w:cs="方正仿宋_GBK"/>
          <w:sz w:val="32"/>
          <w:szCs w:val="32"/>
        </w:rPr>
        <w:t>类两种类型。</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类为高速公路、一级公路、二级公路、城市快速路、城市主干路、城市次干路、城市轨道交通（地面段）、内河航道两侧区域；</w:t>
      </w:r>
      <w:r>
        <w:rPr>
          <w:rFonts w:ascii="Times New Roman" w:hAnsi="Times New Roman" w:eastAsia="方正仿宋_GBK" w:cs="Times New Roman"/>
          <w:sz w:val="32"/>
          <w:szCs w:val="32"/>
        </w:rPr>
        <w:t>4b</w:t>
      </w:r>
      <w:r>
        <w:rPr>
          <w:rFonts w:hint="eastAsia" w:ascii="Times New Roman" w:hAnsi="Times New Roman" w:eastAsia="方正仿宋_GBK" w:cs="方正仿宋_GBK"/>
          <w:sz w:val="32"/>
          <w:szCs w:val="32"/>
        </w:rPr>
        <w:t>类为铁路干线两侧区域。</w:t>
      </w:r>
    </w:p>
    <w:p>
      <w:pPr>
        <w:pStyle w:val="10"/>
        <w:spacing w:line="540" w:lineRule="exact"/>
        <w:ind w:firstLine="31680"/>
        <w:outlineLvl w:val="0"/>
        <w:rPr>
          <w:rFonts w:ascii="方正黑体_GBK" w:hAnsi="Times New Roman" w:eastAsia="方正黑体_GBK" w:cs="Times New Roman"/>
          <w:sz w:val="32"/>
          <w:szCs w:val="32"/>
        </w:rPr>
      </w:pPr>
      <w:bookmarkStart w:id="6" w:name="_Toc23418"/>
      <w:r>
        <w:rPr>
          <w:rFonts w:hint="eastAsia" w:ascii="方正黑体_GBK" w:hAnsi="Times New Roman" w:eastAsia="方正黑体_GBK" w:cs="方正黑体_GBK"/>
          <w:sz w:val="32"/>
          <w:szCs w:val="32"/>
        </w:rPr>
        <w:t>三、声环境功能区划分结果</w:t>
      </w:r>
      <w:bookmarkEnd w:id="6"/>
    </w:p>
    <w:p>
      <w:pPr>
        <w:spacing w:line="540" w:lineRule="exact"/>
        <w:ind w:firstLine="643" w:firstLineChars="200"/>
        <w:outlineLvl w:val="2"/>
        <w:rPr>
          <w:rFonts w:ascii="方正楷体_GBK" w:hAnsi="Times New Roman" w:eastAsia="方正楷体_GBK" w:cs="Times New Roman"/>
          <w:b/>
          <w:bCs/>
          <w:sz w:val="32"/>
          <w:szCs w:val="32"/>
        </w:rPr>
      </w:pPr>
      <w:bookmarkStart w:id="7" w:name="_Toc29199"/>
      <w:r>
        <w:rPr>
          <w:rFonts w:hint="eastAsia" w:ascii="方正楷体_GBK" w:hAnsi="Times New Roman" w:eastAsia="方正楷体_GBK" w:cs="方正楷体_GBK"/>
          <w:b/>
          <w:bCs/>
          <w:sz w:val="32"/>
          <w:szCs w:val="32"/>
        </w:rPr>
        <w:t>（一）</w:t>
      </w:r>
      <w:r>
        <w:rPr>
          <w:rFonts w:ascii="方正楷体_GBK" w:hAnsi="Times New Roman" w:eastAsia="方正楷体_GBK" w:cs="方正楷体_GBK"/>
          <w:b/>
          <w:bCs/>
          <w:sz w:val="32"/>
          <w:szCs w:val="32"/>
        </w:rPr>
        <w:t>0</w:t>
      </w:r>
      <w:r>
        <w:rPr>
          <w:rFonts w:hint="eastAsia" w:ascii="方正楷体_GBK" w:hAnsi="Times New Roman" w:eastAsia="方正楷体_GBK" w:cs="方正楷体_GBK"/>
          <w:b/>
          <w:bCs/>
          <w:sz w:val="32"/>
          <w:szCs w:val="32"/>
        </w:rPr>
        <w:t>类声环境功能区</w:t>
      </w:r>
    </w:p>
    <w:p>
      <w:pPr>
        <w:pStyle w:val="10"/>
        <w:spacing w:line="540" w:lineRule="exact"/>
        <w:ind w:firstLine="3168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未划定</w:t>
      </w:r>
      <w:r>
        <w:rPr>
          <w:rFonts w:ascii="Times New Roman" w:hAnsi="Times New Roman" w:eastAsia="方正仿宋_GBK" w:cs="Times New Roman"/>
          <w:sz w:val="32"/>
          <w:szCs w:val="32"/>
        </w:rPr>
        <w:t>0</w:t>
      </w:r>
      <w:r>
        <w:rPr>
          <w:rFonts w:hint="eastAsia" w:ascii="Times New Roman" w:hAnsi="Times New Roman" w:eastAsia="方正仿宋_GBK" w:cs="方正仿宋_GBK"/>
          <w:sz w:val="32"/>
          <w:szCs w:val="32"/>
        </w:rPr>
        <w:t>类声环境功能区。</w:t>
      </w:r>
    </w:p>
    <w:p>
      <w:pPr>
        <w:spacing w:line="540" w:lineRule="exact"/>
        <w:ind w:firstLine="643" w:firstLineChars="200"/>
        <w:outlineLvl w:val="2"/>
        <w:rPr>
          <w:rFonts w:ascii="方正楷体_GBK" w:hAnsi="Times New Roman" w:eastAsia="方正楷体_GBK" w:cs="Times New Roman"/>
          <w:b/>
          <w:bCs/>
          <w:sz w:val="32"/>
          <w:szCs w:val="32"/>
        </w:rPr>
      </w:pPr>
      <w:r>
        <w:rPr>
          <w:rFonts w:hint="eastAsia" w:ascii="方正楷体_GBK" w:hAnsi="Times New Roman" w:eastAsia="方正楷体_GBK" w:cs="方正楷体_GBK"/>
          <w:b/>
          <w:bCs/>
          <w:sz w:val="32"/>
          <w:szCs w:val="32"/>
        </w:rPr>
        <w:t>（二）</w:t>
      </w:r>
      <w:r>
        <w:rPr>
          <w:rFonts w:ascii="方正楷体_GBK" w:hAnsi="Times New Roman" w:eastAsia="方正楷体_GBK" w:cs="方正楷体_GBK"/>
          <w:b/>
          <w:bCs/>
          <w:sz w:val="32"/>
          <w:szCs w:val="32"/>
        </w:rPr>
        <w:t xml:space="preserve"> 1</w:t>
      </w:r>
      <w:r>
        <w:rPr>
          <w:rFonts w:hint="eastAsia" w:ascii="方正楷体_GBK" w:hAnsi="Times New Roman" w:eastAsia="方正楷体_GBK" w:cs="方正楷体_GBK"/>
          <w:b/>
          <w:bCs/>
          <w:sz w:val="32"/>
          <w:szCs w:val="32"/>
        </w:rPr>
        <w:t>类声环境功能区</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w:t>
      </w:r>
      <w:r>
        <w:rPr>
          <w:rFonts w:hint="eastAsia" w:ascii="Times New Roman" w:hAnsi="Times New Roman" w:eastAsia="方正仿宋_GBK" w:cs="方正仿宋_GBK"/>
          <w:color w:val="auto"/>
          <w:sz w:val="32"/>
          <w:szCs w:val="32"/>
        </w:rPr>
        <w:t>类声环境功能区根据县城整体用地状况和规划情况，确定划分为</w:t>
      </w:r>
      <w:r>
        <w:rPr>
          <w:rFonts w:ascii="Times New Roman" w:hAnsi="Times New Roman" w:eastAsia="方正仿宋_GBK" w:cs="Times New Roman"/>
          <w:color w:val="auto"/>
          <w:sz w:val="32"/>
          <w:szCs w:val="32"/>
        </w:rPr>
        <w:t>6</w:t>
      </w:r>
      <w:r>
        <w:rPr>
          <w:rFonts w:hint="eastAsia" w:ascii="Times New Roman" w:hAnsi="Times New Roman" w:eastAsia="方正仿宋_GBK" w:cs="方正仿宋_GBK"/>
          <w:color w:val="auto"/>
          <w:sz w:val="32"/>
          <w:szCs w:val="32"/>
        </w:rPr>
        <w:t>大区块（</w:t>
      </w:r>
      <w:r>
        <w:rPr>
          <w:rFonts w:ascii="Times New Roman" w:hAnsi="Times New Roman" w:eastAsia="方正仿宋_GBK" w:cs="Times New Roman"/>
          <w:color w:val="auto"/>
          <w:sz w:val="32"/>
          <w:szCs w:val="32"/>
        </w:rPr>
        <w:t>1-01~1-06</w:t>
      </w:r>
      <w:r>
        <w:rPr>
          <w:rFonts w:hint="eastAsia" w:ascii="Times New Roman" w:hAnsi="Times New Roman" w:eastAsia="方正仿宋_GBK" w:cs="方正仿宋_GBK"/>
          <w:color w:val="auto"/>
          <w:sz w:val="32"/>
          <w:szCs w:val="32"/>
        </w:rPr>
        <w:t>）。</w:t>
      </w:r>
      <w:r>
        <w:rPr>
          <w:rFonts w:ascii="Times New Roman" w:hAnsi="Times New Roman" w:eastAsia="方正仿宋_GBK" w:cs="Times New Roman"/>
          <w:color w:val="auto"/>
          <w:sz w:val="32"/>
          <w:szCs w:val="32"/>
        </w:rPr>
        <w:t>6</w:t>
      </w:r>
      <w:r>
        <w:rPr>
          <w:rFonts w:hint="eastAsia" w:ascii="Times New Roman" w:hAnsi="Times New Roman" w:eastAsia="方正仿宋_GBK" w:cs="方正仿宋_GBK"/>
          <w:color w:val="auto"/>
          <w:sz w:val="32"/>
          <w:szCs w:val="32"/>
        </w:rPr>
        <w:t>大区块总面积</w:t>
      </w:r>
      <w:r>
        <w:rPr>
          <w:rFonts w:ascii="Times New Roman" w:hAnsi="Times New Roman" w:eastAsia="方正仿宋_GBK" w:cs="Times New Roman"/>
          <w:color w:val="auto"/>
          <w:sz w:val="32"/>
          <w:szCs w:val="32"/>
        </w:rPr>
        <w:t>27.48 km</w:t>
      </w:r>
      <w:r>
        <w:rPr>
          <w:rFonts w:ascii="Times New Roman" w:hAnsi="Times New Roman" w:eastAsia="方正仿宋_GBK" w:cs="Times New Roman"/>
          <w:color w:val="auto"/>
          <w:sz w:val="32"/>
          <w:szCs w:val="32"/>
          <w:vertAlign w:val="superscript"/>
        </w:rPr>
        <w:t>2</w:t>
      </w:r>
      <w:r>
        <w:rPr>
          <w:rFonts w:hint="eastAsia" w:ascii="Times New Roman" w:hAnsi="Times New Roman" w:eastAsia="方正仿宋_GBK" w:cs="方正仿宋_GBK"/>
          <w:color w:val="auto"/>
          <w:sz w:val="32"/>
          <w:szCs w:val="32"/>
        </w:rPr>
        <w:t>，占本次划分总面积的</w:t>
      </w:r>
      <w:r>
        <w:rPr>
          <w:rFonts w:ascii="Times New Roman" w:hAnsi="Times New Roman" w:eastAsia="方正仿宋_GBK" w:cs="Times New Roman"/>
          <w:color w:val="auto"/>
          <w:sz w:val="32"/>
          <w:szCs w:val="32"/>
        </w:rPr>
        <w:t>85.45%</w:t>
      </w:r>
      <w:r>
        <w:rPr>
          <w:rFonts w:hint="eastAsia" w:ascii="Times New Roman" w:hAnsi="Times New Roman" w:eastAsia="方正仿宋_GBK" w:cs="方正仿宋_GBK"/>
          <w:color w:val="auto"/>
          <w:sz w:val="32"/>
          <w:szCs w:val="32"/>
        </w:rPr>
        <w:t>，用地类型为居住用地、行政办公用地、教育科研用地、农村宅基地等，环境噪声限值昼间执行</w:t>
      </w:r>
      <w:r>
        <w:rPr>
          <w:rFonts w:ascii="Times New Roman" w:hAnsi="Times New Roman" w:eastAsia="方正仿宋_GBK" w:cs="Times New Roman"/>
          <w:color w:val="auto"/>
          <w:sz w:val="32"/>
          <w:szCs w:val="32"/>
        </w:rPr>
        <w:t>55dB</w:t>
      </w:r>
      <w:r>
        <w:rPr>
          <w:rFonts w:hint="eastAsia" w:ascii="Times New Roman" w:hAnsi="Times New Roman" w:eastAsia="方正仿宋_GBK" w:cs="方正仿宋_GBK"/>
          <w:color w:val="auto"/>
          <w:sz w:val="32"/>
          <w:szCs w:val="32"/>
        </w:rPr>
        <w:t>（</w:t>
      </w:r>
      <w:r>
        <w:rPr>
          <w:rFonts w:ascii="Times New Roman" w:hAnsi="Times New Roman" w:eastAsia="方正仿宋_GBK" w:cs="Times New Roman"/>
          <w:color w:val="auto"/>
          <w:sz w:val="32"/>
          <w:szCs w:val="32"/>
        </w:rPr>
        <w:t>A</w:t>
      </w:r>
      <w:r>
        <w:rPr>
          <w:rFonts w:hint="eastAsia" w:ascii="Times New Roman" w:hAnsi="Times New Roman" w:eastAsia="方正仿宋_GBK" w:cs="方正仿宋_GBK"/>
          <w:color w:val="auto"/>
          <w:sz w:val="32"/>
          <w:szCs w:val="32"/>
        </w:rPr>
        <w:t>）、夜间执行</w:t>
      </w:r>
      <w:r>
        <w:rPr>
          <w:rFonts w:ascii="Times New Roman" w:hAnsi="Times New Roman" w:eastAsia="方正仿宋_GBK" w:cs="Times New Roman"/>
          <w:color w:val="auto"/>
          <w:sz w:val="32"/>
          <w:szCs w:val="32"/>
        </w:rPr>
        <w:t>45dB</w:t>
      </w:r>
      <w:r>
        <w:rPr>
          <w:rFonts w:hint="eastAsia" w:ascii="Times New Roman" w:hAnsi="Times New Roman" w:eastAsia="方正仿宋_GBK" w:cs="方正仿宋_GBK"/>
          <w:color w:val="auto"/>
          <w:sz w:val="32"/>
          <w:szCs w:val="32"/>
        </w:rPr>
        <w:t>（</w:t>
      </w:r>
      <w:r>
        <w:rPr>
          <w:rFonts w:ascii="Times New Roman" w:hAnsi="Times New Roman" w:eastAsia="方正仿宋_GBK" w:cs="Times New Roman"/>
          <w:color w:val="auto"/>
          <w:sz w:val="32"/>
          <w:szCs w:val="32"/>
        </w:rPr>
        <w:t>A</w:t>
      </w:r>
      <w:r>
        <w:rPr>
          <w:rFonts w:hint="eastAsia" w:ascii="Times New Roman" w:hAnsi="Times New Roman" w:eastAsia="方正仿宋_GBK" w:cs="方正仿宋_GBK"/>
          <w:color w:val="auto"/>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1-01</w:t>
      </w:r>
      <w:r>
        <w:rPr>
          <w:rFonts w:hint="eastAsia" w:ascii="Times New Roman" w:hAnsi="Times New Roman" w:eastAsia="方正仿宋_GBK" w:cs="方正仿宋_GBK"/>
          <w:sz w:val="32"/>
          <w:szCs w:val="32"/>
        </w:rPr>
        <w:t>区块：贺兰山路以南，西环路</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玉丰路</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怀远路</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玉皇阁大道</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西环路以东，陶沙路以北，翰林大街以西区域。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1-02</w:t>
      </w:r>
      <w:r>
        <w:rPr>
          <w:rFonts w:hint="eastAsia" w:ascii="Times New Roman" w:hAnsi="Times New Roman" w:eastAsia="方正仿宋_GBK" w:cs="方正仿宋_GBK"/>
          <w:color w:val="auto"/>
          <w:sz w:val="32"/>
          <w:szCs w:val="32"/>
        </w:rPr>
        <w:t>区块：德渊路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萧公大街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贺兰山路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翰林大街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唐徕渠</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北环路围成区域。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1-03</w:t>
      </w:r>
      <w:r>
        <w:rPr>
          <w:rFonts w:hint="eastAsia" w:ascii="Times New Roman" w:hAnsi="Times New Roman" w:eastAsia="方正仿宋_GBK" w:cs="方正仿宋_GBK"/>
          <w:color w:val="auto"/>
          <w:sz w:val="32"/>
          <w:szCs w:val="32"/>
        </w:rPr>
        <w:t>区块：唐徕渠</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翰林大街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东环路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规划次干路</w:t>
      </w:r>
      <w:r>
        <w:rPr>
          <w:rFonts w:ascii="Times New Roman" w:hAnsi="Times New Roman" w:eastAsia="方正仿宋_GBK" w:cs="Times New Roman"/>
          <w:color w:val="auto"/>
          <w:sz w:val="32"/>
          <w:szCs w:val="32"/>
        </w:rPr>
        <w:t>-109</w:t>
      </w:r>
      <w:r>
        <w:rPr>
          <w:rFonts w:hint="eastAsia" w:ascii="Times New Roman" w:hAnsi="Times New Roman" w:eastAsia="方正仿宋_GBK" w:cs="方正仿宋_GBK"/>
          <w:color w:val="auto"/>
          <w:sz w:val="32"/>
          <w:szCs w:val="32"/>
        </w:rPr>
        <w:t>国道</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北环路围成区域。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1-04</w:t>
      </w:r>
      <w:r>
        <w:rPr>
          <w:rFonts w:hint="eastAsia" w:ascii="Times New Roman" w:hAnsi="Times New Roman" w:eastAsia="方正仿宋_GBK" w:cs="方正仿宋_GBK"/>
          <w:color w:val="auto"/>
          <w:sz w:val="32"/>
          <w:szCs w:val="32"/>
        </w:rPr>
        <w:t>区块：唐徕渠</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玉龚路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唐徕大街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规划路次干路</w:t>
      </w:r>
      <w:r>
        <w:rPr>
          <w:rFonts w:ascii="Times New Roman" w:hAnsi="Times New Roman" w:eastAsia="方正仿宋_GBK" w:cs="Times New Roman"/>
          <w:color w:val="auto"/>
          <w:sz w:val="32"/>
          <w:szCs w:val="32"/>
        </w:rPr>
        <w:t>-109</w:t>
      </w:r>
      <w:r>
        <w:rPr>
          <w:rFonts w:hint="eastAsia" w:ascii="Times New Roman" w:hAnsi="Times New Roman" w:eastAsia="方正仿宋_GBK" w:cs="方正仿宋_GBK"/>
          <w:color w:val="auto"/>
          <w:sz w:val="32"/>
          <w:szCs w:val="32"/>
        </w:rPr>
        <w:t>国道</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规划次干路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东环路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翰林大街围成区域。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1-05</w:t>
      </w:r>
      <w:r>
        <w:rPr>
          <w:rFonts w:hint="eastAsia" w:ascii="Times New Roman" w:hAnsi="Times New Roman" w:eastAsia="方正仿宋_GBK" w:cs="方正仿宋_GBK"/>
          <w:color w:val="auto"/>
          <w:sz w:val="32"/>
          <w:szCs w:val="32"/>
        </w:rPr>
        <w:t>区块：唐徕渠</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翰林大街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规划主干路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鼓楼北街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永安东路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唐徕大街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鼓楼东路</w:t>
      </w:r>
      <w:r>
        <w:rPr>
          <w:rFonts w:ascii="Times New Roman" w:hAnsi="Times New Roman" w:eastAsia="方正仿宋_GBK" w:cs="Times New Roman"/>
          <w:color w:val="auto"/>
          <w:sz w:val="32"/>
          <w:szCs w:val="32"/>
        </w:rPr>
        <w:t>-109</w:t>
      </w:r>
      <w:r>
        <w:rPr>
          <w:rFonts w:hint="eastAsia" w:ascii="Times New Roman" w:hAnsi="Times New Roman" w:eastAsia="方正仿宋_GBK" w:cs="方正仿宋_GBK"/>
          <w:color w:val="auto"/>
          <w:sz w:val="32"/>
          <w:szCs w:val="32"/>
        </w:rPr>
        <w:t>国道</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团结西路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东环路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规划次干路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玉龚路围成区域。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1-06</w:t>
      </w:r>
      <w:r>
        <w:rPr>
          <w:rFonts w:hint="eastAsia" w:ascii="Times New Roman" w:hAnsi="Times New Roman" w:eastAsia="方正仿宋_GBK" w:cs="方正仿宋_GBK"/>
          <w:color w:val="auto"/>
          <w:sz w:val="32"/>
          <w:szCs w:val="32"/>
        </w:rPr>
        <w:t>区块：鼓楼东路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唐徕大街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永安东路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鼓楼北街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规划主干路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翰林大街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陶沙路</w:t>
      </w:r>
      <w:r>
        <w:rPr>
          <w:rFonts w:ascii="Times New Roman" w:hAnsi="Times New Roman" w:eastAsia="方正仿宋_GBK" w:cs="Times New Roman"/>
          <w:color w:val="auto"/>
          <w:sz w:val="32"/>
          <w:szCs w:val="32"/>
        </w:rPr>
        <w:t>-109</w:t>
      </w:r>
      <w:r>
        <w:rPr>
          <w:rFonts w:hint="eastAsia" w:ascii="Times New Roman" w:hAnsi="Times New Roman" w:eastAsia="方正仿宋_GBK" w:cs="方正仿宋_GBK"/>
          <w:color w:val="auto"/>
          <w:sz w:val="32"/>
          <w:szCs w:val="32"/>
        </w:rPr>
        <w:t>国道围成区域。</w:t>
      </w:r>
    </w:p>
    <w:p>
      <w:pPr>
        <w:spacing w:line="540" w:lineRule="exact"/>
        <w:ind w:firstLine="643" w:firstLineChars="200"/>
        <w:outlineLvl w:val="2"/>
        <w:rPr>
          <w:rFonts w:ascii="Times New Roman" w:hAnsi="Times New Roman" w:eastAsia="方正仿宋_GBK" w:cs="Times New Roman"/>
          <w:b/>
          <w:bCs/>
          <w:sz w:val="32"/>
          <w:szCs w:val="32"/>
        </w:rPr>
      </w:pPr>
      <w:r>
        <w:rPr>
          <w:rFonts w:hint="eastAsia" w:ascii="Times New Roman" w:hAnsi="Times New Roman" w:eastAsia="方正仿宋_GBK" w:cs="方正仿宋_GBK"/>
          <w:b/>
          <w:bCs/>
          <w:sz w:val="32"/>
          <w:szCs w:val="32"/>
        </w:rPr>
        <w:t>（三）</w:t>
      </w:r>
      <w:r>
        <w:rPr>
          <w:rFonts w:ascii="Times New Roman" w:hAnsi="Times New Roman" w:eastAsia="方正仿宋_GBK" w:cs="Times New Roman"/>
          <w:b/>
          <w:bCs/>
          <w:sz w:val="32"/>
          <w:szCs w:val="32"/>
        </w:rPr>
        <w:t>2</w:t>
      </w:r>
      <w:r>
        <w:rPr>
          <w:rFonts w:hint="eastAsia" w:ascii="Times New Roman" w:hAnsi="Times New Roman" w:eastAsia="方正仿宋_GBK" w:cs="方正仿宋_GBK"/>
          <w:b/>
          <w:bCs/>
          <w:sz w:val="32"/>
          <w:szCs w:val="32"/>
        </w:rPr>
        <w:t>类声环境功能区</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w:t>
      </w:r>
      <w:r>
        <w:rPr>
          <w:rFonts w:hint="eastAsia" w:ascii="Times New Roman" w:hAnsi="Times New Roman" w:eastAsia="方正仿宋_GBK" w:cs="方正仿宋_GBK"/>
          <w:color w:val="auto"/>
          <w:sz w:val="32"/>
          <w:szCs w:val="32"/>
        </w:rPr>
        <w:t>类声环境功能区根据县城整体用地状况和规划情况，确定划分为</w:t>
      </w:r>
      <w:r>
        <w:rPr>
          <w:rFonts w:ascii="Times New Roman" w:hAnsi="Times New Roman" w:eastAsia="方正仿宋_GBK" w:cs="Times New Roman"/>
          <w:color w:val="auto"/>
          <w:sz w:val="32"/>
          <w:szCs w:val="32"/>
        </w:rPr>
        <w:t>4</w:t>
      </w:r>
      <w:r>
        <w:rPr>
          <w:rFonts w:hint="eastAsia" w:ascii="Times New Roman" w:hAnsi="Times New Roman" w:eastAsia="方正仿宋_GBK" w:cs="方正仿宋_GBK"/>
          <w:color w:val="auto"/>
          <w:sz w:val="32"/>
          <w:szCs w:val="32"/>
        </w:rPr>
        <w:t>大区块（</w:t>
      </w:r>
      <w:r>
        <w:rPr>
          <w:rFonts w:ascii="Times New Roman" w:hAnsi="Times New Roman" w:eastAsia="方正仿宋_GBK" w:cs="Times New Roman"/>
          <w:color w:val="auto"/>
          <w:sz w:val="32"/>
          <w:szCs w:val="32"/>
        </w:rPr>
        <w:t>2-01~2-04</w:t>
      </w:r>
      <w:r>
        <w:rPr>
          <w:rFonts w:hint="eastAsia" w:ascii="Times New Roman" w:hAnsi="Times New Roman" w:eastAsia="方正仿宋_GBK" w:cs="方正仿宋_GBK"/>
          <w:color w:val="auto"/>
          <w:sz w:val="32"/>
          <w:szCs w:val="32"/>
        </w:rPr>
        <w:t>）。</w:t>
      </w:r>
      <w:r>
        <w:rPr>
          <w:rFonts w:ascii="Times New Roman" w:hAnsi="Times New Roman" w:eastAsia="方正仿宋_GBK" w:cs="Times New Roman"/>
          <w:color w:val="auto"/>
          <w:sz w:val="32"/>
          <w:szCs w:val="32"/>
        </w:rPr>
        <w:t>4</w:t>
      </w:r>
      <w:r>
        <w:rPr>
          <w:rFonts w:hint="eastAsia" w:ascii="Times New Roman" w:hAnsi="Times New Roman" w:eastAsia="方正仿宋_GBK" w:cs="方正仿宋_GBK"/>
          <w:color w:val="auto"/>
          <w:sz w:val="32"/>
          <w:szCs w:val="32"/>
        </w:rPr>
        <w:t>大区块总面积</w:t>
      </w:r>
      <w:r>
        <w:rPr>
          <w:rFonts w:ascii="Times New Roman" w:hAnsi="Times New Roman" w:eastAsia="方正仿宋_GBK" w:cs="Times New Roman"/>
          <w:color w:val="auto"/>
          <w:sz w:val="32"/>
          <w:szCs w:val="32"/>
        </w:rPr>
        <w:t>2.94 km</w:t>
      </w:r>
      <w:r>
        <w:rPr>
          <w:rFonts w:ascii="Times New Roman" w:hAnsi="Times New Roman" w:eastAsia="方正仿宋_GBK" w:cs="Times New Roman"/>
          <w:color w:val="auto"/>
          <w:sz w:val="32"/>
          <w:szCs w:val="32"/>
          <w:vertAlign w:val="superscript"/>
        </w:rPr>
        <w:t>2</w:t>
      </w:r>
      <w:r>
        <w:rPr>
          <w:rFonts w:hint="eastAsia" w:ascii="Times New Roman" w:hAnsi="Times New Roman" w:eastAsia="方正仿宋_GBK" w:cs="方正仿宋_GBK"/>
          <w:color w:val="auto"/>
          <w:sz w:val="32"/>
          <w:szCs w:val="32"/>
        </w:rPr>
        <w:t>，占本次划分总面积的</w:t>
      </w:r>
      <w:r>
        <w:rPr>
          <w:rFonts w:ascii="Times New Roman" w:hAnsi="Times New Roman" w:eastAsia="方正仿宋_GBK" w:cs="Times New Roman"/>
          <w:color w:val="auto"/>
          <w:sz w:val="32"/>
          <w:szCs w:val="32"/>
        </w:rPr>
        <w:t>9.14%</w:t>
      </w:r>
      <w:r>
        <w:rPr>
          <w:rFonts w:hint="eastAsia" w:ascii="Times New Roman" w:hAnsi="Times New Roman" w:eastAsia="方正仿宋_GBK" w:cs="方正仿宋_GBK"/>
          <w:color w:val="auto"/>
          <w:sz w:val="32"/>
          <w:szCs w:val="32"/>
        </w:rPr>
        <w:t>，用地类型主要有居住用地、商业用地、教育科研用地、行政办公用地等，环境噪声限值昼间执行</w:t>
      </w:r>
      <w:r>
        <w:rPr>
          <w:rFonts w:ascii="Times New Roman" w:hAnsi="Times New Roman" w:eastAsia="方正仿宋_GBK" w:cs="Times New Roman"/>
          <w:color w:val="auto"/>
          <w:sz w:val="32"/>
          <w:szCs w:val="32"/>
        </w:rPr>
        <w:t xml:space="preserve"> 60dB(A)</w:t>
      </w:r>
      <w:r>
        <w:rPr>
          <w:rFonts w:hint="eastAsia" w:ascii="Times New Roman" w:hAnsi="Times New Roman" w:eastAsia="方正仿宋_GBK" w:cs="方正仿宋_GBK"/>
          <w:color w:val="auto"/>
          <w:sz w:val="32"/>
          <w:szCs w:val="32"/>
        </w:rPr>
        <w:t>、夜间执行</w:t>
      </w:r>
      <w:r>
        <w:rPr>
          <w:rFonts w:ascii="Times New Roman" w:hAnsi="Times New Roman" w:eastAsia="方正仿宋_GBK" w:cs="Times New Roman"/>
          <w:color w:val="auto"/>
          <w:sz w:val="32"/>
          <w:szCs w:val="32"/>
        </w:rPr>
        <w:t xml:space="preserve"> 50dB(A)</w:t>
      </w:r>
      <w:r>
        <w:rPr>
          <w:rFonts w:hint="eastAsia" w:ascii="Times New Roman" w:hAnsi="Times New Roman" w:eastAsia="方正仿宋_GBK" w:cs="方正仿宋_GBK"/>
          <w:color w:val="auto"/>
          <w:sz w:val="32"/>
          <w:szCs w:val="32"/>
        </w:rPr>
        <w:t>。</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2-01</w:t>
      </w:r>
      <w:r>
        <w:rPr>
          <w:rFonts w:hint="eastAsia" w:ascii="Times New Roman" w:hAnsi="Times New Roman" w:eastAsia="方正仿宋_GBK" w:cs="方正仿宋_GBK"/>
          <w:color w:val="auto"/>
          <w:sz w:val="32"/>
          <w:szCs w:val="32"/>
        </w:rPr>
        <w:t>区块：玉丰路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西环路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玉皇阁大道</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怀远路围成区域。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2-02</w:t>
      </w:r>
      <w:r>
        <w:rPr>
          <w:rFonts w:hint="eastAsia" w:ascii="Times New Roman" w:hAnsi="Times New Roman" w:eastAsia="方正仿宋_GBK" w:cs="方正仿宋_GBK"/>
          <w:color w:val="auto"/>
          <w:sz w:val="32"/>
          <w:szCs w:val="32"/>
        </w:rPr>
        <w:t>区块：翰林大街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唐徕渠围成区域。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2-03</w:t>
      </w:r>
      <w:r>
        <w:rPr>
          <w:rFonts w:hint="eastAsia" w:ascii="Times New Roman" w:hAnsi="Times New Roman" w:eastAsia="方正仿宋_GBK" w:cs="方正仿宋_GBK"/>
          <w:color w:val="auto"/>
          <w:sz w:val="32"/>
          <w:szCs w:val="32"/>
        </w:rPr>
        <w:t>区块：翰林大街</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陶沙路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规划次干路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区域道路围成区域。</w:t>
      </w:r>
    </w:p>
    <w:p>
      <w:pPr>
        <w:pStyle w:val="2"/>
        <w:spacing w:after="0" w:line="540" w:lineRule="exact"/>
        <w:ind w:left="0" w:leftChars="0" w:firstLine="3168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2-04</w:t>
      </w:r>
      <w:r>
        <w:rPr>
          <w:rFonts w:hint="eastAsia" w:ascii="Times New Roman" w:hAnsi="Times New Roman" w:eastAsia="方正仿宋_GBK" w:cs="方正仿宋_GBK"/>
          <w:color w:val="auto"/>
          <w:sz w:val="32"/>
          <w:szCs w:val="32"/>
        </w:rPr>
        <w:t>区块：规划次干路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东环路</w:t>
      </w:r>
      <w:r>
        <w:rPr>
          <w:rFonts w:ascii="Times New Roman" w:hAnsi="Times New Roman" w:eastAsia="方正仿宋_GBK" w:cs="Times New Roman"/>
          <w:color w:val="auto"/>
          <w:sz w:val="32"/>
          <w:szCs w:val="32"/>
        </w:rPr>
        <w:t>-</w:t>
      </w:r>
      <w:r>
        <w:rPr>
          <w:rFonts w:hint="eastAsia" w:ascii="Times New Roman" w:hAnsi="Times New Roman" w:eastAsia="方正仿宋_GBK" w:cs="方正仿宋_GBK"/>
          <w:color w:val="auto"/>
          <w:sz w:val="32"/>
          <w:szCs w:val="32"/>
        </w:rPr>
        <w:t>团结西路</w:t>
      </w:r>
      <w:r>
        <w:rPr>
          <w:rFonts w:ascii="Times New Roman" w:hAnsi="Times New Roman" w:eastAsia="方正仿宋_GBK" w:cs="Times New Roman"/>
          <w:color w:val="auto"/>
          <w:sz w:val="32"/>
          <w:szCs w:val="32"/>
        </w:rPr>
        <w:t>-109</w:t>
      </w:r>
      <w:r>
        <w:rPr>
          <w:rFonts w:hint="eastAsia" w:ascii="Times New Roman" w:hAnsi="Times New Roman" w:eastAsia="方正仿宋_GBK" w:cs="方正仿宋_GBK"/>
          <w:color w:val="auto"/>
          <w:sz w:val="32"/>
          <w:szCs w:val="32"/>
        </w:rPr>
        <w:t>国道围成区域。</w:t>
      </w:r>
    </w:p>
    <w:p>
      <w:pPr>
        <w:spacing w:line="540" w:lineRule="exact"/>
        <w:ind w:firstLine="643" w:firstLineChars="200"/>
        <w:outlineLvl w:val="2"/>
        <w:rPr>
          <w:rFonts w:ascii="Times New Roman" w:hAnsi="Times New Roman" w:eastAsia="方正仿宋_GBK" w:cs="Times New Roman"/>
          <w:b/>
          <w:bCs/>
          <w:sz w:val="32"/>
          <w:szCs w:val="32"/>
        </w:rPr>
      </w:pPr>
      <w:r>
        <w:rPr>
          <w:rFonts w:hint="eastAsia" w:ascii="Times New Roman" w:hAnsi="Times New Roman" w:eastAsia="方正仿宋_GBK" w:cs="方正仿宋_GBK"/>
          <w:b/>
          <w:bCs/>
          <w:sz w:val="32"/>
          <w:szCs w:val="32"/>
        </w:rPr>
        <w:t>（四）</w:t>
      </w:r>
      <w:r>
        <w:rPr>
          <w:rFonts w:ascii="Times New Roman" w:hAnsi="Times New Roman" w:eastAsia="方正仿宋_GBK" w:cs="Times New Roman"/>
          <w:b/>
          <w:bCs/>
          <w:sz w:val="32"/>
          <w:szCs w:val="32"/>
        </w:rPr>
        <w:t>3</w:t>
      </w:r>
      <w:r>
        <w:rPr>
          <w:rFonts w:hint="eastAsia" w:ascii="Times New Roman" w:hAnsi="Times New Roman" w:eastAsia="方正仿宋_GBK" w:cs="方正仿宋_GBK"/>
          <w:b/>
          <w:bCs/>
          <w:sz w:val="32"/>
          <w:szCs w:val="32"/>
        </w:rPr>
        <w:t>类声环境功能区</w:t>
      </w:r>
    </w:p>
    <w:p>
      <w:pPr>
        <w:spacing w:line="540" w:lineRule="exact"/>
        <w:ind w:firstLine="640" w:firstLineChars="200"/>
        <w:outlineLvl w:val="2"/>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类声环境功能区根据县城整体用地状况和规划情况，确定划分</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个区块（</w:t>
      </w:r>
      <w:r>
        <w:rPr>
          <w:rFonts w:ascii="Times New Roman" w:hAnsi="Times New Roman" w:eastAsia="方正仿宋_GBK" w:cs="Times New Roman"/>
          <w:sz w:val="32"/>
          <w:szCs w:val="32"/>
        </w:rPr>
        <w:t>3-01</w:t>
      </w:r>
      <w:r>
        <w:rPr>
          <w:rFonts w:hint="eastAsia" w:ascii="Times New Roman" w:hAnsi="Times New Roman" w:eastAsia="方正仿宋_GBK" w:cs="方正仿宋_GBK"/>
          <w:sz w:val="32"/>
          <w:szCs w:val="32"/>
        </w:rPr>
        <w:t>），由北环路</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贺兰山路</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萧公大街</w:t>
      </w:r>
      <w:r>
        <w:rPr>
          <w:rFonts w:ascii="Times New Roman" w:hAnsi="Times New Roman" w:eastAsia="方正仿宋_GBK" w:cs="Times New Roman"/>
          <w:sz w:val="32"/>
          <w:szCs w:val="32"/>
        </w:rPr>
        <w:t>-</w:t>
      </w:r>
      <w:r>
        <w:rPr>
          <w:rFonts w:hint="eastAsia" w:ascii="Times New Roman" w:hAnsi="Times New Roman" w:eastAsia="方正仿宋_GBK" w:cs="方正仿宋_GBK"/>
          <w:sz w:val="32"/>
          <w:szCs w:val="32"/>
        </w:rPr>
        <w:t>德渊路围成区域。</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类声环境功能区总面积为</w:t>
      </w:r>
      <w:r>
        <w:rPr>
          <w:rFonts w:ascii="Times New Roman" w:hAnsi="Times New Roman" w:eastAsia="方正仿宋_GBK" w:cs="Times New Roman"/>
          <w:sz w:val="32"/>
          <w:szCs w:val="32"/>
        </w:rPr>
        <w:t>1.74 km</w:t>
      </w:r>
      <w:r>
        <w:rPr>
          <w:rFonts w:ascii="Times New Roman" w:hAnsi="Times New Roman" w:eastAsia="方正仿宋_GBK" w:cs="Times New Roman"/>
          <w:sz w:val="32"/>
          <w:szCs w:val="32"/>
          <w:vertAlign w:val="superscript"/>
        </w:rPr>
        <w:t>2</w:t>
      </w:r>
      <w:r>
        <w:rPr>
          <w:rFonts w:hint="eastAsia" w:ascii="Times New Roman" w:hAnsi="Times New Roman" w:eastAsia="方正仿宋_GBK" w:cs="方正仿宋_GBK"/>
          <w:sz w:val="32"/>
          <w:szCs w:val="32"/>
        </w:rPr>
        <w:t>，占本次区划总面积的</w:t>
      </w:r>
      <w:r>
        <w:rPr>
          <w:rFonts w:ascii="Times New Roman" w:hAnsi="Times New Roman" w:eastAsia="方正仿宋_GBK" w:cs="Times New Roman"/>
          <w:sz w:val="32"/>
          <w:szCs w:val="32"/>
        </w:rPr>
        <w:t>5.41%</w:t>
      </w:r>
      <w:r>
        <w:rPr>
          <w:rFonts w:hint="eastAsia" w:ascii="Times New Roman" w:hAnsi="Times New Roman" w:eastAsia="方正仿宋_GBK" w:cs="方正仿宋_GBK"/>
          <w:sz w:val="32"/>
          <w:szCs w:val="32"/>
        </w:rPr>
        <w:t>。该区域主要为工业用地，其次面积分布较多为空地，夹杂零星的住宅和停车场，环境噪声限值昼间执行</w:t>
      </w:r>
      <w:r>
        <w:rPr>
          <w:rFonts w:ascii="Times New Roman" w:hAnsi="Times New Roman" w:eastAsia="方正仿宋_GBK" w:cs="Times New Roman"/>
          <w:sz w:val="32"/>
          <w:szCs w:val="32"/>
        </w:rPr>
        <w:t xml:space="preserve"> 65dB(A)</w:t>
      </w:r>
      <w:r>
        <w:rPr>
          <w:rFonts w:hint="eastAsia" w:ascii="Times New Roman" w:hAnsi="Times New Roman" w:eastAsia="方正仿宋_GBK" w:cs="方正仿宋_GBK"/>
          <w:sz w:val="32"/>
          <w:szCs w:val="32"/>
        </w:rPr>
        <w:t>、夜间执行</w:t>
      </w:r>
      <w:r>
        <w:rPr>
          <w:rFonts w:ascii="Times New Roman" w:hAnsi="Times New Roman" w:eastAsia="方正仿宋_GBK" w:cs="Times New Roman"/>
          <w:sz w:val="32"/>
          <w:szCs w:val="32"/>
        </w:rPr>
        <w:t xml:space="preserve"> 55dB(A)</w:t>
      </w:r>
      <w:r>
        <w:rPr>
          <w:rFonts w:hint="eastAsia" w:ascii="Times New Roman" w:hAnsi="Times New Roman" w:eastAsia="方正仿宋_GBK" w:cs="方正仿宋_GBK"/>
          <w:sz w:val="32"/>
          <w:szCs w:val="32"/>
        </w:rPr>
        <w:t>。</w:t>
      </w:r>
    </w:p>
    <w:p>
      <w:pPr>
        <w:spacing w:line="540" w:lineRule="exact"/>
        <w:ind w:firstLine="643" w:firstLineChars="200"/>
        <w:outlineLvl w:val="2"/>
        <w:rPr>
          <w:rFonts w:ascii="Times New Roman" w:hAnsi="Times New Roman" w:eastAsia="方正仿宋_GBK" w:cs="Times New Roman"/>
          <w:b/>
          <w:bCs/>
          <w:sz w:val="32"/>
          <w:szCs w:val="32"/>
        </w:rPr>
      </w:pPr>
      <w:r>
        <w:rPr>
          <w:rFonts w:hint="eastAsia" w:ascii="Times New Roman" w:hAnsi="Times New Roman" w:eastAsia="方正仿宋_GBK" w:cs="方正仿宋_GBK"/>
          <w:b/>
          <w:bCs/>
          <w:sz w:val="32"/>
          <w:szCs w:val="32"/>
        </w:rPr>
        <w:t>（五）</w:t>
      </w:r>
      <w:r>
        <w:rPr>
          <w:rFonts w:ascii="Times New Roman" w:hAnsi="Times New Roman" w:eastAsia="方正仿宋_GBK" w:cs="Times New Roman"/>
          <w:b/>
          <w:bCs/>
          <w:sz w:val="32"/>
          <w:szCs w:val="32"/>
        </w:rPr>
        <w:t xml:space="preserve"> 4a</w:t>
      </w:r>
      <w:r>
        <w:rPr>
          <w:rFonts w:hint="eastAsia" w:ascii="Times New Roman" w:hAnsi="Times New Roman" w:eastAsia="方正仿宋_GBK" w:cs="方正仿宋_GBK"/>
          <w:b/>
          <w:bCs/>
          <w:sz w:val="32"/>
          <w:szCs w:val="32"/>
        </w:rPr>
        <w:t>类声环境功能区</w:t>
      </w:r>
    </w:p>
    <w:p>
      <w:pPr>
        <w:spacing w:line="540" w:lineRule="exact"/>
        <w:ind w:firstLine="640"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平罗县县城内主干道路</w:t>
      </w:r>
      <w:r>
        <w:rPr>
          <w:rFonts w:ascii="Times New Roman" w:hAnsi="Times New Roman" w:eastAsia="方正仿宋_GBK" w:cs="Times New Roman"/>
          <w:sz w:val="32"/>
          <w:szCs w:val="32"/>
        </w:rPr>
        <w:t>18</w:t>
      </w:r>
      <w:r>
        <w:rPr>
          <w:rFonts w:hint="eastAsia" w:ascii="Times New Roman" w:hAnsi="Times New Roman" w:eastAsia="方正仿宋_GBK" w:cs="方正仿宋_GBK"/>
          <w:sz w:val="32"/>
          <w:szCs w:val="32"/>
        </w:rPr>
        <w:t>条，次干道路</w:t>
      </w:r>
      <w:r>
        <w:rPr>
          <w:rFonts w:ascii="Times New Roman" w:hAnsi="Times New Roman" w:eastAsia="方正仿宋_GBK" w:cs="Times New Roman"/>
          <w:sz w:val="32"/>
          <w:szCs w:val="32"/>
        </w:rPr>
        <w:t>11</w:t>
      </w:r>
      <w:r>
        <w:rPr>
          <w:rFonts w:hint="eastAsia" w:ascii="Times New Roman" w:hAnsi="Times New Roman" w:eastAsia="方正仿宋_GBK" w:cs="方正仿宋_GBK"/>
          <w:sz w:val="32"/>
          <w:szCs w:val="32"/>
        </w:rPr>
        <w:t>条两旁一定范围内的区域，总长度</w:t>
      </w:r>
      <w:r>
        <w:rPr>
          <w:rFonts w:ascii="Times New Roman" w:hAnsi="Times New Roman" w:eastAsia="方正仿宋_GBK" w:cs="Times New Roman"/>
          <w:sz w:val="32"/>
          <w:szCs w:val="32"/>
        </w:rPr>
        <w:t>102.93 km</w:t>
      </w:r>
      <w:r>
        <w:rPr>
          <w:rFonts w:hint="eastAsia" w:ascii="Times New Roman" w:hAnsi="Times New Roman" w:eastAsia="方正仿宋_GBK" w:cs="方正仿宋_GBK"/>
          <w:sz w:val="32"/>
          <w:szCs w:val="32"/>
        </w:rPr>
        <w:t>。当临街建筑以高于三层楼房以上（含三层）为主，将临街建筑面向道路一侧至道路边界线的区域（含第一排建筑物）划为</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类声环境功能区。并排的两个建筑物临路一侧的相邻两点间距离小于或等于</w:t>
      </w:r>
      <w:r>
        <w:rPr>
          <w:rFonts w:ascii="Times New Roman" w:hAnsi="Times New Roman" w:eastAsia="方正仿宋_GBK" w:cs="Times New Roman"/>
          <w:sz w:val="32"/>
          <w:szCs w:val="32"/>
        </w:rPr>
        <w:t>20</w:t>
      </w:r>
      <w:r>
        <w:rPr>
          <w:rFonts w:hint="eastAsia" w:ascii="Times New Roman" w:hAnsi="Times New Roman" w:eastAsia="方正仿宋_GBK" w:cs="方正仿宋_GBK"/>
          <w:sz w:val="32"/>
          <w:szCs w:val="32"/>
        </w:rPr>
        <w:t>米时，视同直线连接。当临街建筑以低于三层楼房的建筑（含开阔地）为主，将道路边界线外一定距离以内的区域划为</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类声环境功能区，距离的确定方法如下：</w:t>
      </w:r>
    </w:p>
    <w:p>
      <w:pPr>
        <w:spacing w:line="540" w:lineRule="exact"/>
        <w:ind w:firstLine="640" w:firstLineChars="200"/>
        <w:outlineLvl w:val="2"/>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相邻区域为</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类声环境功能区，距离为</w:t>
      </w:r>
      <w:r>
        <w:rPr>
          <w:rFonts w:ascii="Times New Roman" w:hAnsi="Times New Roman" w:eastAsia="方正仿宋_GBK" w:cs="Times New Roman"/>
          <w:sz w:val="32"/>
          <w:szCs w:val="32"/>
        </w:rPr>
        <w:t>50</w:t>
      </w:r>
      <w:r>
        <w:rPr>
          <w:rFonts w:hint="eastAsia" w:ascii="Times New Roman" w:hAnsi="Times New Roman" w:eastAsia="方正仿宋_GBK" w:cs="方正仿宋_GBK"/>
          <w:sz w:val="32"/>
          <w:szCs w:val="32"/>
        </w:rPr>
        <w:t>米；</w:t>
      </w:r>
    </w:p>
    <w:p>
      <w:pPr>
        <w:spacing w:line="540" w:lineRule="exact"/>
        <w:ind w:firstLine="640" w:firstLineChars="200"/>
        <w:outlineLvl w:val="2"/>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相邻区域为</w:t>
      </w: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类声环境功能区，距离为</w:t>
      </w:r>
      <w:r>
        <w:rPr>
          <w:rFonts w:ascii="Times New Roman" w:hAnsi="Times New Roman" w:eastAsia="方正仿宋_GBK" w:cs="Times New Roman"/>
          <w:sz w:val="32"/>
          <w:szCs w:val="32"/>
        </w:rPr>
        <w:t>35</w:t>
      </w:r>
      <w:r>
        <w:rPr>
          <w:rFonts w:hint="eastAsia" w:ascii="Times New Roman" w:hAnsi="Times New Roman" w:eastAsia="方正仿宋_GBK" w:cs="方正仿宋_GBK"/>
          <w:sz w:val="32"/>
          <w:szCs w:val="32"/>
        </w:rPr>
        <w:t>米；</w:t>
      </w:r>
    </w:p>
    <w:p>
      <w:pPr>
        <w:spacing w:line="540" w:lineRule="exact"/>
        <w:ind w:firstLine="640" w:firstLineChars="200"/>
        <w:outlineLvl w:val="2"/>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相邻区域为</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类声环境功能区，距离为</w:t>
      </w:r>
      <w:r>
        <w:rPr>
          <w:rFonts w:ascii="Times New Roman" w:hAnsi="Times New Roman" w:eastAsia="方正仿宋_GBK" w:cs="Times New Roman"/>
          <w:sz w:val="32"/>
          <w:szCs w:val="32"/>
        </w:rPr>
        <w:t>20</w:t>
      </w:r>
      <w:r>
        <w:rPr>
          <w:rFonts w:hint="eastAsia" w:ascii="Times New Roman" w:hAnsi="Times New Roman" w:eastAsia="方正仿宋_GBK" w:cs="方正仿宋_GBK"/>
          <w:sz w:val="32"/>
          <w:szCs w:val="32"/>
        </w:rPr>
        <w:t>米。</w:t>
      </w:r>
      <w:r>
        <w:rPr>
          <w:rFonts w:ascii="Times New Roman" w:hAnsi="Times New Roman" w:eastAsia="方正仿宋_GBK" w:cs="Times New Roman"/>
          <w:sz w:val="32"/>
          <w:szCs w:val="32"/>
        </w:rPr>
        <w:t xml:space="preserve"> </w:t>
      </w:r>
    </w:p>
    <w:p>
      <w:pPr>
        <w:spacing w:line="540" w:lineRule="exact"/>
        <w:ind w:firstLine="640" w:firstLineChars="200"/>
        <w:outlineLvl w:val="2"/>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规划建设的交通干线在未建成投入使用前按照当前声环境功能区类别管理，建成投入使用后调整为</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类声环境功能区。</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类声环境功能区环境噪声限值昼间执行</w:t>
      </w:r>
      <w:r>
        <w:rPr>
          <w:rFonts w:ascii="Times New Roman" w:hAnsi="Times New Roman" w:eastAsia="方正仿宋_GBK" w:cs="Times New Roman"/>
          <w:sz w:val="32"/>
          <w:szCs w:val="32"/>
        </w:rPr>
        <w:t>70dB</w:t>
      </w:r>
      <w:r>
        <w:rPr>
          <w:rFonts w:hint="eastAsia" w:ascii="Times New Roman" w:hAnsi="Times New Roman" w:eastAsia="方正仿宋_GBK" w:cs="方正仿宋_GBK"/>
          <w:sz w:val="32"/>
          <w:szCs w:val="32"/>
        </w:rPr>
        <w:t>（</w:t>
      </w:r>
      <w:r>
        <w:rPr>
          <w:rFonts w:ascii="Times New Roman" w:hAnsi="Times New Roman" w:eastAsia="方正仿宋_GBK" w:cs="Times New Roman"/>
          <w:sz w:val="32"/>
          <w:szCs w:val="32"/>
        </w:rPr>
        <w:t>A</w:t>
      </w:r>
      <w:r>
        <w:rPr>
          <w:rFonts w:hint="eastAsia" w:ascii="Times New Roman" w:hAnsi="Times New Roman" w:eastAsia="方正仿宋_GBK" w:cs="方正仿宋_GBK"/>
          <w:sz w:val="32"/>
          <w:szCs w:val="32"/>
        </w:rPr>
        <w:t>）、夜间执行</w:t>
      </w:r>
      <w:r>
        <w:rPr>
          <w:rFonts w:ascii="Times New Roman" w:hAnsi="Times New Roman" w:eastAsia="方正仿宋_GBK" w:cs="Times New Roman"/>
          <w:sz w:val="32"/>
          <w:szCs w:val="32"/>
        </w:rPr>
        <w:t xml:space="preserve"> 55dB</w:t>
      </w:r>
      <w:r>
        <w:rPr>
          <w:rFonts w:hint="eastAsia" w:ascii="Times New Roman" w:hAnsi="Times New Roman" w:eastAsia="方正仿宋_GBK" w:cs="方正仿宋_GBK"/>
          <w:sz w:val="32"/>
          <w:szCs w:val="32"/>
        </w:rPr>
        <w:t>（</w:t>
      </w:r>
      <w:r>
        <w:rPr>
          <w:rFonts w:ascii="Times New Roman" w:hAnsi="Times New Roman" w:eastAsia="方正仿宋_GBK" w:cs="Times New Roman"/>
          <w:sz w:val="32"/>
          <w:szCs w:val="32"/>
        </w:rPr>
        <w:t>A</w:t>
      </w:r>
      <w:r>
        <w:rPr>
          <w:rFonts w:hint="eastAsia" w:ascii="Times New Roman" w:hAnsi="Times New Roman" w:eastAsia="方正仿宋_GBK" w:cs="方正仿宋_GBK"/>
          <w:sz w:val="32"/>
          <w:szCs w:val="32"/>
        </w:rPr>
        <w:t>）；无</w:t>
      </w:r>
      <w:r>
        <w:rPr>
          <w:rFonts w:ascii="Times New Roman" w:hAnsi="Times New Roman" w:eastAsia="方正仿宋_GBK" w:cs="Times New Roman"/>
          <w:sz w:val="32"/>
          <w:szCs w:val="32"/>
        </w:rPr>
        <w:t>4b</w:t>
      </w:r>
      <w:r>
        <w:rPr>
          <w:rFonts w:hint="eastAsia" w:ascii="Times New Roman" w:hAnsi="Times New Roman" w:eastAsia="方正仿宋_GBK" w:cs="方正仿宋_GBK"/>
          <w:sz w:val="32"/>
          <w:szCs w:val="32"/>
        </w:rPr>
        <w:t>类声环境功能区。</w:t>
      </w:r>
    </w:p>
    <w:bookmarkEnd w:id="7"/>
    <w:p>
      <w:pPr>
        <w:pStyle w:val="10"/>
        <w:spacing w:line="540" w:lineRule="exact"/>
        <w:ind w:firstLine="31680"/>
        <w:outlineLvl w:val="0"/>
        <w:rPr>
          <w:rFonts w:ascii="方正黑体_GBK" w:hAnsi="Times New Roman" w:eastAsia="方正黑体_GBK" w:cs="Times New Roman"/>
          <w:b/>
          <w:bCs/>
          <w:sz w:val="32"/>
          <w:szCs w:val="32"/>
        </w:rPr>
      </w:pPr>
      <w:r>
        <w:rPr>
          <w:rFonts w:hint="eastAsia" w:ascii="方正黑体_GBK" w:hAnsi="Times New Roman" w:eastAsia="方正黑体_GBK" w:cs="方正黑体_GBK"/>
          <w:sz w:val="32"/>
          <w:szCs w:val="32"/>
        </w:rPr>
        <w:t>四、执行标准</w:t>
      </w:r>
    </w:p>
    <w:p>
      <w:pPr>
        <w:spacing w:line="540" w:lineRule="exact"/>
        <w:ind w:firstLine="592" w:firstLineChars="200"/>
        <w:rPr>
          <w:rFonts w:ascii="Times New Roman" w:hAnsi="Times New Roman" w:eastAsia="方正仿宋_GBK" w:cs="Times New Roman"/>
          <w:sz w:val="32"/>
          <w:szCs w:val="32"/>
        </w:rPr>
      </w:pPr>
      <w:r>
        <w:rPr>
          <w:rFonts w:hint="eastAsia" w:ascii="Times New Roman" w:hAnsi="Times New Roman" w:eastAsia="方正仿宋_GBK" w:cs="方正仿宋_GBK"/>
          <w:spacing w:val="-12"/>
          <w:sz w:val="32"/>
          <w:szCs w:val="32"/>
        </w:rPr>
        <w:t>根据</w:t>
      </w:r>
      <w:r>
        <w:rPr>
          <w:rFonts w:hint="eastAsia" w:ascii="Times New Roman" w:hAnsi="Times New Roman" w:eastAsia="方正仿宋_GBK" w:cs="方正仿宋_GBK"/>
          <w:spacing w:val="-8"/>
          <w:sz w:val="32"/>
          <w:szCs w:val="32"/>
        </w:rPr>
        <w:t>《</w:t>
      </w:r>
      <w:r>
        <w:rPr>
          <w:rFonts w:hint="eastAsia" w:ascii="Times New Roman" w:hAnsi="Times New Roman" w:eastAsia="方正仿宋_GBK" w:cs="方正仿宋_GBK"/>
          <w:spacing w:val="-6"/>
          <w:sz w:val="32"/>
          <w:szCs w:val="32"/>
        </w:rPr>
        <w:t>声环境质量标准》</w:t>
      </w:r>
      <w:r>
        <w:rPr>
          <w:rFonts w:ascii="Times New Roman" w:hAnsi="Times New Roman" w:eastAsia="方正仿宋_GBK" w:cs="Times New Roman"/>
          <w:spacing w:val="-6"/>
          <w:sz w:val="32"/>
          <w:szCs w:val="32"/>
        </w:rPr>
        <w:t xml:space="preserve">( GB3096-2008 ) </w:t>
      </w:r>
      <w:r>
        <w:rPr>
          <w:rFonts w:hint="eastAsia" w:ascii="Times New Roman" w:hAnsi="Times New Roman" w:eastAsia="方正仿宋_GBK" w:cs="方正仿宋_GBK"/>
          <w:spacing w:val="-6"/>
          <w:sz w:val="32"/>
          <w:szCs w:val="32"/>
        </w:rPr>
        <w:t>的规定，</w:t>
      </w:r>
      <w:r>
        <w:rPr>
          <w:rFonts w:ascii="Times New Roman" w:hAnsi="Times New Roman" w:eastAsia="方正仿宋_GBK" w:cs="Times New Roman"/>
          <w:spacing w:val="-6"/>
          <w:sz w:val="32"/>
          <w:szCs w:val="32"/>
        </w:rPr>
        <w:t>1</w:t>
      </w:r>
      <w:r>
        <w:rPr>
          <w:rFonts w:hint="eastAsia" w:ascii="Times New Roman" w:hAnsi="Times New Roman" w:eastAsia="方正仿宋_GBK" w:cs="方正仿宋_GBK"/>
          <w:spacing w:val="-6"/>
          <w:sz w:val="32"/>
          <w:szCs w:val="32"/>
        </w:rPr>
        <w:t>类、</w:t>
      </w:r>
      <w:r>
        <w:rPr>
          <w:rFonts w:ascii="Times New Roman" w:hAnsi="Times New Roman" w:eastAsia="方正仿宋_GBK" w:cs="Times New Roman"/>
          <w:spacing w:val="-6"/>
          <w:sz w:val="32"/>
          <w:szCs w:val="32"/>
        </w:rPr>
        <w:t>2</w:t>
      </w:r>
      <w:r>
        <w:rPr>
          <w:rFonts w:hint="eastAsia" w:ascii="Times New Roman" w:hAnsi="Times New Roman" w:eastAsia="方正仿宋_GBK" w:cs="方正仿宋_GBK"/>
          <w:spacing w:val="-13"/>
          <w:sz w:val="32"/>
          <w:szCs w:val="32"/>
        </w:rPr>
        <w:t>类</w:t>
      </w:r>
      <w:r>
        <w:rPr>
          <w:rFonts w:hint="eastAsia" w:ascii="Times New Roman" w:hAnsi="Times New Roman" w:eastAsia="方正仿宋_GBK" w:cs="方正仿宋_GBK"/>
          <w:spacing w:val="-7"/>
          <w:sz w:val="32"/>
          <w:szCs w:val="32"/>
        </w:rPr>
        <w:t>、</w:t>
      </w:r>
      <w:r>
        <w:rPr>
          <w:rFonts w:ascii="Times New Roman" w:hAnsi="Times New Roman" w:eastAsia="方正仿宋_GBK" w:cs="Times New Roman"/>
          <w:spacing w:val="-7"/>
          <w:sz w:val="32"/>
          <w:szCs w:val="32"/>
        </w:rPr>
        <w:t>3</w:t>
      </w:r>
      <w:r>
        <w:rPr>
          <w:rFonts w:hint="eastAsia" w:ascii="Times New Roman" w:hAnsi="Times New Roman" w:eastAsia="方正仿宋_GBK" w:cs="方正仿宋_GBK"/>
          <w:spacing w:val="-7"/>
          <w:sz w:val="32"/>
          <w:szCs w:val="32"/>
        </w:rPr>
        <w:t>类、</w:t>
      </w:r>
      <w:r>
        <w:rPr>
          <w:rFonts w:ascii="Times New Roman" w:hAnsi="Times New Roman" w:eastAsia="方正仿宋_GBK" w:cs="Times New Roman"/>
          <w:spacing w:val="-7"/>
          <w:sz w:val="32"/>
          <w:szCs w:val="32"/>
        </w:rPr>
        <w:t>4</w:t>
      </w:r>
      <w:r>
        <w:rPr>
          <w:rFonts w:hint="eastAsia" w:ascii="Times New Roman" w:hAnsi="Times New Roman" w:eastAsia="方正仿宋_GBK" w:cs="方正仿宋_GBK"/>
          <w:spacing w:val="-7"/>
          <w:sz w:val="32"/>
          <w:szCs w:val="32"/>
        </w:rPr>
        <w:t>类声功能区环境噪声限值见下表。</w:t>
      </w:r>
    </w:p>
    <w:p>
      <w:pPr>
        <w:spacing w:line="560" w:lineRule="exact"/>
        <w:ind w:firstLine="600" w:firstLineChars="200"/>
        <w:jc w:val="center"/>
        <w:rPr>
          <w:rFonts w:ascii="Times New Roman" w:hAnsi="Times New Roman" w:eastAsia="仿宋_GB2312" w:cs="Times New Roman"/>
          <w:sz w:val="32"/>
          <w:szCs w:val="32"/>
        </w:rPr>
      </w:pPr>
      <w:r>
        <w:rPr>
          <w:rFonts w:hint="eastAsia" w:ascii="Times New Roman" w:hAnsi="Times New Roman" w:eastAsia="仿宋_GB2312" w:cs="仿宋_GB2312"/>
          <w:spacing w:val="-10"/>
          <w:sz w:val="32"/>
          <w:szCs w:val="32"/>
        </w:rPr>
        <w:t>表</w:t>
      </w:r>
      <w:r>
        <w:rPr>
          <w:rFonts w:ascii="Times New Roman" w:hAnsi="Times New Roman" w:eastAsia="仿宋_GB2312" w:cs="Times New Roman"/>
          <w:spacing w:val="-5"/>
          <w:sz w:val="32"/>
          <w:szCs w:val="32"/>
        </w:rPr>
        <w:t xml:space="preserve">1  </w:t>
      </w:r>
      <w:r>
        <w:rPr>
          <w:rFonts w:hint="eastAsia" w:ascii="Times New Roman" w:hAnsi="Times New Roman" w:eastAsia="仿宋_GB2312" w:cs="仿宋_GB2312"/>
          <w:spacing w:val="-5"/>
          <w:sz w:val="32"/>
          <w:szCs w:val="32"/>
        </w:rPr>
        <w:t>环境噪声限值单位：</w:t>
      </w:r>
      <w:r>
        <w:rPr>
          <w:rFonts w:ascii="Times New Roman" w:hAnsi="Times New Roman" w:eastAsia="仿宋_GB2312" w:cs="Times New Roman"/>
          <w:spacing w:val="-5"/>
          <w:sz w:val="32"/>
          <w:szCs w:val="32"/>
        </w:rPr>
        <w:t>dB(A)</w:t>
      </w:r>
    </w:p>
    <w:tbl>
      <w:tblPr>
        <w:tblStyle w:val="7"/>
        <w:tblW w:w="87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6"/>
        <w:gridCol w:w="1634"/>
        <w:gridCol w:w="2826"/>
        <w:gridCol w:w="2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3060" w:type="dxa"/>
            <w:gridSpan w:val="2"/>
            <w:tcBorders>
              <w:left w:val="single" w:color="000000" w:sz="10" w:space="0"/>
            </w:tcBorders>
          </w:tcPr>
          <w:p>
            <w:pPr>
              <w:spacing w:before="130" w:line="560" w:lineRule="exact"/>
              <w:jc w:val="center"/>
              <w:rPr>
                <w:rFonts w:ascii="Times New Roman" w:hAnsi="Times New Roman" w:eastAsia="仿宋_GB2312" w:cs="Times New Roman"/>
                <w:sz w:val="32"/>
                <w:szCs w:val="32"/>
              </w:rPr>
            </w:pPr>
            <w:r>
              <w:rPr>
                <w:rFonts w:hint="eastAsia" w:ascii="Times New Roman" w:hAnsi="Times New Roman" w:eastAsia="仿宋_GB2312" w:cs="仿宋_GB2312"/>
                <w:spacing w:val="-2"/>
                <w:sz w:val="32"/>
                <w:szCs w:val="32"/>
              </w:rPr>
              <w:t>声环境功能区类别</w:t>
            </w:r>
          </w:p>
        </w:tc>
        <w:tc>
          <w:tcPr>
            <w:tcW w:w="2826" w:type="dxa"/>
          </w:tcPr>
          <w:p>
            <w:pPr>
              <w:spacing w:before="129" w:line="560" w:lineRule="exact"/>
              <w:jc w:val="center"/>
              <w:rPr>
                <w:rFonts w:ascii="Times New Roman" w:hAnsi="Times New Roman" w:eastAsia="仿宋_GB2312" w:cs="Times New Roman"/>
                <w:sz w:val="32"/>
                <w:szCs w:val="32"/>
              </w:rPr>
            </w:pPr>
            <w:r>
              <w:rPr>
                <w:rFonts w:hint="eastAsia" w:ascii="Times New Roman" w:hAnsi="Times New Roman" w:eastAsia="仿宋_GB2312" w:cs="仿宋_GB2312"/>
                <w:spacing w:val="-2"/>
                <w:sz w:val="32"/>
                <w:szCs w:val="32"/>
              </w:rPr>
              <w:t>昼间</w:t>
            </w:r>
          </w:p>
        </w:tc>
        <w:tc>
          <w:tcPr>
            <w:tcW w:w="2841" w:type="dxa"/>
            <w:tcBorders>
              <w:right w:val="single" w:color="000000" w:sz="10" w:space="0"/>
            </w:tcBorders>
          </w:tcPr>
          <w:p>
            <w:pPr>
              <w:spacing w:before="129" w:line="560" w:lineRule="exact"/>
              <w:jc w:val="center"/>
              <w:rPr>
                <w:rFonts w:ascii="Times New Roman" w:hAnsi="Times New Roman" w:eastAsia="仿宋_GB2312" w:cs="Times New Roman"/>
                <w:sz w:val="32"/>
                <w:szCs w:val="32"/>
              </w:rPr>
            </w:pPr>
            <w:r>
              <w:rPr>
                <w:rFonts w:hint="eastAsia" w:ascii="Times New Roman" w:hAnsi="Times New Roman" w:eastAsia="仿宋_GB2312" w:cs="仿宋_GB2312"/>
                <w:spacing w:val="-4"/>
                <w:sz w:val="32"/>
                <w:szCs w:val="32"/>
              </w:rPr>
              <w:t>夜</w:t>
            </w:r>
            <w:r>
              <w:rPr>
                <w:rFonts w:hint="eastAsia" w:ascii="Times New Roman" w:hAnsi="Times New Roman" w:eastAsia="仿宋_GB2312" w:cs="仿宋_GB2312"/>
                <w:spacing w:val="-2"/>
                <w:sz w:val="32"/>
                <w:szCs w:val="32"/>
              </w:rPr>
              <w:t>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060" w:type="dxa"/>
            <w:gridSpan w:val="2"/>
            <w:tcBorders>
              <w:left w:val="single" w:color="000000" w:sz="10" w:space="0"/>
            </w:tcBorders>
          </w:tcPr>
          <w:p>
            <w:pPr>
              <w:spacing w:before="105"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1</w:t>
            </w:r>
            <w:r>
              <w:rPr>
                <w:rFonts w:ascii="Times New Roman" w:hAnsi="Times New Roman" w:eastAsia="仿宋_GB2312" w:cs="Times New Roman"/>
                <w:spacing w:val="-2"/>
                <w:sz w:val="32"/>
                <w:szCs w:val="32"/>
              </w:rPr>
              <w:t xml:space="preserve"> </w:t>
            </w:r>
            <w:r>
              <w:rPr>
                <w:rFonts w:hint="eastAsia" w:ascii="Times New Roman" w:hAnsi="Times New Roman" w:eastAsia="仿宋_GB2312" w:cs="仿宋_GB2312"/>
                <w:spacing w:val="-2"/>
                <w:sz w:val="32"/>
                <w:szCs w:val="32"/>
              </w:rPr>
              <w:t>类</w:t>
            </w:r>
          </w:p>
        </w:tc>
        <w:tc>
          <w:tcPr>
            <w:tcW w:w="2826" w:type="dxa"/>
          </w:tcPr>
          <w:p>
            <w:pPr>
              <w:spacing w:before="152"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55</w:t>
            </w:r>
          </w:p>
        </w:tc>
        <w:tc>
          <w:tcPr>
            <w:tcW w:w="2841" w:type="dxa"/>
            <w:tcBorders>
              <w:right w:val="single" w:color="000000" w:sz="10" w:space="0"/>
            </w:tcBorders>
          </w:tcPr>
          <w:p>
            <w:pPr>
              <w:spacing w:before="148"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1"/>
                <w:sz w:val="32"/>
                <w:szCs w:val="32"/>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060" w:type="dxa"/>
            <w:gridSpan w:val="2"/>
            <w:tcBorders>
              <w:left w:val="single" w:color="000000" w:sz="10" w:space="0"/>
            </w:tcBorders>
          </w:tcPr>
          <w:p>
            <w:pPr>
              <w:spacing w:before="108"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6"/>
                <w:sz w:val="32"/>
                <w:szCs w:val="32"/>
              </w:rPr>
              <w:t>2</w:t>
            </w:r>
            <w:r>
              <w:rPr>
                <w:rFonts w:ascii="Times New Roman" w:hAnsi="Times New Roman" w:eastAsia="仿宋_GB2312" w:cs="Times New Roman"/>
                <w:spacing w:val="5"/>
                <w:sz w:val="32"/>
                <w:szCs w:val="32"/>
              </w:rPr>
              <w:t xml:space="preserve"> </w:t>
            </w:r>
            <w:r>
              <w:rPr>
                <w:rFonts w:hint="eastAsia" w:ascii="Times New Roman" w:hAnsi="Times New Roman" w:eastAsia="仿宋_GB2312" w:cs="仿宋_GB2312"/>
                <w:spacing w:val="5"/>
                <w:sz w:val="32"/>
                <w:szCs w:val="32"/>
              </w:rPr>
              <w:t>类</w:t>
            </w:r>
          </w:p>
        </w:tc>
        <w:tc>
          <w:tcPr>
            <w:tcW w:w="2826" w:type="dxa"/>
          </w:tcPr>
          <w:p>
            <w:pPr>
              <w:spacing w:before="152"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4"/>
                <w:sz w:val="32"/>
                <w:szCs w:val="32"/>
              </w:rPr>
              <w:t>6</w:t>
            </w:r>
            <w:r>
              <w:rPr>
                <w:rFonts w:ascii="Times New Roman" w:hAnsi="Times New Roman" w:eastAsia="仿宋_GB2312" w:cs="Times New Roman"/>
                <w:spacing w:val="-2"/>
                <w:sz w:val="32"/>
                <w:szCs w:val="32"/>
              </w:rPr>
              <w:t>0</w:t>
            </w:r>
          </w:p>
        </w:tc>
        <w:tc>
          <w:tcPr>
            <w:tcW w:w="2841" w:type="dxa"/>
            <w:tcBorders>
              <w:right w:val="single" w:color="000000" w:sz="10" w:space="0"/>
            </w:tcBorders>
          </w:tcPr>
          <w:p>
            <w:pPr>
              <w:spacing w:before="152"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60" w:type="dxa"/>
            <w:gridSpan w:val="2"/>
            <w:tcBorders>
              <w:left w:val="single" w:color="000000" w:sz="10" w:space="0"/>
            </w:tcBorders>
          </w:tcPr>
          <w:p>
            <w:pPr>
              <w:spacing w:before="109"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4"/>
                <w:sz w:val="32"/>
                <w:szCs w:val="32"/>
              </w:rPr>
              <w:t xml:space="preserve">3 </w:t>
            </w:r>
            <w:r>
              <w:rPr>
                <w:rFonts w:hint="eastAsia" w:ascii="Times New Roman" w:hAnsi="Times New Roman" w:eastAsia="仿宋_GB2312" w:cs="仿宋_GB2312"/>
                <w:spacing w:val="3"/>
                <w:sz w:val="32"/>
                <w:szCs w:val="32"/>
              </w:rPr>
              <w:t>类</w:t>
            </w:r>
          </w:p>
        </w:tc>
        <w:tc>
          <w:tcPr>
            <w:tcW w:w="2826" w:type="dxa"/>
          </w:tcPr>
          <w:p>
            <w:pPr>
              <w:spacing w:before="153"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4"/>
                <w:sz w:val="32"/>
                <w:szCs w:val="32"/>
              </w:rPr>
              <w:t>6</w:t>
            </w:r>
            <w:r>
              <w:rPr>
                <w:rFonts w:ascii="Times New Roman" w:hAnsi="Times New Roman" w:eastAsia="仿宋_GB2312" w:cs="Times New Roman"/>
                <w:spacing w:val="-2"/>
                <w:sz w:val="32"/>
                <w:szCs w:val="32"/>
              </w:rPr>
              <w:t>5</w:t>
            </w:r>
          </w:p>
        </w:tc>
        <w:tc>
          <w:tcPr>
            <w:tcW w:w="2841" w:type="dxa"/>
            <w:tcBorders>
              <w:right w:val="single" w:color="000000" w:sz="10" w:space="0"/>
            </w:tcBorders>
          </w:tcPr>
          <w:p>
            <w:pPr>
              <w:spacing w:before="157"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426" w:type="dxa"/>
            <w:tcBorders>
              <w:left w:val="single" w:color="000000" w:sz="10" w:space="0"/>
            </w:tcBorders>
          </w:tcPr>
          <w:p>
            <w:pPr>
              <w:spacing w:before="108" w:line="560" w:lineRule="exact"/>
              <w:ind w:firstLine="332" w:firstLineChars="100"/>
              <w:rPr>
                <w:rFonts w:ascii="Times New Roman" w:hAnsi="Times New Roman" w:eastAsia="仿宋_GB2312" w:cs="Times New Roman"/>
                <w:sz w:val="32"/>
                <w:szCs w:val="32"/>
              </w:rPr>
            </w:pPr>
            <w:r>
              <w:rPr>
                <w:rFonts w:ascii="Times New Roman" w:hAnsi="Times New Roman" w:eastAsia="仿宋_GB2312" w:cs="Times New Roman"/>
                <w:spacing w:val="6"/>
                <w:sz w:val="32"/>
                <w:szCs w:val="32"/>
              </w:rPr>
              <w:t>4</w:t>
            </w:r>
            <w:r>
              <w:rPr>
                <w:rFonts w:hint="eastAsia" w:ascii="Times New Roman" w:hAnsi="Times New Roman" w:eastAsia="仿宋_GB2312" w:cs="仿宋_GB2312"/>
                <w:spacing w:val="5"/>
                <w:sz w:val="32"/>
                <w:szCs w:val="32"/>
              </w:rPr>
              <w:t>类</w:t>
            </w:r>
          </w:p>
        </w:tc>
        <w:tc>
          <w:tcPr>
            <w:tcW w:w="1634" w:type="dxa"/>
          </w:tcPr>
          <w:p>
            <w:pPr>
              <w:spacing w:before="108" w:line="560" w:lineRule="exact"/>
              <w:ind w:firstLine="332" w:firstLineChars="100"/>
              <w:rPr>
                <w:rFonts w:ascii="Times New Roman" w:hAnsi="Times New Roman" w:eastAsia="仿宋_GB2312" w:cs="Times New Roman"/>
                <w:sz w:val="32"/>
                <w:szCs w:val="32"/>
              </w:rPr>
            </w:pPr>
            <w:r>
              <w:rPr>
                <w:rFonts w:ascii="Times New Roman" w:hAnsi="Times New Roman" w:eastAsia="仿宋_GB2312" w:cs="Times New Roman"/>
                <w:spacing w:val="6"/>
                <w:sz w:val="32"/>
                <w:szCs w:val="32"/>
              </w:rPr>
              <w:t>4</w:t>
            </w:r>
            <w:r>
              <w:rPr>
                <w:rFonts w:ascii="Times New Roman" w:hAnsi="Times New Roman" w:eastAsia="仿宋_GB2312" w:cs="Times New Roman"/>
                <w:sz w:val="32"/>
                <w:szCs w:val="32"/>
              </w:rPr>
              <w:t>a</w:t>
            </w:r>
            <w:r>
              <w:rPr>
                <w:rFonts w:hint="eastAsia" w:ascii="Times New Roman" w:hAnsi="Times New Roman" w:eastAsia="仿宋_GB2312" w:cs="仿宋_GB2312"/>
                <w:spacing w:val="5"/>
                <w:sz w:val="32"/>
                <w:szCs w:val="32"/>
              </w:rPr>
              <w:t>类</w:t>
            </w:r>
          </w:p>
        </w:tc>
        <w:tc>
          <w:tcPr>
            <w:tcW w:w="2826" w:type="dxa"/>
          </w:tcPr>
          <w:p>
            <w:pPr>
              <w:spacing w:before="151"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7</w:t>
            </w:r>
            <w:r>
              <w:rPr>
                <w:rFonts w:ascii="Times New Roman" w:hAnsi="Times New Roman" w:eastAsia="仿宋_GB2312" w:cs="Times New Roman"/>
                <w:spacing w:val="-2"/>
                <w:sz w:val="32"/>
                <w:szCs w:val="32"/>
              </w:rPr>
              <w:t>0</w:t>
            </w:r>
          </w:p>
        </w:tc>
        <w:tc>
          <w:tcPr>
            <w:tcW w:w="2841" w:type="dxa"/>
            <w:tcBorders>
              <w:right w:val="single" w:color="000000" w:sz="10" w:space="0"/>
            </w:tcBorders>
          </w:tcPr>
          <w:p>
            <w:pPr>
              <w:spacing w:before="155" w:line="560" w:lineRule="exact"/>
              <w:jc w:val="center"/>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55</w:t>
            </w:r>
          </w:p>
        </w:tc>
      </w:tr>
    </w:tbl>
    <w:p>
      <w:pPr>
        <w:widowControl/>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方正黑体_GBK"/>
          <w:sz w:val="32"/>
          <w:szCs w:val="32"/>
        </w:rPr>
        <w:t>五、实施管理</w:t>
      </w:r>
    </w:p>
    <w:p>
      <w:pPr>
        <w:widowControl/>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有关乡镇和县直各部门根据各自职责做好噪声污染防治工作。建设项目应严格执行声环境功能区环境准入，禁止在</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类区、严格限制在</w:t>
      </w: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类区建设产生环境噪声污染的工业项目。道路规划和建设、房地产等相关管理工作要充分考虑声环境功能区类别的管理目标。严格控制</w:t>
      </w:r>
      <w:r>
        <w:rPr>
          <w:rFonts w:ascii="Times New Roman" w:hAnsi="Times New Roman" w:eastAsia="方正仿宋_GBK" w:cs="Times New Roman"/>
          <w:sz w:val="32"/>
          <w:szCs w:val="32"/>
        </w:rPr>
        <w:t>4</w:t>
      </w:r>
      <w:r>
        <w:rPr>
          <w:rFonts w:hint="eastAsia" w:ascii="Times New Roman" w:hAnsi="Times New Roman" w:eastAsia="方正仿宋_GBK" w:cs="方正仿宋_GBK"/>
          <w:sz w:val="32"/>
          <w:szCs w:val="32"/>
        </w:rPr>
        <w:t>类声环境功能区范围，调整声环境功能区类别需进行充分的说明。本次区划适用时限为</w:t>
      </w:r>
      <w:r>
        <w:rPr>
          <w:rFonts w:ascii="Times New Roman" w:hAnsi="Times New Roman" w:eastAsia="方正仿宋_GBK" w:cs="Times New Roman"/>
          <w:sz w:val="32"/>
          <w:szCs w:val="32"/>
        </w:rPr>
        <w:t>2020-2025</w:t>
      </w:r>
      <w:r>
        <w:rPr>
          <w:rFonts w:hint="eastAsia" w:ascii="Times New Roman" w:hAnsi="Times New Roman" w:eastAsia="方正仿宋_GBK" w:cs="方正仿宋_GBK"/>
          <w:sz w:val="32"/>
          <w:szCs w:val="32"/>
        </w:rPr>
        <w:t>年。根据城市规模和用地变化情况，噪声区划可适时调整，原则上不超过</w:t>
      </w:r>
      <w:r>
        <w:rPr>
          <w:rFonts w:ascii="Times New Roman" w:hAnsi="Times New Roman" w:eastAsia="方正仿宋_GBK" w:cs="Times New Roman"/>
          <w:sz w:val="32"/>
          <w:szCs w:val="32"/>
        </w:rPr>
        <w:t>5</w:t>
      </w:r>
      <w:r>
        <w:rPr>
          <w:rFonts w:hint="eastAsia" w:ascii="Times New Roman" w:hAnsi="Times New Roman" w:eastAsia="方正仿宋_GBK" w:cs="方正仿宋_GBK"/>
          <w:sz w:val="32"/>
          <w:szCs w:val="32"/>
        </w:rPr>
        <w:t>年调整一次。</w:t>
      </w:r>
    </w:p>
    <w:p>
      <w:pPr>
        <w:pStyle w:val="2"/>
        <w:ind w:left="0" w:leftChars="0" w:firstLine="0" w:firstLineChars="0"/>
        <w:rPr>
          <w:rFonts w:cs="Times New Roman"/>
        </w:rPr>
      </w:pPr>
    </w:p>
    <w:p>
      <w:pPr>
        <w:widowControl/>
        <w:spacing w:line="560" w:lineRule="exact"/>
        <w:ind w:firstLine="640" w:firstLineChars="200"/>
        <w:rPr>
          <w:rFonts w:ascii="Times New Roman" w:hAnsi="Times New Roman" w:eastAsia="方正仿宋_GBK" w:cs="Times New Roman"/>
          <w:sz w:val="32"/>
          <w:szCs w:val="32"/>
        </w:rPr>
      </w:pPr>
      <w:bookmarkStart w:id="8" w:name="_Toc9289"/>
      <w:r>
        <w:rPr>
          <w:rFonts w:hint="eastAsia" w:ascii="Times New Roman" w:hAnsi="Times New Roman" w:eastAsia="方正仿宋_GBK" w:cs="方正仿宋_GBK"/>
          <w:sz w:val="32"/>
          <w:szCs w:val="32"/>
        </w:rPr>
        <w:t>附件</w:t>
      </w:r>
      <w:bookmarkEnd w:id="8"/>
      <w:r>
        <w:rPr>
          <w:rFonts w:hint="eastAsia" w:ascii="Times New Roman" w:hAnsi="Times New Roman" w:eastAsia="方正仿宋_GBK" w:cs="方正仿宋_GBK"/>
          <w:sz w:val="32"/>
          <w:szCs w:val="32"/>
        </w:rPr>
        <w:t>：</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平罗县县城</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w:t>
      </w: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类声环境功能区划分成果表</w:t>
      </w:r>
    </w:p>
    <w:p>
      <w:pPr>
        <w:widowControl/>
        <w:spacing w:line="560" w:lineRule="exact"/>
        <w:ind w:firstLine="1600" w:firstLineChars="5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平罗县县城</w:t>
      </w:r>
      <w:r>
        <w:rPr>
          <w:rFonts w:ascii="Times New Roman" w:hAnsi="Times New Roman" w:eastAsia="方正仿宋_GBK" w:cs="Times New Roman"/>
          <w:sz w:val="32"/>
          <w:szCs w:val="32"/>
        </w:rPr>
        <w:t>4a</w:t>
      </w:r>
      <w:r>
        <w:rPr>
          <w:rFonts w:hint="eastAsia" w:ascii="Times New Roman" w:hAnsi="Times New Roman" w:eastAsia="方正仿宋_GBK" w:cs="方正仿宋_GBK"/>
          <w:sz w:val="32"/>
          <w:szCs w:val="32"/>
        </w:rPr>
        <w:t>类声环境功能区列表</w:t>
      </w:r>
    </w:p>
    <w:p>
      <w:pPr>
        <w:widowControl/>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附图：</w:t>
      </w:r>
      <w:r>
        <w:rPr>
          <w:rFonts w:ascii="Times New Roman" w:hAnsi="Times New Roman" w:eastAsia="方正仿宋_GBK" w:cs="Times New Roman"/>
          <w:sz w:val="32"/>
          <w:szCs w:val="32"/>
        </w:rPr>
        <w:t>1.</w:t>
      </w:r>
      <w:r>
        <w:rPr>
          <w:rFonts w:hint="eastAsia" w:ascii="Times New Roman" w:hAnsi="Times New Roman" w:eastAsia="方正仿宋_GBK" w:cs="方正仿宋_GBK"/>
          <w:sz w:val="32"/>
          <w:szCs w:val="32"/>
        </w:rPr>
        <w:t>平罗县声功能区划范围图</w:t>
      </w:r>
    </w:p>
    <w:p>
      <w:pPr>
        <w:widowControl/>
        <w:spacing w:line="560" w:lineRule="exact"/>
        <w:ind w:firstLine="1600" w:firstLineChars="500"/>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方正仿宋_GBK"/>
          <w:sz w:val="32"/>
          <w:szCs w:val="32"/>
        </w:rPr>
        <w:t>区域环境噪声监测点位图</w:t>
      </w:r>
    </w:p>
    <w:p>
      <w:pPr>
        <w:widowControl/>
        <w:spacing w:line="560" w:lineRule="exact"/>
        <w:ind w:firstLine="1600" w:firstLineChars="500"/>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方正仿宋_GBK"/>
          <w:sz w:val="32"/>
          <w:szCs w:val="32"/>
        </w:rPr>
        <w:t>道路交通噪声监测点位图</w:t>
      </w:r>
    </w:p>
    <w:p>
      <w:pPr>
        <w:widowControl/>
        <w:spacing w:line="560" w:lineRule="exact"/>
        <w:ind w:firstLine="1600" w:firstLineChars="500"/>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方正仿宋_GBK"/>
          <w:sz w:val="32"/>
          <w:szCs w:val="32"/>
        </w:rPr>
        <w:t>功能区环境噪声监测点位图</w:t>
      </w:r>
    </w:p>
    <w:p>
      <w:pPr>
        <w:widowControl/>
        <w:spacing w:line="560" w:lineRule="exact"/>
        <w:ind w:firstLine="1600" w:firstLineChars="500"/>
        <w:rPr>
          <w:rFonts w:ascii="Times New Roman" w:hAnsi="Times New Roman" w:eastAsia="方正仿宋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方正仿宋_GBK"/>
          <w:sz w:val="32"/>
          <w:szCs w:val="32"/>
        </w:rPr>
        <w:t>声环境功能区划分成果图</w:t>
      </w:r>
    </w:p>
    <w:p>
      <w:pPr>
        <w:widowControl/>
        <w:spacing w:line="560" w:lineRule="exact"/>
        <w:ind w:firstLine="640" w:firstLineChars="200"/>
        <w:rPr>
          <w:rFonts w:ascii="Times New Roman" w:hAnsi="Times New Roman" w:eastAsia="方正仿宋_GBK" w:cs="Times New Roman"/>
          <w:sz w:val="32"/>
          <w:szCs w:val="32"/>
        </w:rPr>
        <w:sectPr>
          <w:footerReference r:id="rId3" w:type="default"/>
          <w:pgSz w:w="11906" w:h="16838"/>
          <w:pgMar w:top="1928" w:right="1531" w:bottom="1588" w:left="1531" w:header="567" w:footer="1474" w:gutter="0"/>
          <w:pgNumType w:fmt="numberInDash"/>
          <w:cols w:space="720" w:num="1"/>
          <w:docGrid w:type="lines" w:linePitch="312" w:charSpace="0"/>
        </w:sectPr>
      </w:pPr>
    </w:p>
    <w:p>
      <w:pPr>
        <w:pStyle w:val="10"/>
        <w:spacing w:line="560" w:lineRule="exact"/>
        <w:ind w:firstLine="0" w:firstLineChars="0"/>
        <w:jc w:val="left"/>
        <w:outlineLvl w:val="0"/>
        <w:rPr>
          <w:rFonts w:ascii="方正黑体_GBK" w:hAnsi="Times New Roman" w:eastAsia="方正黑体_GBK" w:cs="方正黑体_GBK"/>
          <w:b/>
          <w:bCs/>
          <w:sz w:val="32"/>
          <w:szCs w:val="32"/>
        </w:rPr>
      </w:pPr>
      <w:bookmarkStart w:id="9" w:name="_Toc11716"/>
      <w:bookmarkStart w:id="10" w:name="_Toc25483"/>
      <w:bookmarkStart w:id="11" w:name="_Toc21838"/>
      <w:r>
        <w:rPr>
          <w:rFonts w:hint="eastAsia" w:ascii="方正黑体_GBK" w:hAnsi="Times New Roman" w:eastAsia="方正黑体_GBK" w:cs="方正黑体_GBK"/>
          <w:sz w:val="32"/>
          <w:szCs w:val="32"/>
        </w:rPr>
        <w:t>附件</w:t>
      </w:r>
      <w:r>
        <w:rPr>
          <w:rFonts w:ascii="方正黑体_GBK" w:hAnsi="Times New Roman" w:eastAsia="方正黑体_GBK" w:cs="方正黑体_GBK"/>
          <w:sz w:val="32"/>
          <w:szCs w:val="32"/>
        </w:rPr>
        <w:t>1</w:t>
      </w:r>
      <w:bookmarkEnd w:id="9"/>
      <w:bookmarkEnd w:id="10"/>
      <w:bookmarkEnd w:id="11"/>
      <w:r>
        <w:rPr>
          <w:rFonts w:ascii="方正黑体_GBK" w:hAnsi="Times New Roman" w:eastAsia="方正黑体_GBK" w:cs="方正黑体_GBK"/>
          <w:b/>
          <w:bCs/>
          <w:sz w:val="32"/>
          <w:szCs w:val="32"/>
        </w:rPr>
        <w:t xml:space="preserve"> </w:t>
      </w:r>
    </w:p>
    <w:p>
      <w:pPr>
        <w:spacing w:line="560" w:lineRule="exact"/>
        <w:jc w:val="center"/>
        <w:rPr>
          <w:rFonts w:ascii="方正小标宋_GBK" w:hAnsi="Times New Roman" w:eastAsia="方正小标宋_GBK" w:cs="Times New Roman"/>
          <w:color w:val="000000"/>
          <w:spacing w:val="-16"/>
          <w:kern w:val="0"/>
          <w:sz w:val="44"/>
          <w:szCs w:val="44"/>
        </w:rPr>
      </w:pPr>
      <w:r>
        <w:rPr>
          <w:rFonts w:hint="eastAsia" w:ascii="方正小标宋_GBK" w:hAnsi="Times New Roman" w:eastAsia="方正小标宋_GBK" w:cs="方正小标宋_GBK"/>
          <w:color w:val="000000"/>
          <w:spacing w:val="-16"/>
          <w:kern w:val="0"/>
          <w:sz w:val="44"/>
          <w:szCs w:val="44"/>
        </w:rPr>
        <w:t>平罗县县城</w:t>
      </w:r>
      <w:r>
        <w:rPr>
          <w:rFonts w:ascii="方正小标宋_GBK" w:hAnsi="Times New Roman" w:eastAsia="方正小标宋_GBK" w:cs="方正小标宋_GBK"/>
          <w:color w:val="000000"/>
          <w:spacing w:val="-16"/>
          <w:kern w:val="0"/>
          <w:sz w:val="44"/>
          <w:szCs w:val="44"/>
        </w:rPr>
        <w:t>1</w:t>
      </w:r>
      <w:r>
        <w:rPr>
          <w:rFonts w:hint="eastAsia" w:ascii="方正小标宋_GBK" w:hAnsi="Times New Roman" w:eastAsia="方正小标宋_GBK" w:cs="方正小标宋_GBK"/>
          <w:color w:val="000000"/>
          <w:spacing w:val="-16"/>
          <w:kern w:val="0"/>
          <w:sz w:val="44"/>
          <w:szCs w:val="44"/>
        </w:rPr>
        <w:t>～</w:t>
      </w:r>
      <w:r>
        <w:rPr>
          <w:rFonts w:ascii="方正小标宋_GBK" w:hAnsi="Times New Roman" w:eastAsia="方正小标宋_GBK" w:cs="方正小标宋_GBK"/>
          <w:color w:val="000000"/>
          <w:spacing w:val="-16"/>
          <w:kern w:val="0"/>
          <w:sz w:val="44"/>
          <w:szCs w:val="44"/>
        </w:rPr>
        <w:t>3</w:t>
      </w:r>
      <w:r>
        <w:rPr>
          <w:rFonts w:hint="eastAsia" w:ascii="方正小标宋_GBK" w:hAnsi="Times New Roman" w:eastAsia="方正小标宋_GBK" w:cs="方正小标宋_GBK"/>
          <w:color w:val="000000"/>
          <w:spacing w:val="-16"/>
          <w:kern w:val="0"/>
          <w:sz w:val="44"/>
          <w:szCs w:val="44"/>
        </w:rPr>
        <w:t>类声环境功能区划分成果表</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064"/>
        <w:gridCol w:w="4698"/>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Align w:val="center"/>
          </w:tcPr>
          <w:p>
            <w:pPr>
              <w:widowControl/>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仿宋_GB2312"/>
                <w:b/>
                <w:bCs/>
                <w:sz w:val="32"/>
                <w:szCs w:val="32"/>
              </w:rPr>
              <w:t>序号</w:t>
            </w:r>
          </w:p>
        </w:tc>
        <w:tc>
          <w:tcPr>
            <w:tcW w:w="587" w:type="pct"/>
            <w:vAlign w:val="center"/>
          </w:tcPr>
          <w:p>
            <w:pPr>
              <w:widowControl/>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仿宋_GB2312"/>
                <w:b/>
                <w:bCs/>
                <w:sz w:val="32"/>
                <w:szCs w:val="32"/>
              </w:rPr>
              <w:t>编码</w:t>
            </w:r>
          </w:p>
        </w:tc>
        <w:tc>
          <w:tcPr>
            <w:tcW w:w="2592" w:type="pct"/>
            <w:vAlign w:val="center"/>
          </w:tcPr>
          <w:p>
            <w:pPr>
              <w:widowControl/>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仿宋_GB2312"/>
                <w:b/>
                <w:bCs/>
                <w:sz w:val="32"/>
                <w:szCs w:val="32"/>
              </w:rPr>
              <w:t>区域范围</w:t>
            </w:r>
          </w:p>
        </w:tc>
        <w:tc>
          <w:tcPr>
            <w:tcW w:w="1323" w:type="pct"/>
            <w:vAlign w:val="center"/>
          </w:tcPr>
          <w:p>
            <w:pPr>
              <w:widowControl/>
              <w:spacing w:line="560" w:lineRule="exact"/>
              <w:jc w:val="center"/>
              <w:rPr>
                <w:rFonts w:ascii="Times New Roman" w:hAnsi="Times New Roman" w:eastAsia="仿宋_GB2312" w:cs="Times New Roman"/>
                <w:b/>
                <w:bCs/>
                <w:sz w:val="32"/>
                <w:szCs w:val="32"/>
              </w:rPr>
            </w:pPr>
            <w:r>
              <w:rPr>
                <w:rFonts w:hint="eastAsia" w:ascii="Times New Roman" w:hAnsi="Times New Roman" w:eastAsia="仿宋_GB2312" w:cs="仿宋_GB2312"/>
                <w:b/>
                <w:bCs/>
                <w:sz w:val="32"/>
                <w:szCs w:val="32"/>
              </w:rPr>
              <w:t>用地性质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restart"/>
            <w:vAlign w:val="center"/>
          </w:tcPr>
          <w:p>
            <w:pPr>
              <w:widowControl/>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1</w:t>
            </w: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1-01</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贺兰山路以南，西环路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玉丰路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怀远路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玉皇阁大道</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西环路以东，陶沙路以北，翰林大街以西区域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行政办公、医疗卫生、文化教育、居民住宅、公园绿地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1-02</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德渊路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萧公大街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贺兰山路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翰林大街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唐徕渠</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北环路围成区域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空地、农村宅基地、社会团体、居民住宅为主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1-03</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唐徕渠</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翰林大街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东环路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规划次干路</w:t>
            </w:r>
            <w:r>
              <w:rPr>
                <w:rFonts w:ascii="Times New Roman" w:hAnsi="Times New Roman" w:eastAsia="仿宋_GB2312" w:cs="Times New Roman"/>
                <w:sz w:val="28"/>
                <w:szCs w:val="28"/>
              </w:rPr>
              <w:t>-109</w:t>
            </w:r>
            <w:r>
              <w:rPr>
                <w:rFonts w:hint="eastAsia" w:ascii="Times New Roman" w:hAnsi="Times New Roman" w:eastAsia="仿宋_GB2312" w:cs="仿宋_GB2312"/>
                <w:sz w:val="28"/>
                <w:szCs w:val="28"/>
              </w:rPr>
              <w:t>国道</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北环路围成区域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未利用地、农村宅基地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1-04</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唐徕渠</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玉龚路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唐徕大街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规划路次干路</w:t>
            </w:r>
            <w:r>
              <w:rPr>
                <w:rFonts w:ascii="Times New Roman" w:hAnsi="Times New Roman" w:eastAsia="仿宋_GB2312" w:cs="Times New Roman"/>
                <w:sz w:val="28"/>
                <w:szCs w:val="28"/>
              </w:rPr>
              <w:t>-109</w:t>
            </w:r>
            <w:r>
              <w:rPr>
                <w:rFonts w:hint="eastAsia" w:ascii="Times New Roman" w:hAnsi="Times New Roman" w:eastAsia="仿宋_GB2312" w:cs="仿宋_GB2312"/>
                <w:sz w:val="28"/>
                <w:szCs w:val="28"/>
              </w:rPr>
              <w:t>国道</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规划次干路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东环路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翰林大街围成区域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空地、农村宅基地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1-05</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唐徕渠</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翰林大街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规划主干路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鼓楼北街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永安东路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唐徕大街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鼓楼东路</w:t>
            </w:r>
            <w:r>
              <w:rPr>
                <w:rFonts w:ascii="Times New Roman" w:hAnsi="Times New Roman" w:eastAsia="仿宋_GB2312" w:cs="Times New Roman"/>
                <w:sz w:val="28"/>
                <w:szCs w:val="28"/>
              </w:rPr>
              <w:t>-109</w:t>
            </w:r>
            <w:r>
              <w:rPr>
                <w:rFonts w:hint="eastAsia" w:ascii="Times New Roman" w:hAnsi="Times New Roman" w:eastAsia="仿宋_GB2312" w:cs="仿宋_GB2312"/>
                <w:sz w:val="28"/>
                <w:szCs w:val="28"/>
              </w:rPr>
              <w:t>国道</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团结西路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东环路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规划次干路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玉龚路围成区域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居民住宅、文化教育为主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1-06</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鼓楼东路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唐徕大街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永安东路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鼓楼北街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规划主干路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翰林大街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陶沙路</w:t>
            </w:r>
            <w:r>
              <w:rPr>
                <w:rFonts w:ascii="Times New Roman" w:hAnsi="Times New Roman" w:eastAsia="仿宋_GB2312" w:cs="Times New Roman"/>
                <w:sz w:val="28"/>
                <w:szCs w:val="28"/>
              </w:rPr>
              <w:t>-109</w:t>
            </w:r>
            <w:r>
              <w:rPr>
                <w:rFonts w:hint="eastAsia" w:ascii="Times New Roman" w:hAnsi="Times New Roman" w:eastAsia="仿宋_GB2312" w:cs="仿宋_GB2312"/>
                <w:sz w:val="28"/>
                <w:szCs w:val="28"/>
              </w:rPr>
              <w:t>国道围成区域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未利用地、农村宅基地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vMerge w:val="restart"/>
            <w:vAlign w:val="center"/>
          </w:tcPr>
          <w:p>
            <w:pPr>
              <w:widowControl/>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2</w:t>
            </w: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2-01</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玉丰路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西环路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玉皇阁大道</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怀远路围成区域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商业为主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2-02</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翰林大街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唐徕渠围成区域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商业金融、居民住宅、绿地、教育为主的混合区域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2-03</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翰林大街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陶沙路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规划次干路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区域道路围成区域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商业为主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vMerge w:val="continue"/>
            <w:vAlign w:val="center"/>
          </w:tcPr>
          <w:p>
            <w:pPr>
              <w:widowControl/>
              <w:spacing w:line="560" w:lineRule="exact"/>
              <w:jc w:val="center"/>
              <w:rPr>
                <w:rFonts w:ascii="Times New Roman" w:hAnsi="Times New Roman" w:eastAsia="仿宋_GB2312" w:cs="Times New Roman"/>
                <w:sz w:val="32"/>
                <w:szCs w:val="32"/>
              </w:rPr>
            </w:pP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2-04</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规划次干路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东环路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团结西路</w:t>
            </w:r>
            <w:r>
              <w:rPr>
                <w:rFonts w:ascii="Times New Roman" w:hAnsi="Times New Roman" w:eastAsia="仿宋_GB2312" w:cs="Times New Roman"/>
                <w:sz w:val="28"/>
                <w:szCs w:val="28"/>
              </w:rPr>
              <w:t>-109</w:t>
            </w:r>
            <w:r>
              <w:rPr>
                <w:rFonts w:hint="eastAsia" w:ascii="Times New Roman" w:hAnsi="Times New Roman" w:eastAsia="仿宋_GB2312" w:cs="仿宋_GB2312"/>
                <w:sz w:val="28"/>
                <w:szCs w:val="28"/>
              </w:rPr>
              <w:t>国道围成区域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以商业为主的混合用地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7" w:type="pct"/>
            <w:vAlign w:val="center"/>
          </w:tcPr>
          <w:p>
            <w:pPr>
              <w:widowControl/>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3</w:t>
            </w:r>
          </w:p>
        </w:tc>
        <w:tc>
          <w:tcPr>
            <w:tcW w:w="587" w:type="pct"/>
            <w:vAlign w:val="center"/>
          </w:tcPr>
          <w:p>
            <w:pPr>
              <w:widowControl/>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301</w:t>
            </w:r>
          </w:p>
        </w:tc>
        <w:tc>
          <w:tcPr>
            <w:tcW w:w="2592"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北环路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贺兰山路</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萧公大街</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德渊路围成区域</w:t>
            </w:r>
          </w:p>
        </w:tc>
        <w:tc>
          <w:tcPr>
            <w:tcW w:w="1323" w:type="pct"/>
            <w:vAlign w:val="center"/>
          </w:tcPr>
          <w:p>
            <w:pPr>
              <w:widowControl/>
              <w:spacing w:line="400" w:lineRule="exact"/>
              <w:jc w:val="center"/>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主要土地类型是工业用地</w:t>
            </w:r>
          </w:p>
        </w:tc>
      </w:tr>
    </w:tbl>
    <w:p>
      <w:pPr>
        <w:spacing w:line="560" w:lineRule="exact"/>
        <w:ind w:firstLine="640" w:firstLineChars="200"/>
        <w:jc w:val="center"/>
        <w:rPr>
          <w:rFonts w:ascii="Times New Roman" w:hAnsi="Times New Roman" w:eastAsia="仿宋_GB2312" w:cs="Times New Roman"/>
          <w:color w:val="000000"/>
          <w:kern w:val="0"/>
          <w:sz w:val="32"/>
          <w:szCs w:val="32"/>
        </w:rPr>
        <w:sectPr>
          <w:pgSz w:w="11906" w:h="16838"/>
          <w:pgMar w:top="1531" w:right="1531" w:bottom="1474" w:left="1531" w:header="567" w:footer="1361" w:gutter="0"/>
          <w:pgNumType w:fmt="numberInDash"/>
          <w:cols w:space="720" w:num="1"/>
          <w:docGrid w:type="lines" w:linePitch="312" w:charSpace="0"/>
        </w:sectPr>
      </w:pPr>
    </w:p>
    <w:p>
      <w:pPr>
        <w:pStyle w:val="10"/>
        <w:spacing w:line="560" w:lineRule="exact"/>
        <w:ind w:firstLine="0" w:firstLineChars="0"/>
        <w:jc w:val="left"/>
        <w:outlineLvl w:val="0"/>
        <w:rPr>
          <w:rFonts w:ascii="方正黑体_GBK" w:hAnsi="Times New Roman" w:eastAsia="方正黑体_GBK" w:cs="方正黑体_GBK"/>
          <w:sz w:val="32"/>
          <w:szCs w:val="32"/>
        </w:rPr>
      </w:pPr>
      <w:bookmarkStart w:id="12" w:name="_Toc14347"/>
      <w:bookmarkStart w:id="13" w:name="_Toc29821"/>
      <w:bookmarkStart w:id="14" w:name="_Toc13704"/>
      <w:r>
        <w:rPr>
          <w:rFonts w:hint="eastAsia" w:ascii="方正黑体_GBK" w:hAnsi="Times New Roman" w:eastAsia="方正黑体_GBK" w:cs="方正黑体_GBK"/>
          <w:sz w:val="32"/>
          <w:szCs w:val="32"/>
        </w:rPr>
        <w:t>附件</w:t>
      </w:r>
      <w:r>
        <w:rPr>
          <w:rFonts w:ascii="方正黑体_GBK" w:hAnsi="Times New Roman" w:eastAsia="方正黑体_GBK" w:cs="方正黑体_GBK"/>
          <w:sz w:val="32"/>
          <w:szCs w:val="32"/>
        </w:rPr>
        <w:t>2</w:t>
      </w:r>
      <w:bookmarkEnd w:id="12"/>
      <w:bookmarkEnd w:id="13"/>
      <w:bookmarkEnd w:id="14"/>
    </w:p>
    <w:p>
      <w:pPr>
        <w:spacing w:beforeLines="50" w:line="560" w:lineRule="exact"/>
        <w:jc w:val="center"/>
        <w:rPr>
          <w:rFonts w:ascii="方正小标宋_GBK" w:hAnsi="Times New Roman" w:eastAsia="方正小标宋_GBK" w:cs="Times New Roman"/>
          <w:color w:val="000000"/>
          <w:kern w:val="0"/>
          <w:sz w:val="44"/>
          <w:szCs w:val="44"/>
        </w:rPr>
      </w:pPr>
      <w:r>
        <w:rPr>
          <w:rFonts w:hint="eastAsia" w:ascii="方正小标宋_GBK" w:hAnsi="Times New Roman" w:eastAsia="方正小标宋_GBK" w:cs="方正小标宋_GBK"/>
          <w:color w:val="000000"/>
          <w:kern w:val="0"/>
          <w:sz w:val="44"/>
          <w:szCs w:val="44"/>
        </w:rPr>
        <w:t>平罗县县城</w:t>
      </w:r>
      <w:r>
        <w:rPr>
          <w:rFonts w:ascii="方正小标宋_GBK" w:hAnsi="Times New Roman" w:eastAsia="方正小标宋_GBK" w:cs="方正小标宋_GBK"/>
          <w:color w:val="000000"/>
          <w:kern w:val="0"/>
          <w:sz w:val="44"/>
          <w:szCs w:val="44"/>
        </w:rPr>
        <w:t>4a</w:t>
      </w:r>
      <w:r>
        <w:rPr>
          <w:rFonts w:hint="eastAsia" w:ascii="方正小标宋_GBK" w:hAnsi="Times New Roman" w:eastAsia="方正小标宋_GBK" w:cs="方正小标宋_GBK"/>
          <w:color w:val="000000"/>
          <w:kern w:val="0"/>
          <w:sz w:val="44"/>
          <w:szCs w:val="44"/>
        </w:rPr>
        <w:t>类声环境功能区列表</w:t>
      </w:r>
    </w:p>
    <w:tbl>
      <w:tblPr>
        <w:tblStyle w:val="7"/>
        <w:tblW w:w="50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2291"/>
        <w:gridCol w:w="48"/>
        <w:gridCol w:w="1791"/>
        <w:gridCol w:w="1394"/>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b/>
                <w:bCs/>
                <w:color w:val="000000"/>
                <w:kern w:val="0"/>
                <w:sz w:val="32"/>
                <w:szCs w:val="32"/>
              </w:rPr>
            </w:pPr>
            <w:r>
              <w:rPr>
                <w:rFonts w:hint="eastAsia" w:ascii="Times New Roman" w:hAnsi="Times New Roman" w:eastAsia="仿宋_GB2312" w:cs="仿宋_GB2312"/>
                <w:b/>
                <w:bCs/>
                <w:color w:val="000000"/>
                <w:kern w:val="0"/>
                <w:sz w:val="32"/>
                <w:szCs w:val="32"/>
              </w:rPr>
              <w:t>序号</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b/>
                <w:bCs/>
                <w:color w:val="000000"/>
                <w:sz w:val="32"/>
                <w:szCs w:val="32"/>
              </w:rPr>
            </w:pPr>
            <w:r>
              <w:rPr>
                <w:rFonts w:hint="eastAsia" w:ascii="Times New Roman" w:hAnsi="Times New Roman" w:eastAsia="仿宋_GB2312" w:cs="仿宋_GB2312"/>
                <w:b/>
                <w:bCs/>
                <w:color w:val="000000"/>
                <w:kern w:val="0"/>
                <w:sz w:val="32"/>
                <w:szCs w:val="32"/>
              </w:rPr>
              <w:t>名称</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b/>
                <w:bCs/>
                <w:color w:val="000000"/>
                <w:sz w:val="32"/>
                <w:szCs w:val="32"/>
              </w:rPr>
            </w:pPr>
            <w:r>
              <w:rPr>
                <w:rFonts w:hint="eastAsia" w:ascii="Times New Roman" w:hAnsi="Times New Roman" w:eastAsia="仿宋_GB2312" w:cs="仿宋_GB2312"/>
                <w:b/>
                <w:bCs/>
                <w:color w:val="000000"/>
                <w:kern w:val="0"/>
                <w:sz w:val="32"/>
                <w:szCs w:val="32"/>
              </w:rPr>
              <w:t>道路类型</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b/>
                <w:bCs/>
                <w:color w:val="000000"/>
                <w:sz w:val="32"/>
                <w:szCs w:val="32"/>
              </w:rPr>
            </w:pPr>
            <w:r>
              <w:rPr>
                <w:rFonts w:hint="eastAsia" w:ascii="Times New Roman" w:hAnsi="Times New Roman" w:eastAsia="仿宋_GB2312" w:cs="仿宋_GB2312"/>
                <w:b/>
                <w:bCs/>
                <w:color w:val="000000"/>
                <w:kern w:val="0"/>
                <w:sz w:val="32"/>
                <w:szCs w:val="32"/>
              </w:rPr>
              <w:t>长度</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b/>
                <w:bCs/>
                <w:color w:val="000000"/>
                <w:kern w:val="0"/>
                <w:sz w:val="32"/>
                <w:szCs w:val="32"/>
              </w:rPr>
            </w:pPr>
            <w:r>
              <w:rPr>
                <w:rFonts w:hint="eastAsia" w:ascii="Times New Roman" w:hAnsi="Times New Roman" w:eastAsia="仿宋_GB2312" w:cs="仿宋_GB2312"/>
                <w:b/>
                <w:bCs/>
                <w:color w:val="000000"/>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贺兰山路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3.22</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民族大街</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6.71</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萧公大街</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5.22</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翰林大街</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6.71</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怀通路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4.12</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东环路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4.38</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德渊路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2.36</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玉皇阁大道</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2.66</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玉皇阁大道</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0.72</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鼓楼西路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2.47</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11</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鼓楼东路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2.53</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12</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永安西路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2.38</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13</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永安东路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2.38</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14</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玉龚路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1.94</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15</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109</w:t>
            </w:r>
            <w:r>
              <w:rPr>
                <w:rFonts w:hint="eastAsia" w:ascii="Times New Roman" w:hAnsi="Times New Roman" w:eastAsia="仿宋_GB2312" w:cs="仿宋_GB2312"/>
                <w:color w:val="000000"/>
                <w:kern w:val="0"/>
                <w:sz w:val="32"/>
                <w:szCs w:val="32"/>
              </w:rPr>
              <w:t>国道</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8.06</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16</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陶沙路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3.82</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17</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西环路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7.87</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12"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18</w:t>
            </w:r>
          </w:p>
        </w:tc>
        <w:tc>
          <w:tcPr>
            <w:tcW w:w="1356" w:type="pct"/>
            <w:gridSpan w:val="2"/>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南环路</w:t>
            </w:r>
          </w:p>
        </w:tc>
        <w:tc>
          <w:tcPr>
            <w:tcW w:w="103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w:t>
            </w:r>
          </w:p>
        </w:tc>
        <w:tc>
          <w:tcPr>
            <w:tcW w:w="808" w:type="pct"/>
            <w:noWrap/>
            <w:vAlign w:val="center"/>
          </w:tcPr>
          <w:p>
            <w:pPr>
              <w:widowControl/>
              <w:adjustRightInd w:val="0"/>
              <w:spacing w:line="560" w:lineRule="exact"/>
              <w:jc w:val="center"/>
              <w:textAlignment w:val="top"/>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4.70</w:t>
            </w:r>
          </w:p>
        </w:tc>
        <w:tc>
          <w:tcPr>
            <w:tcW w:w="1086" w:type="pct"/>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在建道路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06" w:type="pct"/>
            <w:gridSpan w:val="4"/>
            <w:noWrap/>
            <w:vAlign w:val="center"/>
          </w:tcPr>
          <w:p>
            <w:pPr>
              <w:adjustRightInd w:val="0"/>
              <w:spacing w:line="560" w:lineRule="exact"/>
              <w:jc w:val="center"/>
              <w:rPr>
                <w:rFonts w:ascii="Times New Roman" w:hAnsi="Times New Roman" w:eastAsia="仿宋_GB2312" w:cs="Times New Roman"/>
                <w:color w:val="000000"/>
                <w:sz w:val="32"/>
                <w:szCs w:val="32"/>
              </w:rPr>
            </w:pPr>
            <w:r>
              <w:rPr>
                <w:rFonts w:hint="eastAsia" w:ascii="Times New Roman" w:hAnsi="Times New Roman" w:eastAsia="仿宋_GB2312" w:cs="仿宋_GB2312"/>
                <w:color w:val="000000"/>
                <w:kern w:val="0"/>
                <w:sz w:val="32"/>
                <w:szCs w:val="32"/>
              </w:rPr>
              <w:t>主干路合计</w:t>
            </w:r>
          </w:p>
        </w:tc>
        <w:tc>
          <w:tcPr>
            <w:tcW w:w="808" w:type="pct"/>
            <w:noWrap/>
            <w:vAlign w:val="center"/>
          </w:tcPr>
          <w:p>
            <w:pPr>
              <w:widowControl/>
              <w:adjustRightInd w:val="0"/>
              <w:spacing w:line="560" w:lineRule="exact"/>
              <w:jc w:val="center"/>
              <w:textAlignment w:val="bottom"/>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72.28</w:t>
            </w:r>
          </w:p>
        </w:tc>
        <w:tc>
          <w:tcPr>
            <w:tcW w:w="1086" w:type="pct"/>
            <w:noWrap/>
            <w:vAlign w:val="center"/>
          </w:tcPr>
          <w:p>
            <w:pPr>
              <w:widowControl/>
              <w:adjustRightInd w:val="0"/>
              <w:spacing w:line="560" w:lineRule="exact"/>
              <w:jc w:val="center"/>
              <w:textAlignment w:val="bottom"/>
              <w:rPr>
                <w:rFonts w:ascii="Times New Roman" w:hAnsi="Times New Roman" w:eastAsia="仿宋_GB2312" w:cs="Times New Roman"/>
                <w:color w:val="000000"/>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b/>
                <w:bCs/>
                <w:color w:val="000000"/>
                <w:kern w:val="0"/>
                <w:sz w:val="32"/>
                <w:szCs w:val="32"/>
              </w:rPr>
            </w:pPr>
            <w:r>
              <w:rPr>
                <w:rFonts w:hint="eastAsia" w:ascii="Times New Roman" w:hAnsi="Times New Roman" w:eastAsia="仿宋_GB2312" w:cs="仿宋_GB2312"/>
                <w:b/>
                <w:bCs/>
                <w:color w:val="000000"/>
                <w:kern w:val="0"/>
                <w:sz w:val="32"/>
                <w:szCs w:val="32"/>
              </w:rPr>
              <w:t>序号</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b/>
                <w:bCs/>
                <w:color w:val="000000"/>
                <w:sz w:val="32"/>
                <w:szCs w:val="32"/>
              </w:rPr>
            </w:pPr>
            <w:r>
              <w:rPr>
                <w:rFonts w:hint="eastAsia" w:ascii="Times New Roman" w:hAnsi="Times New Roman" w:eastAsia="仿宋_GB2312" w:cs="仿宋_GB2312"/>
                <w:b/>
                <w:bCs/>
                <w:color w:val="000000"/>
                <w:kern w:val="0"/>
                <w:sz w:val="32"/>
                <w:szCs w:val="32"/>
              </w:rPr>
              <w:t>名称</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b/>
                <w:bCs/>
                <w:color w:val="000000"/>
                <w:sz w:val="32"/>
                <w:szCs w:val="32"/>
              </w:rPr>
            </w:pPr>
            <w:r>
              <w:rPr>
                <w:rFonts w:hint="eastAsia" w:ascii="Times New Roman" w:hAnsi="Times New Roman" w:eastAsia="仿宋_GB2312" w:cs="仿宋_GB2312"/>
                <w:b/>
                <w:bCs/>
                <w:color w:val="000000"/>
                <w:kern w:val="0"/>
                <w:sz w:val="32"/>
                <w:szCs w:val="32"/>
              </w:rPr>
              <w:t>道路类型</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b/>
                <w:bCs/>
                <w:color w:val="000000"/>
                <w:sz w:val="32"/>
                <w:szCs w:val="32"/>
              </w:rPr>
            </w:pPr>
            <w:r>
              <w:rPr>
                <w:rFonts w:hint="eastAsia" w:ascii="Times New Roman" w:hAnsi="Times New Roman" w:eastAsia="仿宋_GB2312" w:cs="仿宋_GB2312"/>
                <w:b/>
                <w:bCs/>
                <w:color w:val="000000"/>
                <w:kern w:val="0"/>
                <w:sz w:val="32"/>
                <w:szCs w:val="32"/>
              </w:rPr>
              <w:t>长度</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b/>
                <w:bCs/>
                <w:color w:val="000000"/>
                <w:kern w:val="0"/>
                <w:sz w:val="32"/>
                <w:szCs w:val="32"/>
              </w:rPr>
            </w:pPr>
            <w:r>
              <w:rPr>
                <w:rFonts w:hint="eastAsia" w:ascii="Times New Roman" w:hAnsi="Times New Roman" w:eastAsia="仿宋_GB2312" w:cs="仿宋_GB2312"/>
                <w:b/>
                <w:bCs/>
                <w:color w:val="000000"/>
                <w:kern w:val="0"/>
                <w:sz w:val="32"/>
                <w:szCs w:val="32"/>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利民路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1.53</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金桥路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1.92</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玉丰路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1.72</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怀远路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5.33</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姚福路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1.66</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规划路</w:t>
            </w:r>
            <w:r>
              <w:rPr>
                <w:rFonts w:ascii="Times New Roman" w:hAnsi="Times New Roman" w:eastAsia="仿宋_GB2312" w:cs="Times New Roman"/>
                <w:color w:val="000000"/>
                <w:kern w:val="0"/>
                <w:sz w:val="32"/>
                <w:szCs w:val="32"/>
              </w:rPr>
              <w:t>1</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1.03</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规划道路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规划路</w:t>
            </w:r>
            <w:r>
              <w:rPr>
                <w:rFonts w:ascii="Times New Roman" w:hAnsi="Times New Roman" w:eastAsia="仿宋_GB2312" w:cs="Times New Roman"/>
                <w:color w:val="000000"/>
                <w:kern w:val="0"/>
                <w:sz w:val="32"/>
                <w:szCs w:val="32"/>
              </w:rPr>
              <w:t>2</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1.24</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规划道路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唐徕大街</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4.32</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团结西路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4.88</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田州路</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2.64</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jc w:val="center"/>
        </w:trPr>
        <w:tc>
          <w:tcPr>
            <w:tcW w:w="712"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11</w:t>
            </w:r>
          </w:p>
        </w:tc>
        <w:tc>
          <w:tcPr>
            <w:tcW w:w="132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鼓楼北街</w:t>
            </w:r>
          </w:p>
        </w:tc>
        <w:tc>
          <w:tcPr>
            <w:tcW w:w="1066" w:type="pct"/>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4.38</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建成道路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3106" w:type="pct"/>
            <w:gridSpan w:val="4"/>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次干路合计</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30.65</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jc w:val="center"/>
        </w:trPr>
        <w:tc>
          <w:tcPr>
            <w:tcW w:w="3106" w:type="pct"/>
            <w:gridSpan w:val="4"/>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hint="eastAsia" w:ascii="Times New Roman" w:hAnsi="Times New Roman" w:eastAsia="仿宋_GB2312" w:cs="仿宋_GB2312"/>
                <w:color w:val="000000"/>
                <w:kern w:val="0"/>
                <w:sz w:val="32"/>
                <w:szCs w:val="32"/>
              </w:rPr>
              <w:t>总计（主干路</w:t>
            </w:r>
            <w:r>
              <w:rPr>
                <w:rFonts w:ascii="Times New Roman" w:hAnsi="Times New Roman" w:eastAsia="仿宋_GB2312" w:cs="Times New Roman"/>
                <w:color w:val="000000"/>
                <w:kern w:val="0"/>
                <w:sz w:val="32"/>
                <w:szCs w:val="32"/>
              </w:rPr>
              <w:t>+</w:t>
            </w:r>
            <w:r>
              <w:rPr>
                <w:rFonts w:hint="eastAsia" w:ascii="Times New Roman" w:hAnsi="Times New Roman" w:eastAsia="仿宋_GB2312" w:cs="仿宋_GB2312"/>
                <w:color w:val="000000"/>
                <w:kern w:val="0"/>
                <w:sz w:val="32"/>
                <w:szCs w:val="32"/>
              </w:rPr>
              <w:t>次干路）</w:t>
            </w:r>
          </w:p>
        </w:tc>
        <w:tc>
          <w:tcPr>
            <w:tcW w:w="808"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102.93</w:t>
            </w:r>
          </w:p>
        </w:tc>
        <w:tc>
          <w:tcPr>
            <w:tcW w:w="1086" w:type="pc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560" w:lineRule="exact"/>
              <w:jc w:val="center"/>
              <w:textAlignment w:val="top"/>
              <w:rPr>
                <w:rFonts w:ascii="Times New Roman" w:hAnsi="Times New Roman" w:eastAsia="仿宋_GB2312" w:cs="Times New Roman"/>
                <w:color w:val="000000"/>
                <w:kern w:val="0"/>
                <w:sz w:val="32"/>
                <w:szCs w:val="32"/>
              </w:rPr>
            </w:pPr>
          </w:p>
        </w:tc>
      </w:tr>
    </w:tbl>
    <w:p>
      <w:pPr>
        <w:pStyle w:val="2"/>
        <w:spacing w:line="560" w:lineRule="exact"/>
        <w:ind w:left="31680" w:firstLine="31680"/>
        <w:rPr>
          <w:rFonts w:ascii="Times New Roman" w:hAnsi="Times New Roman" w:eastAsia="仿宋_GB2312" w:cs="Times New Roman"/>
          <w:b/>
          <w:bCs/>
          <w:color w:val="000000"/>
          <w:kern w:val="0"/>
          <w:sz w:val="32"/>
          <w:szCs w:val="32"/>
        </w:rPr>
      </w:pPr>
    </w:p>
    <w:p/>
    <w:p/>
    <w:p/>
    <w:p/>
    <w:p/>
    <w:p/>
    <w:p/>
    <w:p/>
    <w:p/>
    <w:p/>
    <w:p/>
    <w:p/>
    <w:p>
      <w:r>
        <w:drawing>
          <wp:anchor distT="0" distB="0" distL="114935" distR="114935" simplePos="0" relativeHeight="251660288" behindDoc="1" locked="0" layoutInCell="1" allowOverlap="1">
            <wp:simplePos x="0" y="0"/>
            <wp:positionH relativeFrom="column">
              <wp:posOffset>-133985</wp:posOffset>
            </wp:positionH>
            <wp:positionV relativeFrom="paragraph">
              <wp:posOffset>-104140</wp:posOffset>
            </wp:positionV>
            <wp:extent cx="5260340" cy="7439660"/>
            <wp:effectExtent l="0" t="0" r="16510" b="8890"/>
            <wp:wrapTight wrapText="bothSides">
              <wp:wrapPolygon>
                <wp:start x="0" y="0"/>
                <wp:lineTo x="0" y="21571"/>
                <wp:lineTo x="21511" y="21571"/>
                <wp:lineTo x="21511" y="0"/>
                <wp:lineTo x="0" y="0"/>
              </wp:wrapPolygon>
            </wp:wrapTight>
            <wp:docPr id="2" name="图片 1" descr="附图1 声环境功能区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附图1 声环境功能区划范围图"/>
                    <pic:cNvPicPr>
                      <a:picLocks noChangeAspect="1"/>
                    </pic:cNvPicPr>
                  </pic:nvPicPr>
                  <pic:blipFill>
                    <a:blip r:embed="rId5"/>
                    <a:stretch>
                      <a:fillRect/>
                    </a:stretch>
                  </pic:blipFill>
                  <pic:spPr>
                    <a:xfrm>
                      <a:off x="0" y="0"/>
                      <a:ext cx="5260340" cy="7439660"/>
                    </a:xfrm>
                    <a:prstGeom prst="rect">
                      <a:avLst/>
                    </a:prstGeom>
                    <a:noFill/>
                    <a:ln>
                      <a:noFill/>
                    </a:ln>
                  </pic:spPr>
                </pic:pic>
              </a:graphicData>
            </a:graphic>
          </wp:anchor>
        </w:drawing>
      </w:r>
    </w:p>
    <w:p/>
    <w:p/>
    <w:p/>
    <w:p/>
    <w:p/>
    <w:p/>
    <w:p>
      <w:r>
        <w:drawing>
          <wp:anchor distT="0" distB="0" distL="114300" distR="114300" simplePos="0" relativeHeight="251661312" behindDoc="0" locked="0" layoutInCell="1" allowOverlap="1">
            <wp:simplePos x="0" y="0"/>
            <wp:positionH relativeFrom="column">
              <wp:posOffset>-133350</wp:posOffset>
            </wp:positionH>
            <wp:positionV relativeFrom="paragraph">
              <wp:posOffset>110490</wp:posOffset>
            </wp:positionV>
            <wp:extent cx="5268595" cy="6788150"/>
            <wp:effectExtent l="0" t="0" r="8255" b="12700"/>
            <wp:wrapSquare wrapText="bothSides"/>
            <wp:docPr id="3" name="图片 2" descr="附图2 区域环境噪声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附图2 区域环境噪声监测点位图"/>
                    <pic:cNvPicPr>
                      <a:picLocks noChangeAspect="1"/>
                    </pic:cNvPicPr>
                  </pic:nvPicPr>
                  <pic:blipFill>
                    <a:blip r:embed="rId6"/>
                    <a:stretch>
                      <a:fillRect/>
                    </a:stretch>
                  </pic:blipFill>
                  <pic:spPr>
                    <a:xfrm>
                      <a:off x="0" y="0"/>
                      <a:ext cx="5268595" cy="6788150"/>
                    </a:xfrm>
                    <a:prstGeom prst="rect">
                      <a:avLst/>
                    </a:prstGeom>
                    <a:noFill/>
                    <a:ln>
                      <a:noFill/>
                    </a:ln>
                  </pic:spPr>
                </pic:pic>
              </a:graphicData>
            </a:graphic>
          </wp:anchor>
        </w:drawing>
      </w:r>
    </w:p>
    <w:p/>
    <w:p/>
    <w:p/>
    <w:p/>
    <w:p>
      <w:pPr>
        <w:pStyle w:val="2"/>
      </w:pPr>
    </w:p>
    <w:p>
      <w:pPr>
        <w:pStyle w:val="5"/>
      </w:pPr>
    </w:p>
    <w:p>
      <w:r>
        <w:drawing>
          <wp:anchor distT="0" distB="0" distL="114935" distR="114935" simplePos="0" relativeHeight="251659264" behindDoc="0" locked="0" layoutInCell="1" allowOverlap="1">
            <wp:simplePos x="0" y="0"/>
            <wp:positionH relativeFrom="column">
              <wp:posOffset>-94615</wp:posOffset>
            </wp:positionH>
            <wp:positionV relativeFrom="page">
              <wp:posOffset>548005</wp:posOffset>
            </wp:positionV>
            <wp:extent cx="5269230" cy="7451725"/>
            <wp:effectExtent l="0" t="0" r="7620" b="15875"/>
            <wp:wrapSquare wrapText="bothSides"/>
            <wp:docPr id="4" name="图片 3" descr="附件3 道路交通噪声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附件3 道路交通噪声监测点位图"/>
                    <pic:cNvPicPr>
                      <a:picLocks noChangeAspect="1"/>
                    </pic:cNvPicPr>
                  </pic:nvPicPr>
                  <pic:blipFill>
                    <a:blip r:embed="rId7"/>
                    <a:stretch>
                      <a:fillRect/>
                    </a:stretch>
                  </pic:blipFill>
                  <pic:spPr>
                    <a:xfrm>
                      <a:off x="0" y="0"/>
                      <a:ext cx="5269230" cy="7451725"/>
                    </a:xfrm>
                    <a:prstGeom prst="rect">
                      <a:avLst/>
                    </a:prstGeom>
                    <a:noFill/>
                    <a:ln>
                      <a:noFill/>
                    </a:ln>
                  </pic:spPr>
                </pic:pic>
              </a:graphicData>
            </a:graphic>
          </wp:anchor>
        </w:drawing>
      </w:r>
    </w:p>
    <w:p/>
    <w:p/>
    <w:p/>
    <w:p/>
    <w:p/>
    <w:p/>
    <w:p>
      <w:pPr>
        <w:pStyle w:val="2"/>
      </w:pPr>
    </w:p>
    <w:p>
      <w:pPr>
        <w:pStyle w:val="5"/>
      </w:pPr>
      <w:r>
        <w:drawing>
          <wp:anchor distT="0" distB="0" distL="114300" distR="114300" simplePos="0" relativeHeight="251662336" behindDoc="0" locked="0" layoutInCell="1" allowOverlap="1">
            <wp:simplePos x="0" y="0"/>
            <wp:positionH relativeFrom="column">
              <wp:posOffset>-121920</wp:posOffset>
            </wp:positionH>
            <wp:positionV relativeFrom="paragraph">
              <wp:posOffset>-34925</wp:posOffset>
            </wp:positionV>
            <wp:extent cx="5269230" cy="7451725"/>
            <wp:effectExtent l="0" t="0" r="7620" b="15875"/>
            <wp:wrapSquare wrapText="bothSides"/>
            <wp:docPr id="5" name="图片 4" descr="附图4 功能区环境噪声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附图4 功能区环境噪声监测点位图"/>
                    <pic:cNvPicPr>
                      <a:picLocks noChangeAspect="1"/>
                    </pic:cNvPicPr>
                  </pic:nvPicPr>
                  <pic:blipFill>
                    <a:blip r:embed="rId8"/>
                    <a:stretch>
                      <a:fillRect/>
                    </a:stretch>
                  </pic:blipFill>
                  <pic:spPr>
                    <a:xfrm>
                      <a:off x="0" y="0"/>
                      <a:ext cx="5269230" cy="7451725"/>
                    </a:xfrm>
                    <a:prstGeom prst="rect">
                      <a:avLst/>
                    </a:prstGeom>
                    <a:noFill/>
                    <a:ln>
                      <a:noFill/>
                    </a:ln>
                  </pic:spPr>
                </pic:pic>
              </a:graphicData>
            </a:graphic>
          </wp:anchor>
        </w:drawing>
      </w:r>
    </w:p>
    <w:p>
      <w:pPr>
        <w:pStyle w:val="5"/>
      </w:pPr>
    </w:p>
    <w:p>
      <w:pPr>
        <w:pStyle w:val="5"/>
      </w:pPr>
    </w:p>
    <w:p>
      <w:r>
        <w:drawing>
          <wp:anchor distT="0" distB="0" distL="114935" distR="114935" simplePos="0" relativeHeight="251663360" behindDoc="0" locked="0" layoutInCell="1" allowOverlap="1">
            <wp:simplePos x="0" y="0"/>
            <wp:positionH relativeFrom="column">
              <wp:posOffset>-116840</wp:posOffset>
            </wp:positionH>
            <wp:positionV relativeFrom="paragraph">
              <wp:posOffset>384810</wp:posOffset>
            </wp:positionV>
            <wp:extent cx="5291455" cy="7489825"/>
            <wp:effectExtent l="0" t="0" r="4445" b="15875"/>
            <wp:wrapSquare wrapText="bothSides"/>
            <wp:docPr id="6" name="图片 5" descr="附图5 声环境功能区划分成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附图5 声环境功能区划分成果图1"/>
                    <pic:cNvPicPr>
                      <a:picLocks noChangeAspect="1"/>
                    </pic:cNvPicPr>
                  </pic:nvPicPr>
                  <pic:blipFill>
                    <a:blip r:embed="rId9"/>
                    <a:stretch>
                      <a:fillRect/>
                    </a:stretch>
                  </pic:blipFill>
                  <pic:spPr>
                    <a:xfrm>
                      <a:off x="0" y="0"/>
                      <a:ext cx="5291455" cy="748982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uto" w:vAnchor="text" w:hAnchor="margin" w:xAlign="outside" w:y="1"/>
      <w:rPr>
        <w:rStyle w:val="9"/>
        <w:rFonts w:ascii="宋体" w:cs="Times New Roman"/>
        <w:sz w:val="28"/>
        <w:szCs w:val="28"/>
      </w:rPr>
    </w:pPr>
    <w:r>
      <w:rPr>
        <w:rStyle w:val="9"/>
        <w:rFonts w:ascii="宋体" w:hAnsi="宋体" w:cs="宋体"/>
        <w:sz w:val="28"/>
        <w:szCs w:val="28"/>
      </w:rPr>
      <w:fldChar w:fldCharType="begin"/>
    </w:r>
    <w:r>
      <w:rPr>
        <w:rStyle w:val="9"/>
        <w:rFonts w:ascii="宋体" w:hAnsi="宋体" w:cs="宋体"/>
        <w:sz w:val="28"/>
        <w:szCs w:val="28"/>
      </w:rPr>
      <w:instrText xml:space="preserve">PAGE  </w:instrText>
    </w:r>
    <w:r>
      <w:rPr>
        <w:rStyle w:val="9"/>
        <w:rFonts w:ascii="宋体" w:hAnsi="宋体" w:cs="宋体"/>
        <w:sz w:val="28"/>
        <w:szCs w:val="28"/>
      </w:rPr>
      <w:fldChar w:fldCharType="separate"/>
    </w:r>
    <w:r>
      <w:rPr>
        <w:rStyle w:val="9"/>
        <w:rFonts w:ascii="宋体" w:hAnsi="宋体" w:cs="宋体"/>
        <w:sz w:val="28"/>
        <w:szCs w:val="28"/>
      </w:rPr>
      <w:t>- 3 -</w:t>
    </w:r>
    <w:r>
      <w:rPr>
        <w:rStyle w:val="9"/>
        <w:rFonts w:ascii="宋体" w:hAnsi="宋体" w:cs="宋体"/>
        <w:sz w:val="28"/>
        <w:szCs w:val="28"/>
      </w:rPr>
      <w:fldChar w:fldCharType="end"/>
    </w:r>
  </w:p>
  <w:p>
    <w:pPr>
      <w:pStyle w:val="6"/>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ZkNDEyMGI0ZmI4M2JjMDkxZGRjMGRiMGRkNTU1YzkifQ=="/>
  </w:docVars>
  <w:rsids>
    <w:rsidRoot w:val="06A143D6"/>
    <w:rsid w:val="06A14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99"/>
    <w:pPr>
      <w:widowControl w:val="0"/>
      <w:spacing w:after="120" w:line="360" w:lineRule="auto"/>
      <w:ind w:left="420" w:leftChars="200" w:firstLine="420" w:firstLineChars="200"/>
    </w:pPr>
    <w:rPr>
      <w:rFonts w:ascii="宋体" w:hAnsi="宋体" w:cs="宋体"/>
      <w:color w:val="FF0000"/>
      <w:kern w:val="2"/>
      <w:sz w:val="24"/>
      <w:szCs w:val="24"/>
    </w:rPr>
  </w:style>
  <w:style w:type="paragraph" w:styleId="3">
    <w:name w:val="Body Text Indent"/>
    <w:basedOn w:val="1"/>
    <w:next w:val="4"/>
    <w:qFormat/>
    <w:uiPriority w:val="99"/>
    <w:pPr>
      <w:widowControl/>
      <w:ind w:firstLine="584"/>
    </w:pPr>
    <w:rPr>
      <w:rFonts w:ascii="仿宋_GB2312" w:cs="仿宋_GB2312"/>
      <w:kern w:val="0"/>
      <w:sz w:val="28"/>
      <w:szCs w:val="28"/>
    </w:rPr>
  </w:style>
  <w:style w:type="paragraph" w:styleId="4">
    <w:name w:val="toc 9"/>
    <w:basedOn w:val="1"/>
    <w:next w:val="1"/>
    <w:semiHidden/>
    <w:qFormat/>
    <w:uiPriority w:val="99"/>
    <w:pPr>
      <w:spacing w:line="360" w:lineRule="auto"/>
      <w:ind w:left="2560" w:firstLine="200" w:firstLineChars="200"/>
      <w:jc w:val="left"/>
    </w:pPr>
    <w:rPr>
      <w:rFonts w:eastAsia="仿宋_GB2312"/>
      <w:sz w:val="18"/>
      <w:szCs w:val="18"/>
    </w:rPr>
  </w:style>
  <w:style w:type="paragraph" w:styleId="5">
    <w:name w:val="Body Text First Indent"/>
    <w:basedOn w:val="1"/>
    <w:next w:val="1"/>
    <w:qFormat/>
    <w:uiPriority w:val="99"/>
    <w:pPr>
      <w:snapToGrid w:val="0"/>
      <w:spacing w:after="120" w:line="640" w:lineRule="exact"/>
      <w:ind w:firstLine="420" w:firstLineChars="100"/>
    </w:pPr>
    <w:rPr>
      <w:rFonts w:ascii="Times New Roman" w:hAnsi="Times New Roman" w:cs="Times New Roman"/>
      <w:sz w:val="24"/>
      <w:szCs w:val="24"/>
    </w:rPr>
  </w:style>
  <w:style w:type="paragraph" w:styleId="6">
    <w:name w:val="footer"/>
    <w:basedOn w:val="1"/>
    <w:qFormat/>
    <w:uiPriority w:val="99"/>
    <w:pPr>
      <w:tabs>
        <w:tab w:val="center" w:pos="4153"/>
        <w:tab w:val="right" w:pos="8306"/>
      </w:tabs>
      <w:snapToGrid w:val="0"/>
      <w:jc w:val="left"/>
    </w:pPr>
    <w:rPr>
      <w:sz w:val="18"/>
      <w:szCs w:val="18"/>
    </w:rPr>
  </w:style>
  <w:style w:type="character" w:styleId="9">
    <w:name w:val="page number"/>
    <w:basedOn w:val="8"/>
    <w:qFormat/>
    <w:uiPriority w:val="99"/>
  </w:style>
  <w:style w:type="paragraph" w:customStyle="1" w:styleId="10">
    <w:name w:val="列出段落1"/>
    <w:basedOn w:val="1"/>
    <w:qFormat/>
    <w:uiPriority w:val="99"/>
    <w:pPr>
      <w:spacing w:line="520" w:lineRule="exact"/>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2022-12-12T09:03:00Z</dcterms:created>
  <dc:creator>糖果</dc:creator>
  <cp:lastModifiedBy>糖果</cp:lastModifiedBy>
  <dcterms:modified xsi:type="dcterms:W3CDTF">2022-12-12T09:11:15Z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EFAE6C59ECFB441BA9D02A36A84F0C9F</vt:lpwstr>
  </property>
</Properties>
</file>