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方正黑体_GBK"/>
          <w:sz w:val="32"/>
          <w:szCs w:val="32"/>
        </w:rPr>
        <w:t>附件</w:t>
      </w:r>
    </w:p>
    <w:p>
      <w:pPr>
        <w:spacing w:line="500" w:lineRule="exact"/>
        <w:rPr>
          <w:rFonts w:ascii="方正黑体_GBK" w:hAnsi="宋体" w:eastAsia="方正黑体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年度土地储备计划</w:t>
      </w:r>
    </w:p>
    <w:bookmarkEnd w:id="0"/>
    <w:p>
      <w:pPr>
        <w:snapToGrid w:val="0"/>
        <w:spacing w:line="540" w:lineRule="exact"/>
        <w:rPr>
          <w:rFonts w:eastAsia="方正仿宋_GBK"/>
          <w:sz w:val="30"/>
          <w:szCs w:val="30"/>
        </w:rPr>
      </w:pPr>
    </w:p>
    <w:p>
      <w:pPr>
        <w:snapToGrid w:val="0"/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为进一步完善我县土地储备制度，加强土地宏观调控，强化土地储备管理，促进土地资源节约集约利用，提高建设用地保障能力。根据原国土资源部、财政部、中国人民银行、中国银行业监督管理委员会《土地储备管理办法》（国土资规〔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eastAsia="方正仿宋_GBK"/>
          <w:sz w:val="32"/>
          <w:szCs w:val="32"/>
        </w:rPr>
        <w:t>17</w:t>
      </w:r>
      <w:r>
        <w:rPr>
          <w:rFonts w:hint="eastAsia" w:eastAsia="方正仿宋_GBK" w:cs="方正仿宋_GBK"/>
          <w:sz w:val="32"/>
          <w:szCs w:val="32"/>
        </w:rPr>
        <w:t>号）精神，结合平罗县经济社会发展形势，制定本计划。</w:t>
      </w:r>
    </w:p>
    <w:p>
      <w:pPr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一、指导思想</w:t>
      </w:r>
    </w:p>
    <w:p>
      <w:pPr>
        <w:snapToGrid w:val="0"/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有效利用土地储备机制，盘活存量土地，优化土地利用结构，围绕县委、政府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年的工作目标，充分发挥政府宏观调控作用，保障城镇建设用地需求，促进土地集约利用，提高建设用地保障能力和城市经营运作水平。</w:t>
      </w:r>
    </w:p>
    <w:p>
      <w:pPr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二、编制原则</w:t>
      </w:r>
    </w:p>
    <w:p>
      <w:pPr>
        <w:snapToGrid w:val="0"/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（一）按照本县经济社会发展需求，合理确定计划总体目标。</w:t>
      </w:r>
    </w:p>
    <w:p>
      <w:pPr>
        <w:snapToGrid w:val="0"/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（二）盘活存量建设用地，有效处置和充分利用低效、闲置土地。一是国有和城镇集体用地的收储开发，二是供而未用、用而未尽等闲置收回土地的收储利用。</w:t>
      </w:r>
    </w:p>
    <w:p>
      <w:pPr>
        <w:snapToGrid w:val="0"/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（三）适度控制投资规模，保障土地储备健康发展。投入的资金主要用于盘活城镇存量建设用地和土地储备，同时要与储备土地供应及资金回笼相衔接，降低资金运行风险。</w:t>
      </w:r>
    </w:p>
    <w:p>
      <w:pPr>
        <w:snapToGrid w:val="0"/>
        <w:spacing w:line="54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三、</w:t>
      </w:r>
      <w:r>
        <w:rPr>
          <w:rFonts w:ascii="方正黑体_GBK" w:eastAsia="方正黑体_GBK" w:cs="方正黑体_GBK"/>
          <w:sz w:val="32"/>
          <w:szCs w:val="32"/>
        </w:rPr>
        <w:t>2022</w:t>
      </w:r>
      <w:r>
        <w:rPr>
          <w:rFonts w:hint="eastAsia" w:ascii="方正黑体_GBK" w:eastAsia="方正黑体_GBK" w:cs="方正黑体_GBK"/>
          <w:sz w:val="32"/>
          <w:szCs w:val="32"/>
        </w:rPr>
        <w:t>年度总体安排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（一）土地储备总量：上年结转土地储备面积</w:t>
      </w:r>
      <w:r>
        <w:rPr>
          <w:rFonts w:eastAsia="方正仿宋_GBK"/>
          <w:sz w:val="32"/>
          <w:szCs w:val="32"/>
        </w:rPr>
        <w:t>623.10</w:t>
      </w:r>
      <w:r>
        <w:rPr>
          <w:rFonts w:hint="eastAsia" w:eastAsia="方正仿宋_GBK" w:cs="方正仿宋_GBK"/>
          <w:sz w:val="32"/>
          <w:szCs w:val="32"/>
        </w:rPr>
        <w:t>公顷，本年度拟新增土地储备面积</w:t>
      </w:r>
      <w:r>
        <w:rPr>
          <w:rFonts w:eastAsia="方正仿宋_GBK"/>
          <w:sz w:val="32"/>
          <w:szCs w:val="32"/>
        </w:rPr>
        <w:t>63.95</w:t>
      </w:r>
      <w:r>
        <w:rPr>
          <w:rFonts w:hint="eastAsia" w:eastAsia="方正仿宋_GBK" w:cs="方正仿宋_GBK"/>
          <w:sz w:val="32"/>
          <w:szCs w:val="32"/>
        </w:rPr>
        <w:t>公顷，年度储备土地开发面积</w:t>
      </w:r>
      <w:r>
        <w:rPr>
          <w:rFonts w:eastAsia="方正仿宋_GBK"/>
          <w:sz w:val="32"/>
          <w:szCs w:val="32"/>
        </w:rPr>
        <w:t>63.95</w:t>
      </w:r>
      <w:r>
        <w:rPr>
          <w:rFonts w:hint="eastAsia" w:eastAsia="方正仿宋_GBK" w:cs="方正仿宋_GBK"/>
          <w:sz w:val="32"/>
          <w:szCs w:val="32"/>
        </w:rPr>
        <w:t>公顷，年末结存面积</w:t>
      </w:r>
      <w:r>
        <w:rPr>
          <w:rFonts w:eastAsia="方正仿宋_GBK"/>
          <w:sz w:val="32"/>
          <w:szCs w:val="32"/>
        </w:rPr>
        <w:t>623.10</w:t>
      </w:r>
      <w:r>
        <w:rPr>
          <w:rFonts w:hint="eastAsia" w:eastAsia="方正仿宋_GBK" w:cs="方正仿宋_GBK"/>
          <w:sz w:val="32"/>
          <w:szCs w:val="32"/>
        </w:rPr>
        <w:t>公顷。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（二）土地收储资金安排：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年计划安排土地储备开发投资</w:t>
      </w:r>
      <w:r>
        <w:rPr>
          <w:rFonts w:eastAsia="方正仿宋_GBK"/>
          <w:sz w:val="32"/>
          <w:szCs w:val="32"/>
        </w:rPr>
        <w:t>15171.44</w:t>
      </w:r>
      <w:r>
        <w:rPr>
          <w:rFonts w:hint="eastAsia" w:eastAsia="方正仿宋_GBK" w:cs="方正仿宋_GBK"/>
          <w:sz w:val="32"/>
          <w:szCs w:val="32"/>
        </w:rPr>
        <w:t>万元。土地收储开发资金从土地出让收益资金中安排，不足部分从县财政其他收入中列支。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（三）储备土地供应：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年计划供应储备土地</w:t>
      </w:r>
      <w:r>
        <w:rPr>
          <w:rFonts w:eastAsia="方正仿宋_GBK"/>
          <w:sz w:val="32"/>
          <w:szCs w:val="32"/>
        </w:rPr>
        <w:t>63.95</w:t>
      </w:r>
      <w:r>
        <w:rPr>
          <w:rFonts w:hint="eastAsia" w:eastAsia="方正仿宋_GBK" w:cs="方正仿宋_GBK"/>
          <w:sz w:val="32"/>
          <w:szCs w:val="32"/>
        </w:rPr>
        <w:t>公顷，其中：经营性住宅和商服用地</w:t>
      </w:r>
      <w:r>
        <w:rPr>
          <w:rFonts w:eastAsia="方正仿宋_GBK"/>
          <w:sz w:val="32"/>
          <w:szCs w:val="32"/>
        </w:rPr>
        <w:t>63.95</w:t>
      </w:r>
      <w:r>
        <w:rPr>
          <w:rFonts w:hint="eastAsia" w:eastAsia="方正仿宋_GBK" w:cs="方正仿宋_GBK"/>
          <w:sz w:val="32"/>
          <w:szCs w:val="32"/>
        </w:rPr>
        <w:t>公顷。</w:t>
      </w:r>
    </w:p>
    <w:p>
      <w:pPr>
        <w:snapToGrid w:val="0"/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四、计划实施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县财政部门主要承担土地收储开发资金的落实；县自然资源局具体负责土地储备计划的执行，按照市场需求，及时做好储备土地的供应，加快资金回笼；城关镇人民政府和县相关部门协调做好土地收储供应前置工作，推进土地储备计划实施。</w:t>
      </w:r>
    </w:p>
    <w:p>
      <w:pPr>
        <w:snapToGrid w:val="0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在土地收储实施过程中，如确需对计划进行调整的，报县人民政府批准。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附表：</w:t>
      </w: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 w:cs="方正仿宋_GBK"/>
          <w:sz w:val="32"/>
          <w:szCs w:val="32"/>
        </w:rPr>
        <w:t>平罗县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年度土地储备计划表</w:t>
      </w:r>
    </w:p>
    <w:p>
      <w:pPr>
        <w:adjustRightInd w:val="0"/>
        <w:snapToGrid w:val="0"/>
        <w:spacing w:beforeLines="50" w:afterLines="50" w:line="400" w:lineRule="exact"/>
        <w:ind w:firstLine="1600" w:firstLineChars="500"/>
        <w:jc w:val="left"/>
        <w:rPr>
          <w:rFonts w:ascii="仿宋_GB2312" w:hAnsi="仿宋_GB2312" w:eastAsia="仿宋_GB2312"/>
          <w:sz w:val="30"/>
          <w:szCs w:val="30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 w:cs="方正仿宋_GBK"/>
          <w:sz w:val="32"/>
          <w:szCs w:val="32"/>
        </w:rPr>
        <w:t>平罗县</w:t>
      </w:r>
      <w:r>
        <w:rPr>
          <w:rFonts w:eastAsia="方正仿宋_GBK"/>
          <w:sz w:val="32"/>
          <w:szCs w:val="32"/>
        </w:rPr>
        <w:t>2022</w:t>
      </w:r>
      <w:r>
        <w:rPr>
          <w:rFonts w:hint="eastAsia" w:eastAsia="方正仿宋_GBK" w:cs="方正仿宋_GBK"/>
          <w:sz w:val="32"/>
          <w:szCs w:val="32"/>
        </w:rPr>
        <w:t>年度土地储备供应计划表</w:t>
      </w:r>
    </w:p>
    <w:p>
      <w:pPr>
        <w:adjustRightInd w:val="0"/>
        <w:snapToGrid w:val="0"/>
        <w:spacing w:beforeLines="50" w:afterLines="50" w:line="400" w:lineRule="exact"/>
        <w:jc w:val="left"/>
        <w:rPr>
          <w:rFonts w:ascii="仿宋_GB2312" w:hAnsi="仿宋_GB2312" w:eastAsia="仿宋_GB2312"/>
          <w:sz w:val="30"/>
          <w:szCs w:val="30"/>
        </w:rPr>
        <w:sectPr>
          <w:footerReference r:id="rId3" w:type="default"/>
          <w:pgSz w:w="11906" w:h="16838"/>
          <w:pgMar w:top="1928" w:right="1531" w:bottom="1588" w:left="1531" w:header="567" w:footer="1474" w:gutter="0"/>
          <w:pgNumType w:fmt="numberInDash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480" w:lineRule="exact"/>
        <w:jc w:val="left"/>
        <w:rPr>
          <w:rStyle w:val="5"/>
          <w:rFonts w:ascii="方正黑体_GBK" w:hAnsi="微软雅黑" w:eastAsia="方正黑体_GBK"/>
          <w:b w:val="0"/>
          <w:bCs w:val="0"/>
          <w:color w:val="454545"/>
          <w:sz w:val="32"/>
          <w:szCs w:val="32"/>
        </w:rPr>
      </w:pPr>
      <w:r>
        <w:rPr>
          <w:rFonts w:hint="eastAsia" w:ascii="方正黑体_GBK" w:hAnsi="仿宋_GB2312" w:eastAsia="方正黑体_GBK" w:cs="方正黑体_GBK"/>
          <w:sz w:val="32"/>
          <w:szCs w:val="32"/>
        </w:rPr>
        <w:t>附表</w:t>
      </w:r>
      <w:r>
        <w:rPr>
          <w:rFonts w:ascii="方正黑体_GBK" w:hAnsi="仿宋_GB2312" w:eastAsia="方正黑体_GBK" w:cs="方正黑体_GBK"/>
          <w:sz w:val="32"/>
          <w:szCs w:val="32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年度土地储备计划表</w:t>
      </w:r>
    </w:p>
    <w:p>
      <w:pPr>
        <w:adjustRightInd w:val="0"/>
        <w:snapToGrid w:val="0"/>
        <w:spacing w:line="340" w:lineRule="exact"/>
        <w:jc w:val="righ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单位：公顷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83"/>
        <w:gridCol w:w="890"/>
        <w:gridCol w:w="4337"/>
        <w:gridCol w:w="1488"/>
        <w:gridCol w:w="1465"/>
        <w:gridCol w:w="1135"/>
        <w:gridCol w:w="1231"/>
        <w:gridCol w:w="11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乡（镇）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地块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土地坐落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土地面积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土地来源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土地类型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原用途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规划用途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2022-1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地块，位于县城北区山水大道南侧，集污管道北侧，萧公大街西侧，新利小区北大门东侧。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2.5399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38.10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收回存量建设用地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2022-2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47-2#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47-6#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地块，位于县城新区南域民族大街西侧，永安西路北侧，银北医院南侧，怀远大街与唐徕渠东侧。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10.3772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155.66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2022-3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44-3#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44-4#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地块，位于县城新区鼓楼大道南侧，新渠路北侧，怀远大街西侧，极乐寺东侧。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14.1442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212.16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2022-4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48-4#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地块，位于县城南区田州路北侧，南大街东侧，南苑小区西侧。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3.6363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54.54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收回存量建设用地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2022-5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48-8#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地块，位于南区四中南侧，翰林大街东侧，南大街西侧，田州路北侧。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6.5827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98.74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收回存量建设用地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2022-6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县城向阳小区片区，地块位于县城团结东路南侧，鼓楼北街东侧，东风路西侧，光辉城市花园北侧。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3.0873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46.31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收回存量建设用地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建设用地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7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2022-7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57#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地块，位于县城鼓楼东街取直段南侧，唐徕渠东侧，文昌路北侧，唐徕大街西侧。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21.5800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323.70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8</w:t>
            </w: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城关镇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2022-8</w:t>
            </w:r>
          </w:p>
        </w:tc>
        <w:tc>
          <w:tcPr>
            <w:tcW w:w="1501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国道改线段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9-7#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国道与东大街取直段交汇处东北角，北邻星火村中心油路，东邻星火四队居民点。</w:t>
            </w: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2.0009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30.01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征收和转用</w:t>
            </w: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新增</w:t>
            </w: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农用地</w:t>
            </w: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商服</w:t>
            </w: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4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9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01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15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63.9485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959.23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507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6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3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4" w:type="pct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beforeLines="50" w:line="420" w:lineRule="exact"/>
        <w:rPr>
          <w:rFonts w:ascii="仿宋_GB2312" w:hAnsi="仿宋_GB2312" w:eastAsia="仿宋_GB2312"/>
          <w:sz w:val="30"/>
          <w:szCs w:val="30"/>
        </w:rPr>
        <w:sectPr>
          <w:pgSz w:w="16838" w:h="11906" w:orient="landscape"/>
          <w:pgMar w:top="1418" w:right="1304" w:bottom="1304" w:left="1304" w:header="851" w:footer="992" w:gutter="0"/>
          <w:pgNumType w:fmt="numberInDash"/>
          <w:cols w:space="0" w:num="1"/>
          <w:docGrid w:type="lines" w:linePitch="319" w:charSpace="0"/>
        </w:sectPr>
      </w:pPr>
    </w:p>
    <w:p>
      <w:pPr>
        <w:snapToGrid w:val="0"/>
        <w:spacing w:line="460" w:lineRule="exact"/>
        <w:rPr>
          <w:rFonts w:ascii="方正黑体_GBK" w:hAnsi="仿宋_GB2312" w:eastAsia="方正黑体_GBK" w:cs="方正黑体_GBK"/>
          <w:sz w:val="32"/>
          <w:szCs w:val="32"/>
        </w:rPr>
      </w:pPr>
      <w:r>
        <w:rPr>
          <w:rFonts w:hint="eastAsia" w:ascii="方正黑体_GBK" w:hAnsi="仿宋_GB2312" w:eastAsia="方正黑体_GBK" w:cs="方正黑体_GBK"/>
          <w:sz w:val="32"/>
          <w:szCs w:val="32"/>
        </w:rPr>
        <w:t>附表</w:t>
      </w:r>
      <w:r>
        <w:rPr>
          <w:rFonts w:ascii="方正黑体_GBK" w:hAnsi="仿宋_GB2312" w:eastAsia="方正黑体_GBK" w:cs="方正黑体_GBK"/>
          <w:sz w:val="32"/>
          <w:szCs w:val="32"/>
        </w:rPr>
        <w:t>2</w:t>
      </w:r>
    </w:p>
    <w:p>
      <w:pPr>
        <w:spacing w:beforeLines="50" w:afterLines="5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年度土地储备供应计划表</w:t>
      </w:r>
    </w:p>
    <w:p>
      <w:pPr>
        <w:adjustRightInd w:val="0"/>
        <w:spacing w:line="320" w:lineRule="exact"/>
        <w:jc w:val="left"/>
        <w:rPr>
          <w:rFonts w:ascii="仿宋_GB2312" w:hAnsi="仿宋_GB2312" w:eastAsia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单位：公顷</w:t>
      </w:r>
    </w:p>
    <w:tbl>
      <w:tblPr>
        <w:tblStyle w:val="3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10"/>
        <w:gridCol w:w="3475"/>
        <w:gridCol w:w="1466"/>
        <w:gridCol w:w="77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地块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3475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土地坐落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土地面积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规划用途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拟供应时间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2022-1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地块，位于县城北区山水大道南侧，集污管道北侧，萧公大街西侧，新利小区北大门东侧。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2.5399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38.10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2022-2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47-2#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47-6#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地块，位于县城新区南域民族大街西侧，永安西路北侧，银北医院南侧，怀远大街与唐徕渠东侧。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10.3772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155.66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2022-3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44-3#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44-4#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44-5#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地块，位于县城新区鼓楼大道南侧，新渠路北侧，怀远大街西侧，极乐寺东侧。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14.1442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212.16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2022-4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48-4#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地块，位于县城南区田州路北侧，南大街东侧，南苑小区西侧。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3.6363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54.55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2022-5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48-8#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地块，位于南区四中南侧，翰林大街东侧，南大街西侧，田州路北侧。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6.5827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98.74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居住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2022-6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县城向阳小区片区，地块位于县城团结东路南侧，鼓楼北街东侧，东风路西侧，光辉城市花园北侧。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3.0873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46.31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2022-7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57#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地块，位于县城鼓楼东街取直段南侧，唐徕渠东侧，文昌路北侧，唐徕大街西侧。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21.5800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323.70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商住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宁平储</w:t>
            </w:r>
            <w:r>
              <w:rPr>
                <w:rFonts w:ascii="仿宋" w:hAnsi="仿宋" w:eastAsia="仿宋" w:cs="仿宋"/>
              </w:rPr>
              <w:t>2022-8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国道改线段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9-7#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地块，位于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国道与东大街取直段交汇处东北角，北邻星火村中心油路，东邻星火四队居民点。</w:t>
            </w: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2.0009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30.01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napToGrid w:val="0"/>
              <w:spacing w:beforeLines="50"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商服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>2022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>12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>30</w:t>
            </w:r>
            <w:r>
              <w:rPr>
                <w:rFonts w:hint="eastAsia" w:ascii="仿宋" w:hAnsi="仿宋" w:eastAsia="仿宋" w:cs="仿宋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648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0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3475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6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63.9485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</w:t>
            </w:r>
            <w:r>
              <w:rPr>
                <w:rFonts w:ascii="仿宋" w:hAnsi="仿宋" w:eastAsia="仿宋" w:cs="仿宋"/>
              </w:rPr>
              <w:t>959.23</w:t>
            </w:r>
            <w:r>
              <w:rPr>
                <w:rFonts w:hint="eastAsia" w:ascii="仿宋" w:hAnsi="仿宋" w:eastAsia="仿宋" w:cs="仿宋"/>
              </w:rPr>
              <w:t>亩）</w:t>
            </w:r>
          </w:p>
        </w:tc>
        <w:tc>
          <w:tcPr>
            <w:tcW w:w="776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pacing w:afterLines="50" w:line="360" w:lineRule="exac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beforeLines="50" w:afterLines="50" w:line="520" w:lineRule="exact"/>
        <w:rPr>
          <w:sz w:val="32"/>
          <w:szCs w:val="32"/>
          <w:u w:val="single"/>
        </w:rPr>
      </w:pPr>
    </w:p>
    <w:p/>
    <w:sectPr>
      <w:pgSz w:w="11906" w:h="16838"/>
      <w:pgMar w:top="1588" w:right="1531" w:bottom="1474" w:left="1531" w:header="567" w:footer="1418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- 5 -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FBE167F"/>
    <w:rsid w:val="0FB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99"/>
    <w:rPr>
      <w:b/>
      <w:bCs/>
    </w:rPr>
  </w:style>
  <w:style w:type="character" w:styleId="6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2022-06-16T01:36:00Z</dcterms:created>
  <dc:creator>糖果</dc:creator>
  <cp:lastModifiedBy>糖果</cp:lastModifiedBy>
  <dcterms:modified xsi:type="dcterms:W3CDTF">2022-06-16T01:39:12Z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C6C9C149F3F3492BA936863139E82DC8</vt:lpwstr>
  </property>
</Properties>
</file>