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黑体_GBK" w:hAnsi="仿宋_GB2312" w:eastAsia="方正黑体_GBK" w:cs="仿宋_GB2312"/>
          <w:kern w:val="0"/>
          <w:sz w:val="32"/>
          <w:szCs w:val="32"/>
        </w:rPr>
      </w:pPr>
      <w:r>
        <w:rPr>
          <w:rFonts w:hint="eastAsia" w:ascii="方正黑体_GBK" w:hAnsi="仿宋_GB2312" w:eastAsia="方正黑体_GBK" w:cs="仿宋_GB2312"/>
          <w:kern w:val="0"/>
          <w:sz w:val="32"/>
          <w:szCs w:val="32"/>
        </w:rPr>
        <w:t>附件2</w:t>
      </w:r>
    </w:p>
    <w:p>
      <w:pPr>
        <w:widowControl/>
        <w:jc w:val="left"/>
        <w:rPr>
          <w:rFonts w:ascii="宋体" w:hAnsi="宋体" w:cs="宋体"/>
          <w:kern w:val="0"/>
          <w:sz w:val="24"/>
        </w:rPr>
      </w:pPr>
    </w:p>
    <w:p>
      <w:pPr>
        <w:widowControl/>
        <w:adjustRightInd w:val="0"/>
        <w:snapToGrid w:val="0"/>
        <w:jc w:val="center"/>
        <w:rPr>
          <w:rFonts w:hint="eastAsia" w:ascii="方正小标宋_GBK" w:hAnsi="宋体" w:eastAsia="方正小标宋_GBK" w:cs="宋体"/>
          <w:kern w:val="0"/>
          <w:sz w:val="44"/>
          <w:szCs w:val="44"/>
        </w:rPr>
      </w:pPr>
      <w:bookmarkStart w:id="0" w:name="_GoBack"/>
      <w:r>
        <w:rPr>
          <w:rFonts w:hint="eastAsia" w:ascii="方正小标宋_GBK" w:hAnsi="宋体" w:eastAsia="方正小标宋_GBK" w:cs="宋体"/>
          <w:kern w:val="0"/>
          <w:sz w:val="44"/>
          <w:szCs w:val="44"/>
        </w:rPr>
        <w:t>平罗县工程建设项目审批制度改革实施方案</w:t>
      </w:r>
    </w:p>
    <w:bookmarkEnd w:id="0"/>
    <w:p>
      <w:pPr>
        <w:widowControl/>
        <w:adjustRightInd w:val="0"/>
        <w:snapToGrid w:val="0"/>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工作任务分解表</w:t>
      </w:r>
    </w:p>
    <w:tbl>
      <w:tblPr>
        <w:tblStyle w:val="3"/>
        <w:tblW w:w="9041" w:type="dxa"/>
        <w:jc w:val="center"/>
        <w:tblInd w:w="0" w:type="dxa"/>
        <w:tblLayout w:type="fixed"/>
        <w:tblCellMar>
          <w:top w:w="0" w:type="dxa"/>
          <w:left w:w="108" w:type="dxa"/>
          <w:bottom w:w="0" w:type="dxa"/>
          <w:right w:w="108" w:type="dxa"/>
        </w:tblCellMar>
      </w:tblPr>
      <w:tblGrid>
        <w:gridCol w:w="480"/>
        <w:gridCol w:w="714"/>
        <w:gridCol w:w="3498"/>
        <w:gridCol w:w="1360"/>
        <w:gridCol w:w="1840"/>
        <w:gridCol w:w="1149"/>
      </w:tblGrid>
      <w:tr>
        <w:tblPrEx>
          <w:tblLayout w:type="fixed"/>
          <w:tblCellMar>
            <w:top w:w="0" w:type="dxa"/>
            <w:left w:w="108" w:type="dxa"/>
            <w:bottom w:w="0" w:type="dxa"/>
            <w:right w:w="108" w:type="dxa"/>
          </w:tblCellMar>
        </w:tblPrEx>
        <w:trPr>
          <w:trHeight w:val="441" w:hRule="atLeast"/>
          <w:tblHeader/>
          <w:jc w:val="center"/>
        </w:trPr>
        <w:tc>
          <w:tcPr>
            <w:tcW w:w="4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黑体"/>
                <w:kern w:val="0"/>
                <w:sz w:val="24"/>
              </w:rPr>
            </w:pPr>
            <w:r>
              <w:rPr>
                <w:rFonts w:eastAsia="黑体"/>
                <w:kern w:val="0"/>
                <w:sz w:val="24"/>
              </w:rPr>
              <w:t>序号</w:t>
            </w:r>
          </w:p>
        </w:tc>
        <w:tc>
          <w:tcPr>
            <w:tcW w:w="7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黑体"/>
                <w:kern w:val="0"/>
                <w:sz w:val="24"/>
              </w:rPr>
            </w:pPr>
            <w:r>
              <w:rPr>
                <w:rFonts w:eastAsia="黑体"/>
                <w:kern w:val="0"/>
                <w:sz w:val="24"/>
              </w:rPr>
              <w:t>工作</w:t>
            </w:r>
          </w:p>
          <w:p>
            <w:pPr>
              <w:widowControl/>
              <w:adjustRightInd w:val="0"/>
              <w:snapToGrid w:val="0"/>
              <w:spacing w:line="320" w:lineRule="exact"/>
              <w:jc w:val="center"/>
              <w:rPr>
                <w:rFonts w:eastAsia="黑体"/>
                <w:kern w:val="0"/>
                <w:sz w:val="24"/>
              </w:rPr>
            </w:pPr>
            <w:r>
              <w:rPr>
                <w:rFonts w:eastAsia="黑体"/>
                <w:kern w:val="0"/>
                <w:sz w:val="24"/>
              </w:rPr>
              <w:t>任务</w:t>
            </w:r>
          </w:p>
        </w:tc>
        <w:tc>
          <w:tcPr>
            <w:tcW w:w="349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黑体"/>
                <w:kern w:val="0"/>
                <w:sz w:val="24"/>
              </w:rPr>
            </w:pPr>
            <w:r>
              <w:rPr>
                <w:rFonts w:eastAsia="黑体"/>
                <w:kern w:val="0"/>
                <w:sz w:val="24"/>
              </w:rPr>
              <w:t>具体内容</w:t>
            </w:r>
          </w:p>
        </w:tc>
        <w:tc>
          <w:tcPr>
            <w:tcW w:w="320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黑体"/>
                <w:kern w:val="0"/>
                <w:sz w:val="24"/>
              </w:rPr>
            </w:pPr>
            <w:r>
              <w:rPr>
                <w:rFonts w:eastAsia="黑体"/>
                <w:kern w:val="0"/>
                <w:sz w:val="24"/>
              </w:rPr>
              <w:t>责任部门</w:t>
            </w:r>
          </w:p>
        </w:tc>
        <w:tc>
          <w:tcPr>
            <w:tcW w:w="114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黑体"/>
                <w:kern w:val="0"/>
                <w:sz w:val="24"/>
              </w:rPr>
            </w:pPr>
            <w:r>
              <w:rPr>
                <w:rFonts w:eastAsia="黑体"/>
                <w:kern w:val="0"/>
                <w:sz w:val="24"/>
              </w:rPr>
              <w:t>完成时限</w:t>
            </w:r>
          </w:p>
        </w:tc>
      </w:tr>
      <w:tr>
        <w:tblPrEx>
          <w:tblLayout w:type="fixed"/>
          <w:tblCellMar>
            <w:top w:w="0" w:type="dxa"/>
            <w:left w:w="108" w:type="dxa"/>
            <w:bottom w:w="0" w:type="dxa"/>
            <w:right w:w="108" w:type="dxa"/>
          </w:tblCellMar>
        </w:tblPrEx>
        <w:trPr>
          <w:trHeight w:val="441" w:hRule="atLeast"/>
          <w:tblHeader/>
          <w:jc w:val="center"/>
        </w:trPr>
        <w:tc>
          <w:tcPr>
            <w:tcW w:w="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eastAsia="仿宋_GB2312"/>
                <w:kern w:val="0"/>
                <w:sz w:val="28"/>
                <w:szCs w:val="28"/>
              </w:rPr>
            </w:pPr>
          </w:p>
        </w:tc>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eastAsia="仿宋_GB2312"/>
                <w:kern w:val="0"/>
                <w:sz w:val="28"/>
                <w:szCs w:val="28"/>
              </w:rPr>
            </w:pPr>
          </w:p>
        </w:tc>
        <w:tc>
          <w:tcPr>
            <w:tcW w:w="3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eastAsia="仿宋_GB2312"/>
                <w:kern w:val="0"/>
                <w:sz w:val="28"/>
                <w:szCs w:val="28"/>
              </w:rPr>
            </w:pP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黑体"/>
                <w:kern w:val="0"/>
                <w:sz w:val="24"/>
              </w:rPr>
            </w:pPr>
            <w:r>
              <w:rPr>
                <w:rFonts w:eastAsia="黑体"/>
                <w:kern w:val="0"/>
                <w:sz w:val="24"/>
              </w:rPr>
              <w:t>牵头部门</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黑体"/>
                <w:kern w:val="0"/>
                <w:sz w:val="24"/>
              </w:rPr>
            </w:pPr>
            <w:r>
              <w:rPr>
                <w:rFonts w:eastAsia="黑体"/>
                <w:kern w:val="0"/>
                <w:sz w:val="24"/>
              </w:rPr>
              <w:t>配合部门</w:t>
            </w:r>
          </w:p>
        </w:tc>
        <w:tc>
          <w:tcPr>
            <w:tcW w:w="11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eastAsia="仿宋_GB2312"/>
                <w:kern w:val="0"/>
                <w:sz w:val="28"/>
                <w:szCs w:val="28"/>
              </w:rPr>
            </w:pPr>
          </w:p>
        </w:tc>
      </w:tr>
      <w:tr>
        <w:tblPrEx>
          <w:tblLayout w:type="fixed"/>
          <w:tblCellMar>
            <w:top w:w="0" w:type="dxa"/>
            <w:left w:w="108" w:type="dxa"/>
            <w:bottom w:w="0" w:type="dxa"/>
            <w:right w:w="108" w:type="dxa"/>
          </w:tblCellMar>
        </w:tblPrEx>
        <w:trPr>
          <w:trHeight w:val="1744"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1</w:t>
            </w:r>
          </w:p>
        </w:tc>
        <w:tc>
          <w:tcPr>
            <w:tcW w:w="714" w:type="dxa"/>
            <w:vMerge w:val="restart"/>
            <w:tcBorders>
              <w:top w:val="nil"/>
              <w:left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精简审批环节</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全面梳理全</w:t>
            </w:r>
            <w:r>
              <w:rPr>
                <w:rFonts w:hint="eastAsia" w:eastAsia="仿宋_GB2312"/>
                <w:kern w:val="0"/>
                <w:sz w:val="24"/>
                <w:szCs w:val="20"/>
              </w:rPr>
              <w:t>县</w:t>
            </w:r>
            <w:r>
              <w:rPr>
                <w:rFonts w:eastAsia="仿宋_GB2312"/>
                <w:kern w:val="0"/>
                <w:sz w:val="24"/>
                <w:szCs w:val="20"/>
              </w:rPr>
              <w:t>工程建设项目审批事项,取消不合法、不合理、不必要的审批事项。制定审批事项清单并向社会公布。</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审批服务管理局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直各相关部门</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w:t>
            </w:r>
            <w:r>
              <w:rPr>
                <w:rFonts w:eastAsia="仿宋_GB2312"/>
                <w:kern w:val="0"/>
                <w:sz w:val="24"/>
                <w:szCs w:val="20"/>
              </w:rPr>
              <w:t>日前</w:t>
            </w:r>
          </w:p>
        </w:tc>
      </w:tr>
      <w:tr>
        <w:tblPrEx>
          <w:tblLayout w:type="fixed"/>
          <w:tblCellMar>
            <w:top w:w="0" w:type="dxa"/>
            <w:left w:w="108" w:type="dxa"/>
            <w:bottom w:w="0" w:type="dxa"/>
            <w:right w:w="108" w:type="dxa"/>
          </w:tblCellMar>
        </w:tblPrEx>
        <w:trPr>
          <w:trHeight w:val="1384"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w:t>
            </w:r>
          </w:p>
        </w:tc>
        <w:tc>
          <w:tcPr>
            <w:tcW w:w="714" w:type="dxa"/>
            <w:vMerge w:val="continue"/>
            <w:tcBorders>
              <w:left w:val="single" w:color="auto" w:sz="4" w:space="0"/>
              <w:right w:val="single" w:color="auto" w:sz="4" w:space="0"/>
            </w:tcBorders>
            <w:shd w:val="clear" w:color="auto" w:fill="auto"/>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取消建筑节能设计审查、勘察设计合同、施工合同、监理合同备案事项。</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住建局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直各相关部门</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月20日前</w:t>
            </w:r>
          </w:p>
        </w:tc>
      </w:tr>
      <w:tr>
        <w:tblPrEx>
          <w:tblLayout w:type="fixed"/>
          <w:tblCellMar>
            <w:top w:w="0" w:type="dxa"/>
            <w:left w:w="108" w:type="dxa"/>
            <w:bottom w:w="0" w:type="dxa"/>
            <w:right w:w="108" w:type="dxa"/>
          </w:tblCellMar>
        </w:tblPrEx>
        <w:trPr>
          <w:trHeight w:val="1362"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3</w:t>
            </w:r>
          </w:p>
        </w:tc>
        <w:tc>
          <w:tcPr>
            <w:tcW w:w="714" w:type="dxa"/>
            <w:vMerge w:val="continue"/>
            <w:tcBorders>
              <w:left w:val="single" w:color="auto" w:sz="4" w:space="0"/>
              <w:right w:val="single" w:color="auto" w:sz="4" w:space="0"/>
            </w:tcBorders>
            <w:shd w:val="clear" w:color="auto" w:fill="auto"/>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资金到位证明、无拖欠工程款承诺书、工伤保险证明不再作为施工许可证办理前置要件。</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住建局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人社局</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月20日前</w:t>
            </w:r>
          </w:p>
        </w:tc>
      </w:tr>
      <w:tr>
        <w:tblPrEx>
          <w:tblLayout w:type="fixed"/>
          <w:tblCellMar>
            <w:top w:w="0" w:type="dxa"/>
            <w:left w:w="108" w:type="dxa"/>
            <w:bottom w:w="0" w:type="dxa"/>
            <w:right w:w="108" w:type="dxa"/>
          </w:tblCellMar>
        </w:tblPrEx>
        <w:trPr>
          <w:trHeight w:val="2652"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4</w:t>
            </w:r>
          </w:p>
        </w:tc>
        <w:tc>
          <w:tcPr>
            <w:tcW w:w="714" w:type="dxa"/>
            <w:vMerge w:val="continue"/>
            <w:tcBorders>
              <w:left w:val="single" w:color="auto" w:sz="4" w:space="0"/>
              <w:right w:val="single" w:color="auto" w:sz="4" w:space="0"/>
            </w:tcBorders>
            <w:shd w:val="clear" w:color="auto" w:fill="auto"/>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hint="eastAsia" w:ascii="仿宋_GB2312" w:hAnsi="仿宋_GB2312" w:eastAsia="仿宋_GB2312" w:cs="仿宋_GB2312"/>
                <w:kern w:val="0"/>
                <w:sz w:val="24"/>
              </w:rPr>
              <w:t>按照最新机构改革所调整的各部门职责权限，深入落实工程建设项目审批制度，各权限下放部门要制定并实施配套制度，做好业务指导培训工作。</w:t>
            </w:r>
            <w:r>
              <w:rPr>
                <w:rFonts w:eastAsia="仿宋_GB2312"/>
                <w:kern w:val="0"/>
                <w:sz w:val="24"/>
                <w:szCs w:val="20"/>
              </w:rPr>
              <w:t>承接下放审批事项</w:t>
            </w:r>
            <w:r>
              <w:rPr>
                <w:rFonts w:hint="eastAsia" w:eastAsia="仿宋_GB2312"/>
                <w:kern w:val="0"/>
                <w:sz w:val="24"/>
                <w:szCs w:val="20"/>
              </w:rPr>
              <w:t>的工业</w:t>
            </w:r>
            <w:r>
              <w:rPr>
                <w:rFonts w:eastAsia="仿宋_GB2312"/>
                <w:kern w:val="0"/>
                <w:sz w:val="24"/>
                <w:szCs w:val="20"/>
              </w:rPr>
              <w:t>园区</w:t>
            </w:r>
            <w:r>
              <w:rPr>
                <w:rFonts w:hint="eastAsia" w:eastAsia="仿宋_GB2312"/>
                <w:kern w:val="0"/>
                <w:sz w:val="24"/>
                <w:szCs w:val="20"/>
              </w:rPr>
              <w:t>管委会</w:t>
            </w:r>
            <w:r>
              <w:rPr>
                <w:rFonts w:eastAsia="仿宋_GB2312"/>
                <w:kern w:val="0"/>
                <w:sz w:val="24"/>
                <w:szCs w:val="20"/>
              </w:rPr>
              <w:t>要加强力量配备，保障审批高效运行。</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审批服务管理局</w:t>
            </w:r>
            <w:r>
              <w:rPr>
                <w:rFonts w:hint="eastAsia" w:eastAsia="仿宋_GB2312"/>
                <w:kern w:val="0"/>
                <w:sz w:val="24"/>
                <w:szCs w:val="20"/>
              </w:rPr>
              <w:t>、</w:t>
            </w:r>
            <w:r>
              <w:rPr>
                <w:rFonts w:eastAsia="仿宋_GB2312"/>
                <w:kern w:val="0"/>
                <w:sz w:val="24"/>
                <w:szCs w:val="20"/>
              </w:rPr>
              <w:t>园区管委会</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直各相关部门</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月20日前</w:t>
            </w:r>
          </w:p>
        </w:tc>
      </w:tr>
      <w:tr>
        <w:tblPrEx>
          <w:tblLayout w:type="fixed"/>
          <w:tblCellMar>
            <w:top w:w="0" w:type="dxa"/>
            <w:left w:w="108" w:type="dxa"/>
            <w:bottom w:w="0" w:type="dxa"/>
            <w:right w:w="108" w:type="dxa"/>
          </w:tblCellMar>
        </w:tblPrEx>
        <w:trPr>
          <w:trHeight w:val="2556"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5</w:t>
            </w:r>
          </w:p>
        </w:tc>
        <w:tc>
          <w:tcPr>
            <w:tcW w:w="714" w:type="dxa"/>
            <w:vMerge w:val="continue"/>
            <w:tcBorders>
              <w:left w:val="single" w:color="auto" w:sz="4" w:space="0"/>
              <w:bottom w:val="single" w:color="000000" w:sz="4" w:space="0"/>
              <w:right w:val="single" w:color="auto" w:sz="4" w:space="0"/>
            </w:tcBorders>
            <w:shd w:val="clear" w:color="auto" w:fill="auto"/>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对由同一部门实施的管理内容相近或者属于同一办理阶段的多个审批事项，整合为一个审批事项办理，制定并实施审批事项合并办理的具体规定、办理流程和完成时限。</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审批服务管理局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直各相关部门</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w:t>
            </w:r>
            <w:r>
              <w:rPr>
                <w:rFonts w:eastAsia="仿宋_GB2312"/>
                <w:kern w:val="0"/>
                <w:sz w:val="24"/>
                <w:szCs w:val="20"/>
              </w:rPr>
              <w:t>日前</w:t>
            </w:r>
          </w:p>
        </w:tc>
      </w:tr>
      <w:tr>
        <w:tblPrEx>
          <w:tblLayout w:type="fixed"/>
          <w:tblCellMar>
            <w:top w:w="0" w:type="dxa"/>
            <w:left w:w="108" w:type="dxa"/>
            <w:bottom w:w="0" w:type="dxa"/>
            <w:right w:w="108" w:type="dxa"/>
          </w:tblCellMar>
        </w:tblPrEx>
        <w:trPr>
          <w:trHeight w:val="2494"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6</w:t>
            </w:r>
          </w:p>
        </w:tc>
        <w:tc>
          <w:tcPr>
            <w:tcW w:w="714" w:type="dxa"/>
            <w:vMerge w:val="restart"/>
            <w:tcBorders>
              <w:top w:val="nil"/>
              <w:left w:val="single" w:color="auto" w:sz="4" w:space="0"/>
              <w:right w:val="single" w:color="auto" w:sz="4" w:space="0"/>
            </w:tcBorders>
            <w:shd w:val="clear" w:color="auto" w:fill="auto"/>
            <w:noWrap w:val="0"/>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精简审批环节</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将建设项目用地预审意见和选址意见书合并办理，将国有土地划拨决定书和建设用地规划许可证整合同步办理；以出让方式取得国有土地的，建设单位在签订国有建设用地使用权出让合同后，同步领取建设用地规划许可证。</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自然资源局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直各相关部门</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912"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7</w:t>
            </w:r>
          </w:p>
        </w:tc>
        <w:tc>
          <w:tcPr>
            <w:tcW w:w="714" w:type="dxa"/>
            <w:vMerge w:val="continue"/>
            <w:tcBorders>
              <w:left w:val="single" w:color="auto" w:sz="4" w:space="0"/>
              <w:right w:val="single" w:color="auto" w:sz="4" w:space="0"/>
            </w:tcBorders>
            <w:shd w:val="clear" w:color="auto" w:fill="auto"/>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工程质量安全监督手续与施工许可证合并办理。</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住建局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县直各相关部门</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月20日前</w:t>
            </w:r>
          </w:p>
        </w:tc>
      </w:tr>
      <w:tr>
        <w:tblPrEx>
          <w:tblLayout w:type="fixed"/>
          <w:tblCellMar>
            <w:top w:w="0" w:type="dxa"/>
            <w:left w:w="108" w:type="dxa"/>
            <w:bottom w:w="0" w:type="dxa"/>
            <w:right w:w="108" w:type="dxa"/>
          </w:tblCellMar>
        </w:tblPrEx>
        <w:trPr>
          <w:trHeight w:val="3726"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8</w:t>
            </w:r>
          </w:p>
        </w:tc>
        <w:tc>
          <w:tcPr>
            <w:tcW w:w="714" w:type="dxa"/>
            <w:vMerge w:val="continue"/>
            <w:tcBorders>
              <w:left w:val="single" w:color="auto" w:sz="4" w:space="0"/>
              <w:right w:val="single" w:color="auto" w:sz="4" w:space="0"/>
            </w:tcBorders>
            <w:shd w:val="clear" w:color="auto" w:fill="auto"/>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hint="eastAsia" w:eastAsia="仿宋_GB2312"/>
                <w:kern w:val="0"/>
                <w:sz w:val="24"/>
                <w:szCs w:val="20"/>
              </w:rPr>
            </w:pPr>
            <w:r>
              <w:rPr>
                <w:rFonts w:eastAsia="仿宋_GB2312"/>
                <w:kern w:val="0"/>
                <w:sz w:val="24"/>
                <w:szCs w:val="20"/>
              </w:rPr>
              <w:t>对于能够用征求相关部门意见方式替代的审批事项，调整为政府内部协作事项。制定调整政府内部协作事项工作规程。将国家安全事项、园林绿地指标、河道管理、机场空域安全管理、无线电管理、气象探测环境保护、文物保护、电力保护等审查事项调整为内部协作事项。在设计方案审查阶段由自然资源部门一并征求意见。</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自然资源局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住建局、</w:t>
            </w:r>
            <w:r>
              <w:rPr>
                <w:rFonts w:hint="eastAsia" w:eastAsia="仿宋_GB2312"/>
                <w:kern w:val="0"/>
                <w:sz w:val="24"/>
                <w:szCs w:val="20"/>
              </w:rPr>
              <w:t>县</w:t>
            </w:r>
            <w:r>
              <w:rPr>
                <w:rFonts w:eastAsia="仿宋_GB2312"/>
                <w:kern w:val="0"/>
                <w:sz w:val="24"/>
                <w:szCs w:val="20"/>
              </w:rPr>
              <w:t>工信局、</w:t>
            </w:r>
            <w:r>
              <w:rPr>
                <w:rFonts w:hint="eastAsia" w:eastAsia="仿宋_GB2312"/>
                <w:kern w:val="0"/>
                <w:sz w:val="24"/>
                <w:szCs w:val="20"/>
              </w:rPr>
              <w:t>县</w:t>
            </w:r>
            <w:r>
              <w:rPr>
                <w:rFonts w:eastAsia="仿宋_GB2312"/>
                <w:kern w:val="0"/>
                <w:sz w:val="24"/>
                <w:szCs w:val="20"/>
              </w:rPr>
              <w:t>水务局、</w:t>
            </w:r>
            <w:r>
              <w:rPr>
                <w:rFonts w:hint="eastAsia" w:eastAsia="仿宋_GB2312"/>
                <w:kern w:val="0"/>
                <w:sz w:val="24"/>
                <w:szCs w:val="20"/>
              </w:rPr>
              <w:t>县</w:t>
            </w:r>
            <w:r>
              <w:rPr>
                <w:rFonts w:eastAsia="仿宋_GB2312"/>
                <w:kern w:val="0"/>
                <w:sz w:val="24"/>
                <w:szCs w:val="20"/>
              </w:rPr>
              <w:t>文广局</w:t>
            </w:r>
            <w:r>
              <w:rPr>
                <w:rFonts w:hint="eastAsia" w:eastAsia="仿宋_GB2312"/>
                <w:kern w:val="0"/>
                <w:sz w:val="24"/>
                <w:szCs w:val="20"/>
              </w:rPr>
              <w:t>、国家电网平罗分</w:t>
            </w:r>
            <w:r>
              <w:rPr>
                <w:rFonts w:eastAsia="仿宋_GB2312"/>
                <w:kern w:val="0"/>
                <w:sz w:val="24"/>
                <w:szCs w:val="20"/>
              </w:rPr>
              <w:t>公司</w:t>
            </w:r>
            <w:r>
              <w:rPr>
                <w:rFonts w:hint="eastAsia" w:eastAsia="仿宋_GB2312"/>
                <w:kern w:val="0"/>
                <w:sz w:val="24"/>
                <w:szCs w:val="20"/>
              </w:rPr>
              <w:t>、县气象局</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w:t>
            </w:r>
            <w:r>
              <w:rPr>
                <w:rFonts w:eastAsia="仿宋_GB2312"/>
                <w:kern w:val="0"/>
                <w:sz w:val="24"/>
                <w:szCs w:val="20"/>
              </w:rPr>
              <w:t>0日前</w:t>
            </w:r>
          </w:p>
        </w:tc>
      </w:tr>
      <w:tr>
        <w:tblPrEx>
          <w:tblLayout w:type="fixed"/>
          <w:tblCellMar>
            <w:top w:w="0" w:type="dxa"/>
            <w:left w:w="108" w:type="dxa"/>
            <w:bottom w:w="0" w:type="dxa"/>
            <w:right w:w="108" w:type="dxa"/>
          </w:tblCellMar>
        </w:tblPrEx>
        <w:trPr>
          <w:trHeight w:val="2005"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9</w:t>
            </w:r>
          </w:p>
        </w:tc>
        <w:tc>
          <w:tcPr>
            <w:tcW w:w="714" w:type="dxa"/>
            <w:vMerge w:val="continue"/>
            <w:tcBorders>
              <w:left w:val="single" w:color="auto" w:sz="4" w:space="0"/>
              <w:right w:val="single" w:color="auto" w:sz="4" w:space="0"/>
            </w:tcBorders>
            <w:shd w:val="clear" w:color="auto" w:fill="auto"/>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hint="eastAsia" w:eastAsia="仿宋_GB2312"/>
                <w:kern w:val="0"/>
                <w:sz w:val="24"/>
                <w:szCs w:val="20"/>
              </w:rPr>
            </w:pPr>
            <w:r>
              <w:rPr>
                <w:rFonts w:eastAsia="仿宋_GB2312"/>
                <w:kern w:val="0"/>
                <w:sz w:val="24"/>
                <w:szCs w:val="20"/>
              </w:rPr>
              <w:t>按照法律法规需要开展地震安全性评价的，在工程设计前完成；将环境影响评价、节能评价、洪水影响评价、水土保持方案审批、取水许可等事项调整到项目开工前完成</w:t>
            </w:r>
            <w:r>
              <w:rPr>
                <w:rFonts w:hint="eastAsia" w:eastAsia="仿宋_GB2312"/>
                <w:kern w:val="0"/>
                <w:sz w:val="24"/>
                <w:szCs w:val="20"/>
              </w:rPr>
              <w:t>。</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发改</w:t>
            </w:r>
            <w:r>
              <w:rPr>
                <w:rFonts w:hint="eastAsia" w:eastAsia="仿宋_GB2312"/>
                <w:kern w:val="0"/>
                <w:sz w:val="24"/>
                <w:szCs w:val="20"/>
              </w:rPr>
              <w:t>局</w:t>
            </w:r>
            <w:r>
              <w:rPr>
                <w:rFonts w:eastAsia="仿宋_GB2312"/>
                <w:kern w:val="0"/>
                <w:sz w:val="24"/>
                <w:szCs w:val="20"/>
              </w:rPr>
              <w:t>、</w:t>
            </w:r>
            <w:r>
              <w:rPr>
                <w:rFonts w:hint="eastAsia" w:eastAsia="仿宋_GB2312"/>
                <w:kern w:val="0"/>
                <w:sz w:val="24"/>
                <w:szCs w:val="20"/>
              </w:rPr>
              <w:t>县住建局、</w:t>
            </w:r>
            <w:r>
              <w:rPr>
                <w:rFonts w:eastAsia="仿宋_GB2312"/>
                <w:kern w:val="0"/>
                <w:sz w:val="24"/>
                <w:szCs w:val="20"/>
              </w:rPr>
              <w:t>市生态环境局</w:t>
            </w:r>
            <w:r>
              <w:rPr>
                <w:rFonts w:hint="eastAsia" w:eastAsia="仿宋_GB2312"/>
                <w:kern w:val="0"/>
                <w:sz w:val="24"/>
                <w:szCs w:val="20"/>
              </w:rPr>
              <w:t>平罗分局</w:t>
            </w:r>
            <w:r>
              <w:rPr>
                <w:rFonts w:eastAsia="仿宋_GB2312"/>
                <w:kern w:val="0"/>
                <w:sz w:val="24"/>
                <w:szCs w:val="20"/>
              </w:rPr>
              <w:t>、</w:t>
            </w:r>
            <w:r>
              <w:rPr>
                <w:rFonts w:hint="eastAsia" w:eastAsia="仿宋_GB2312"/>
                <w:kern w:val="0"/>
                <w:sz w:val="24"/>
                <w:szCs w:val="20"/>
              </w:rPr>
              <w:t>县</w:t>
            </w:r>
            <w:r>
              <w:rPr>
                <w:rFonts w:eastAsia="仿宋_GB2312"/>
                <w:kern w:val="0"/>
                <w:sz w:val="24"/>
                <w:szCs w:val="20"/>
              </w:rPr>
              <w:t>水务局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1053"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10</w:t>
            </w:r>
          </w:p>
        </w:tc>
        <w:tc>
          <w:tcPr>
            <w:tcW w:w="714" w:type="dxa"/>
            <w:vMerge w:val="continue"/>
            <w:tcBorders>
              <w:left w:val="single" w:color="auto" w:sz="4" w:space="0"/>
              <w:right w:val="single" w:color="auto" w:sz="4" w:space="0"/>
            </w:tcBorders>
            <w:shd w:val="clear" w:color="auto" w:fill="auto"/>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可以将用地预审意见作为使用土地证明文件申请办理建设工程规划许可证。</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自然资源局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直各相关部门</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月20日前</w:t>
            </w:r>
          </w:p>
        </w:tc>
      </w:tr>
      <w:tr>
        <w:tblPrEx>
          <w:tblLayout w:type="fixed"/>
          <w:tblCellMar>
            <w:top w:w="0" w:type="dxa"/>
            <w:left w:w="108" w:type="dxa"/>
            <w:bottom w:w="0" w:type="dxa"/>
            <w:right w:w="108" w:type="dxa"/>
          </w:tblCellMar>
        </w:tblPrEx>
        <w:trPr>
          <w:trHeight w:val="1820"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1</w:t>
            </w:r>
            <w:r>
              <w:rPr>
                <w:rFonts w:hint="eastAsia" w:eastAsia="仿宋_GB2312"/>
                <w:kern w:val="0"/>
                <w:sz w:val="24"/>
                <w:szCs w:val="20"/>
              </w:rPr>
              <w:t>1</w:t>
            </w:r>
          </w:p>
        </w:tc>
        <w:tc>
          <w:tcPr>
            <w:tcW w:w="714" w:type="dxa"/>
            <w:vMerge w:val="continue"/>
            <w:tcBorders>
              <w:left w:val="single" w:color="auto" w:sz="4" w:space="0"/>
              <w:bottom w:val="single" w:color="000000" w:sz="4" w:space="0"/>
              <w:right w:val="single" w:color="auto" w:sz="4" w:space="0"/>
            </w:tcBorders>
            <w:shd w:val="clear" w:color="auto" w:fill="auto"/>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将供水、供电、燃气、热力、排水、通信等市政公用基础设施报装手续提前到开工前办理，在工程施工阶段完成相关设施建设，竣工验收后直接办理接入事宜。</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住建局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工信局、星瀚集团、</w:t>
            </w:r>
            <w:r>
              <w:rPr>
                <w:rFonts w:hint="eastAsia" w:eastAsia="仿宋_GB2312"/>
                <w:kern w:val="0"/>
                <w:sz w:val="24"/>
                <w:szCs w:val="20"/>
              </w:rPr>
              <w:t>国家电网平罗分</w:t>
            </w:r>
            <w:r>
              <w:rPr>
                <w:rFonts w:eastAsia="仿宋_GB2312"/>
                <w:kern w:val="0"/>
                <w:sz w:val="24"/>
                <w:szCs w:val="20"/>
              </w:rPr>
              <w:t>公司</w:t>
            </w:r>
            <w:r>
              <w:rPr>
                <w:rFonts w:hint="eastAsia" w:eastAsia="仿宋_GB2312"/>
                <w:kern w:val="0"/>
                <w:sz w:val="24"/>
                <w:szCs w:val="20"/>
              </w:rPr>
              <w:t>、德渊市政公司</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月20日前</w:t>
            </w:r>
          </w:p>
        </w:tc>
      </w:tr>
      <w:tr>
        <w:tblPrEx>
          <w:tblLayout w:type="fixed"/>
          <w:tblCellMar>
            <w:top w:w="0" w:type="dxa"/>
            <w:left w:w="108" w:type="dxa"/>
            <w:bottom w:w="0" w:type="dxa"/>
            <w:right w:w="108" w:type="dxa"/>
          </w:tblCellMar>
        </w:tblPrEx>
        <w:trPr>
          <w:trHeight w:val="3272"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12</w:t>
            </w:r>
          </w:p>
        </w:tc>
        <w:tc>
          <w:tcPr>
            <w:tcW w:w="71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规范审批事项</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rPr>
                <w:rFonts w:eastAsia="仿宋_GB2312"/>
                <w:kern w:val="0"/>
                <w:sz w:val="24"/>
                <w:szCs w:val="20"/>
              </w:rPr>
            </w:pPr>
            <w:r>
              <w:rPr>
                <w:rFonts w:eastAsia="仿宋_GB2312"/>
                <w:kern w:val="0"/>
                <w:sz w:val="24"/>
                <w:szCs w:val="20"/>
              </w:rPr>
              <w:t>按照国务院统一要求,对全</w:t>
            </w:r>
            <w:r>
              <w:rPr>
                <w:rFonts w:hint="eastAsia" w:eastAsia="仿宋_GB2312"/>
                <w:kern w:val="0"/>
                <w:sz w:val="24"/>
                <w:szCs w:val="20"/>
              </w:rPr>
              <w:t>县</w:t>
            </w:r>
            <w:r>
              <w:rPr>
                <w:rFonts w:eastAsia="仿宋_GB2312"/>
                <w:kern w:val="0"/>
                <w:sz w:val="24"/>
                <w:szCs w:val="20"/>
              </w:rPr>
              <w:t>工程建设项目审批事项进行全面清理,统一审批事项和法律依据。本着合法、精简、效能的原则，制定全</w:t>
            </w:r>
            <w:r>
              <w:rPr>
                <w:rFonts w:hint="eastAsia" w:eastAsia="仿宋_GB2312"/>
                <w:kern w:val="0"/>
                <w:sz w:val="24"/>
                <w:szCs w:val="20"/>
              </w:rPr>
              <w:t>县</w:t>
            </w:r>
            <w:r>
              <w:rPr>
                <w:rFonts w:eastAsia="仿宋_GB2312"/>
                <w:kern w:val="0"/>
                <w:sz w:val="24"/>
                <w:szCs w:val="20"/>
              </w:rPr>
              <w:t>工程建设项目审批事项清单和申请材料清单，并向社会公布。明确各项审批事项的适用范围和前置条件，并实行动态管理，实现清单外无审批。</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rPr>
                <w:rFonts w:eastAsia="仿宋_GB2312"/>
                <w:kern w:val="0"/>
                <w:sz w:val="24"/>
                <w:szCs w:val="20"/>
              </w:rPr>
            </w:pPr>
            <w:r>
              <w:rPr>
                <w:rFonts w:hint="eastAsia" w:eastAsia="仿宋_GB2312"/>
                <w:kern w:val="0"/>
                <w:sz w:val="24"/>
                <w:szCs w:val="20"/>
              </w:rPr>
              <w:t>县</w:t>
            </w:r>
            <w:r>
              <w:rPr>
                <w:rFonts w:eastAsia="仿宋_GB2312"/>
                <w:kern w:val="0"/>
                <w:sz w:val="24"/>
                <w:szCs w:val="20"/>
              </w:rPr>
              <w:t>审批服务管理局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直各相关部门</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1890"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13</w:t>
            </w:r>
          </w:p>
        </w:tc>
        <w:tc>
          <w:tcPr>
            <w:tcW w:w="714"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合理划分审批阶段</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立项用地规划许可阶段主要包括项目审批核准、选址意见书核发、用地预审、用地规划许可证核发等由自然资源部门牵头负责。</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自然资源局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直各相关部门</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1864"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14</w:t>
            </w:r>
          </w:p>
        </w:tc>
        <w:tc>
          <w:tcPr>
            <w:tcW w:w="714"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工程建设许可阶段主要包括设计方案审查、建设工程规划许可证核发等，由自然资源部门牵头负责。</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自然资源局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直各相关部门</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1653"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15</w:t>
            </w:r>
          </w:p>
        </w:tc>
        <w:tc>
          <w:tcPr>
            <w:tcW w:w="714"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施工许可阶段主要包括设计审核确认、施工许可证核发等，由住房城乡建设部门牵头负责。</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住建局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直各相关部门</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1515"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16</w:t>
            </w:r>
          </w:p>
        </w:tc>
        <w:tc>
          <w:tcPr>
            <w:tcW w:w="714"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竣工验收阶段主要包括规划、土地、消防、人防、档案等验收及竣工验收备案等，由住房城乡建设部门牵头负责。</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住建局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直各相关部门</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1695"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17</w:t>
            </w:r>
          </w:p>
        </w:tc>
        <w:tc>
          <w:tcPr>
            <w:tcW w:w="714"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其他行政许可、强制性评估、中介服务、市政公用服务以及备案等事项纳入相关阶段办理或与相关阶段并行推进。</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sz w:val="24"/>
              </w:rPr>
              <w:t>县</w:t>
            </w:r>
            <w:r>
              <w:rPr>
                <w:rFonts w:eastAsia="仿宋_GB2312"/>
                <w:sz w:val="24"/>
              </w:rPr>
              <w:t>各相关部门按职责分别负责</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4524"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18</w:t>
            </w:r>
          </w:p>
        </w:tc>
        <w:tc>
          <w:tcPr>
            <w:tcW w:w="714"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分类制定审批流程</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根据工程建设项目类型、投资类别、规模大小，将工程建设项目主要划分为四类：一般政府投资房屋建筑和市政工程建设项目、一般社会投资工程建设项目、一般社会投资工业类项目、带工程设计方案出让土地建设项目，根据国家工程建设项目审批流程图示范文本，分别制定不同类型工程建设项目审批流程图，明确审批阶段、审批部门、审批事项和审批时限。</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住建局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2777"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19</w:t>
            </w:r>
          </w:p>
        </w:tc>
        <w:tc>
          <w:tcPr>
            <w:tcW w:w="714"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每个审批阶段由牵头部门组织协调相关部门严格按照限定时间完成审批，实行“一家牵头、并联审批、限时办结”，制定实施并联审批管理办法，建立并联审批协调机制。</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审批服务管理局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自然资源局、</w:t>
            </w:r>
            <w:r>
              <w:rPr>
                <w:rFonts w:hint="eastAsia" w:eastAsia="仿宋_GB2312"/>
                <w:kern w:val="0"/>
                <w:sz w:val="24"/>
                <w:szCs w:val="20"/>
              </w:rPr>
              <w:t>县</w:t>
            </w:r>
            <w:r>
              <w:rPr>
                <w:rFonts w:eastAsia="仿宋_GB2312"/>
                <w:kern w:val="0"/>
                <w:sz w:val="24"/>
                <w:szCs w:val="20"/>
              </w:rPr>
              <w:t>住建局，</w:t>
            </w:r>
            <w:r>
              <w:rPr>
                <w:rFonts w:hint="eastAsia" w:eastAsia="仿宋_GB2312"/>
                <w:kern w:val="0"/>
                <w:sz w:val="24"/>
                <w:szCs w:val="20"/>
              </w:rPr>
              <w:t>县</w:t>
            </w:r>
            <w:r>
              <w:rPr>
                <w:rFonts w:eastAsia="仿宋_GB2312"/>
                <w:kern w:val="0"/>
                <w:sz w:val="24"/>
                <w:szCs w:val="20"/>
              </w:rPr>
              <w:t>各相关部门（单位）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w:t>
            </w:r>
            <w:r>
              <w:rPr>
                <w:rFonts w:eastAsia="仿宋_GB2312"/>
                <w:kern w:val="0"/>
                <w:sz w:val="24"/>
                <w:szCs w:val="20"/>
              </w:rPr>
              <w:t>日前</w:t>
            </w:r>
          </w:p>
        </w:tc>
      </w:tr>
      <w:tr>
        <w:tblPrEx>
          <w:tblLayout w:type="fixed"/>
          <w:tblCellMar>
            <w:top w:w="0" w:type="dxa"/>
            <w:left w:w="108" w:type="dxa"/>
            <w:bottom w:w="0" w:type="dxa"/>
            <w:right w:w="108" w:type="dxa"/>
          </w:tblCellMar>
        </w:tblPrEx>
        <w:trPr>
          <w:trHeight w:val="4288"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20</w:t>
            </w:r>
          </w:p>
        </w:tc>
        <w:tc>
          <w:tcPr>
            <w:tcW w:w="714"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实行联合审图和联合验收</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实行联合审图。依托自治区数字化施工图审查系统，将消防、人防、技防等技术审查并入施工图设计文件审查，相关部门不再进行技术审查。探索推行以政府购买服务方式开展施工图设计文件审查。制定并实施施工图设计文件联合审查管理办法，明确审查内容、审查标准、审查方式和审查时限等。</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住建局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10月20</w:t>
            </w:r>
            <w:r>
              <w:rPr>
                <w:rFonts w:eastAsia="仿宋_GB2312"/>
                <w:kern w:val="0"/>
                <w:sz w:val="24"/>
                <w:szCs w:val="20"/>
              </w:rPr>
              <w:t>日前</w:t>
            </w:r>
          </w:p>
        </w:tc>
      </w:tr>
      <w:tr>
        <w:tblPrEx>
          <w:tblLayout w:type="fixed"/>
          <w:tblCellMar>
            <w:top w:w="0" w:type="dxa"/>
            <w:left w:w="108" w:type="dxa"/>
            <w:bottom w:w="0" w:type="dxa"/>
            <w:right w:w="108" w:type="dxa"/>
          </w:tblCellMar>
        </w:tblPrEx>
        <w:trPr>
          <w:trHeight w:val="3429"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w:t>
            </w:r>
            <w:r>
              <w:rPr>
                <w:rFonts w:hint="eastAsia" w:eastAsia="仿宋_GB2312"/>
                <w:kern w:val="0"/>
                <w:sz w:val="24"/>
                <w:szCs w:val="20"/>
              </w:rPr>
              <w:t>1</w:t>
            </w:r>
          </w:p>
        </w:tc>
        <w:tc>
          <w:tcPr>
            <w:tcW w:w="714" w:type="dxa"/>
            <w:vMerge w:val="restart"/>
            <w:tcBorders>
              <w:top w:val="nil"/>
              <w:left w:val="single" w:color="auto" w:sz="4" w:space="0"/>
              <w:right w:val="single" w:color="auto" w:sz="4" w:space="0"/>
            </w:tcBorders>
            <w:shd w:val="clear" w:color="auto" w:fill="auto"/>
            <w:noWrap w:val="0"/>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实行联合审图和联合验收</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实行多测合一。建立综合性测绘工作机制，将工程项目建设涉及的建设用地审批、城乡规划许可、建筑放验线、规划核实、不动产测绘等事项，合并为一个综合性联合测绘项目工程包，执行国家规定的相关测绘标准。对于验收涉及的测绘工作，实行“一次委托、联合测绘、成果共享”。</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自然资源局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w:t>
            </w:r>
            <w:r>
              <w:rPr>
                <w:rFonts w:eastAsia="仿宋_GB2312"/>
                <w:kern w:val="0"/>
                <w:sz w:val="24"/>
                <w:szCs w:val="20"/>
              </w:rPr>
              <w:t>日前</w:t>
            </w:r>
          </w:p>
        </w:tc>
      </w:tr>
      <w:tr>
        <w:tblPrEx>
          <w:tblLayout w:type="fixed"/>
          <w:tblCellMar>
            <w:top w:w="0" w:type="dxa"/>
            <w:left w:w="108" w:type="dxa"/>
            <w:bottom w:w="0" w:type="dxa"/>
            <w:right w:w="108" w:type="dxa"/>
          </w:tblCellMar>
        </w:tblPrEx>
        <w:trPr>
          <w:trHeight w:val="3571" w:hRule="atLeast"/>
          <w:jc w:val="center"/>
        </w:trPr>
        <w:tc>
          <w:tcPr>
            <w:tcW w:w="48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w:t>
            </w:r>
            <w:r>
              <w:rPr>
                <w:rFonts w:hint="eastAsia" w:eastAsia="仿宋_GB2312"/>
                <w:kern w:val="0"/>
                <w:sz w:val="24"/>
                <w:szCs w:val="20"/>
              </w:rPr>
              <w:t>2</w:t>
            </w:r>
          </w:p>
        </w:tc>
        <w:tc>
          <w:tcPr>
            <w:tcW w:w="714" w:type="dxa"/>
            <w:vMerge w:val="continue"/>
            <w:tcBorders>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实行联合验收。由住房城乡建设部门牵头，协调确定验收时间，组织规划、土地、消防、人防、档案等事项限时联合验收，统一竣工验收图纸和验收标准，统一出具验收意见。制定限时联合验收管理办法，明确牵头部门、参与部门、验收标准、工作规则、办事流程和验收时限。</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住建局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w:t>
            </w:r>
            <w:r>
              <w:rPr>
                <w:rFonts w:eastAsia="仿宋_GB2312"/>
                <w:kern w:val="0"/>
                <w:sz w:val="24"/>
                <w:szCs w:val="20"/>
              </w:rPr>
              <w:t>日前</w:t>
            </w:r>
          </w:p>
        </w:tc>
      </w:tr>
      <w:tr>
        <w:tblPrEx>
          <w:tblLayout w:type="fixed"/>
          <w:tblCellMar>
            <w:top w:w="0" w:type="dxa"/>
            <w:left w:w="108" w:type="dxa"/>
            <w:bottom w:w="0" w:type="dxa"/>
            <w:right w:w="108" w:type="dxa"/>
          </w:tblCellMar>
        </w:tblPrEx>
        <w:trPr>
          <w:trHeight w:val="3218"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w:t>
            </w:r>
            <w:r>
              <w:rPr>
                <w:rFonts w:hint="eastAsia" w:eastAsia="仿宋_GB2312"/>
                <w:kern w:val="0"/>
                <w:sz w:val="24"/>
                <w:szCs w:val="20"/>
              </w:rPr>
              <w:t>3</w:t>
            </w:r>
          </w:p>
        </w:tc>
        <w:tc>
          <w:tcPr>
            <w:tcW w:w="71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推行区域评估</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由政府主导统一</w:t>
            </w:r>
            <w:r>
              <w:rPr>
                <w:rFonts w:hint="eastAsia" w:eastAsia="仿宋_GB2312"/>
                <w:kern w:val="0"/>
                <w:sz w:val="24"/>
                <w:szCs w:val="20"/>
              </w:rPr>
              <w:t>对</w:t>
            </w:r>
            <w:r>
              <w:rPr>
                <w:rFonts w:eastAsia="仿宋_GB2312"/>
                <w:kern w:val="0"/>
                <w:sz w:val="24"/>
                <w:szCs w:val="20"/>
              </w:rPr>
              <w:t>工业园区内的压覆重要矿产资源评估、环境影响评价、地质灾害危险性评估、地震安全性评价、水土保持方案、文物保护评估、气候可行性论证、洪水影响评价等事项实行区域评估，区域内共享评估评审结果，制定并实施区域评估实施方案。</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县发改</w:t>
            </w:r>
            <w:r>
              <w:rPr>
                <w:rFonts w:eastAsia="仿宋_GB2312"/>
                <w:kern w:val="0"/>
                <w:sz w:val="24"/>
                <w:szCs w:val="20"/>
              </w:rPr>
              <w:t>局</w:t>
            </w:r>
            <w:r>
              <w:rPr>
                <w:rFonts w:hint="eastAsia" w:eastAsia="仿宋_GB2312"/>
                <w:kern w:val="0"/>
                <w:sz w:val="24"/>
                <w:szCs w:val="20"/>
              </w:rPr>
              <w:t>、工业园区管委会</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县政府办</w:t>
            </w:r>
            <w:r>
              <w:rPr>
                <w:rFonts w:eastAsia="仿宋_GB2312"/>
                <w:kern w:val="0"/>
                <w:sz w:val="24"/>
                <w:szCs w:val="20"/>
              </w:rPr>
              <w:t>、</w:t>
            </w:r>
            <w:r>
              <w:rPr>
                <w:rFonts w:hint="eastAsia" w:eastAsia="仿宋_GB2312"/>
                <w:kern w:val="0"/>
                <w:sz w:val="24"/>
                <w:szCs w:val="20"/>
              </w:rPr>
              <w:t>县</w:t>
            </w:r>
            <w:r>
              <w:rPr>
                <w:rFonts w:eastAsia="仿宋_GB2312"/>
                <w:kern w:val="0"/>
                <w:sz w:val="24"/>
                <w:szCs w:val="20"/>
              </w:rPr>
              <w:t>各相关部门（单位）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1719"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w:t>
            </w:r>
            <w:r>
              <w:rPr>
                <w:rFonts w:hint="eastAsia" w:eastAsia="仿宋_GB2312"/>
                <w:kern w:val="0"/>
                <w:sz w:val="24"/>
                <w:szCs w:val="20"/>
              </w:rPr>
              <w:t>4</w:t>
            </w:r>
          </w:p>
        </w:tc>
        <w:tc>
          <w:tcPr>
            <w:tcW w:w="714"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rPr>
                <w:rFonts w:eastAsia="仿宋_GB2312"/>
                <w:kern w:val="0"/>
                <w:sz w:val="24"/>
                <w:szCs w:val="20"/>
              </w:rPr>
            </w:pPr>
            <w:r>
              <w:rPr>
                <w:rFonts w:eastAsia="仿宋_GB2312"/>
                <w:kern w:val="0"/>
                <w:sz w:val="24"/>
                <w:szCs w:val="20"/>
              </w:rPr>
              <w:t>实施区域评估的工程建设项目，政府相关部门应在土地出让或划拨前，告知建设单位相关建设要求。</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自然资源局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2286"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w:t>
            </w:r>
            <w:r>
              <w:rPr>
                <w:rFonts w:hint="eastAsia" w:eastAsia="仿宋_GB2312"/>
                <w:kern w:val="0"/>
                <w:sz w:val="24"/>
                <w:szCs w:val="20"/>
              </w:rPr>
              <w:t>5</w:t>
            </w:r>
          </w:p>
        </w:tc>
        <w:tc>
          <w:tcPr>
            <w:tcW w:w="71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推行告知承诺制</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制定并实施工程建设项目审批告知承诺制管理办法，公布实行告知承诺制的审批事项清单，明确告知承诺制的实施范围、工作方式、各方职责以及加强事中事后监管的措施。</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审批服务管理局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10月20日前</w:t>
            </w:r>
            <w:r>
              <w:rPr>
                <w:rFonts w:eastAsia="仿宋_GB2312"/>
                <w:kern w:val="0"/>
                <w:sz w:val="24"/>
                <w:szCs w:val="20"/>
              </w:rPr>
              <w:t>日前</w:t>
            </w:r>
          </w:p>
        </w:tc>
      </w:tr>
      <w:tr>
        <w:tblPrEx>
          <w:tblLayout w:type="fixed"/>
          <w:tblCellMar>
            <w:top w:w="0" w:type="dxa"/>
            <w:left w:w="108" w:type="dxa"/>
            <w:bottom w:w="0" w:type="dxa"/>
            <w:right w:w="108" w:type="dxa"/>
          </w:tblCellMar>
        </w:tblPrEx>
        <w:trPr>
          <w:trHeight w:val="4390"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w:t>
            </w:r>
            <w:r>
              <w:rPr>
                <w:rFonts w:hint="eastAsia" w:eastAsia="仿宋_GB2312"/>
                <w:kern w:val="0"/>
                <w:sz w:val="24"/>
                <w:szCs w:val="20"/>
              </w:rPr>
              <w:t>6</w:t>
            </w:r>
          </w:p>
        </w:tc>
        <w:tc>
          <w:tcPr>
            <w:tcW w:w="71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建立完善工程建设项目审批管理系统</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rPr>
              <w:t>依托宁夏政务服务网，</w:t>
            </w:r>
            <w:r>
              <w:rPr>
                <w:rFonts w:hint="eastAsia" w:eastAsia="仿宋_GB2312"/>
                <w:kern w:val="0"/>
                <w:sz w:val="24"/>
              </w:rPr>
              <w:t>由</w:t>
            </w:r>
            <w:r>
              <w:rPr>
                <w:rFonts w:hint="eastAsia" w:ascii="仿宋_GB2312" w:hAnsi="仿宋_GB2312" w:eastAsia="仿宋_GB2312" w:cs="仿宋_GB2312"/>
                <w:sz w:val="24"/>
              </w:rPr>
              <w:t>自治区统筹建设的覆盖自治区、市、县三级，</w:t>
            </w:r>
            <w:r>
              <w:rPr>
                <w:rFonts w:eastAsia="仿宋_GB2312"/>
                <w:kern w:val="0"/>
                <w:sz w:val="24"/>
              </w:rPr>
              <w:t>与各相关部门审批信息系统互联互通，具备“多规合一”业务协同、在线并联审批、多维统计分析、数据实时</w:t>
            </w:r>
            <w:r>
              <w:rPr>
                <w:rFonts w:eastAsia="仿宋_GB2312"/>
                <w:kern w:val="0"/>
                <w:sz w:val="24"/>
                <w:szCs w:val="20"/>
              </w:rPr>
              <w:t>共享、全程监督管理等功能的工程建设项目审批管理系统，在“一张蓝图”上开展审批，实现“一站式”统一受理、并联审批、实时流转、跟踪督办。</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县住建局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12</w:t>
            </w:r>
            <w:r>
              <w:rPr>
                <w:rFonts w:eastAsia="仿宋_GB2312"/>
                <w:kern w:val="0"/>
                <w:sz w:val="24"/>
                <w:szCs w:val="20"/>
              </w:rPr>
              <w:t>月底</w:t>
            </w:r>
          </w:p>
        </w:tc>
      </w:tr>
      <w:tr>
        <w:tblPrEx>
          <w:tblLayout w:type="fixed"/>
          <w:tblCellMar>
            <w:top w:w="0" w:type="dxa"/>
            <w:left w:w="108" w:type="dxa"/>
            <w:bottom w:w="0" w:type="dxa"/>
            <w:right w:w="108" w:type="dxa"/>
          </w:tblCellMar>
        </w:tblPrEx>
        <w:trPr>
          <w:trHeight w:val="1974"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w:t>
            </w:r>
            <w:r>
              <w:rPr>
                <w:rFonts w:hint="eastAsia" w:eastAsia="仿宋_GB2312"/>
                <w:kern w:val="0"/>
                <w:sz w:val="24"/>
                <w:szCs w:val="20"/>
              </w:rPr>
              <w:t>7</w:t>
            </w:r>
          </w:p>
        </w:tc>
        <w:tc>
          <w:tcPr>
            <w:tcW w:w="714"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2019年12月底前完成工程建设项目审批管理系统上线运行，</w:t>
            </w:r>
            <w:r>
              <w:rPr>
                <w:rFonts w:hint="eastAsia" w:eastAsia="仿宋_GB2312"/>
                <w:kern w:val="0"/>
                <w:sz w:val="24"/>
                <w:szCs w:val="20"/>
              </w:rPr>
              <w:t>县</w:t>
            </w:r>
            <w:r>
              <w:rPr>
                <w:rFonts w:eastAsia="仿宋_GB2312"/>
                <w:kern w:val="0"/>
                <w:sz w:val="24"/>
                <w:szCs w:val="20"/>
              </w:rPr>
              <w:t>级不再单独开发工程建设项目审批管理系统。</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县住建局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2019年12月底</w:t>
            </w:r>
          </w:p>
        </w:tc>
      </w:tr>
      <w:tr>
        <w:tblPrEx>
          <w:tblLayout w:type="fixed"/>
          <w:tblCellMar>
            <w:top w:w="0" w:type="dxa"/>
            <w:left w:w="108" w:type="dxa"/>
            <w:bottom w:w="0" w:type="dxa"/>
            <w:right w:w="108" w:type="dxa"/>
          </w:tblCellMar>
        </w:tblPrEx>
        <w:trPr>
          <w:trHeight w:val="3322"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w:t>
            </w:r>
            <w:r>
              <w:rPr>
                <w:rFonts w:hint="eastAsia" w:eastAsia="仿宋_GB2312"/>
                <w:kern w:val="0"/>
                <w:sz w:val="24"/>
                <w:szCs w:val="20"/>
              </w:rPr>
              <w:t>8</w:t>
            </w:r>
          </w:p>
        </w:tc>
        <w:tc>
          <w:tcPr>
            <w:tcW w:w="71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“一张蓝图”统筹项目实施</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rPr>
                <w:rFonts w:eastAsia="仿宋_GB2312"/>
                <w:kern w:val="0"/>
                <w:sz w:val="24"/>
                <w:szCs w:val="20"/>
              </w:rPr>
            </w:pPr>
            <w:r>
              <w:rPr>
                <w:rFonts w:eastAsia="仿宋_GB2312"/>
                <w:kern w:val="0"/>
                <w:sz w:val="24"/>
                <w:szCs w:val="20"/>
              </w:rPr>
              <w:t>综合考虑经济社会发展规划、城乡规划、土地利用总体规划以及综合交通、文化旅游、社会事业等专项规划，建立“多规合一”协调机制，制定项目生成管理办法，加快工程建设项目前期策划生成，实现利用工程建设项目审批管理系统的“多规合一”业务协同。</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自然资源局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w:t>
            </w:r>
            <w:r>
              <w:rPr>
                <w:rFonts w:eastAsia="仿宋_GB2312"/>
                <w:kern w:val="0"/>
                <w:sz w:val="24"/>
                <w:szCs w:val="20"/>
              </w:rPr>
              <w:t>日前</w:t>
            </w:r>
          </w:p>
        </w:tc>
      </w:tr>
      <w:tr>
        <w:tblPrEx>
          <w:tblLayout w:type="fixed"/>
          <w:tblCellMar>
            <w:top w:w="0" w:type="dxa"/>
            <w:left w:w="108" w:type="dxa"/>
            <w:bottom w:w="0" w:type="dxa"/>
            <w:right w:w="108" w:type="dxa"/>
          </w:tblCellMar>
        </w:tblPrEx>
        <w:trPr>
          <w:trHeight w:val="5608"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29</w:t>
            </w:r>
          </w:p>
        </w:tc>
        <w:tc>
          <w:tcPr>
            <w:tcW w:w="71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“一个窗口”提供综合服务</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hint="eastAsia" w:eastAsia="仿宋_GB2312"/>
                <w:kern w:val="0"/>
                <w:sz w:val="24"/>
                <w:szCs w:val="20"/>
              </w:rPr>
              <w:t>县政务服务中心、平罗工业园区政务大</w:t>
            </w:r>
            <w:r>
              <w:rPr>
                <w:rFonts w:eastAsia="仿宋_GB2312"/>
                <w:kern w:val="0"/>
                <w:sz w:val="24"/>
                <w:szCs w:val="20"/>
              </w:rPr>
              <w:t>厅，将各审批部门审批事项全部纳入工程建设项目审批管理服务平台，按照划分的审批阶段，设立立项用地规划许可阶段综合窗口、工程建设许可阶段综合窗口、施工许可阶段综合窗口、竣工验收阶段综合窗口，建立完善“前台综合受理、后台分类审核、综合窗口出件”的工作机制，强化“一个窗口”统一办理、出件和咨询等事项，实行“一家牵头、并联审批、限时办结”。制定“一窗受理”的工作规程，鼓励为申请人提供工程建设项目审批咨询、指导、协调和代办等服务。</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平罗工业园区管委会、县审批服务管理局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w:t>
            </w:r>
            <w:r>
              <w:rPr>
                <w:rFonts w:eastAsia="仿宋_GB2312"/>
                <w:kern w:val="0"/>
                <w:sz w:val="24"/>
                <w:szCs w:val="20"/>
              </w:rPr>
              <w:t>日前</w:t>
            </w:r>
          </w:p>
        </w:tc>
      </w:tr>
      <w:tr>
        <w:tblPrEx>
          <w:tblLayout w:type="fixed"/>
          <w:tblCellMar>
            <w:top w:w="0" w:type="dxa"/>
            <w:left w:w="108" w:type="dxa"/>
            <w:bottom w:w="0" w:type="dxa"/>
            <w:right w:w="108" w:type="dxa"/>
          </w:tblCellMar>
        </w:tblPrEx>
        <w:trPr>
          <w:trHeight w:val="2637"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3</w:t>
            </w:r>
            <w:r>
              <w:rPr>
                <w:rFonts w:hint="eastAsia" w:eastAsia="仿宋_GB2312"/>
                <w:kern w:val="0"/>
                <w:sz w:val="24"/>
                <w:szCs w:val="20"/>
              </w:rPr>
              <w:t>0</w:t>
            </w:r>
          </w:p>
        </w:tc>
        <w:tc>
          <w:tcPr>
            <w:tcW w:w="71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“一张表单”整合申报材料</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各审批阶段均实行“一份办事指南、一张申请表单、一套申报材料、完成多项审批”的运作模式，各审批阶段牵头部门制定统一的办事指南和申报表格，每个审批阶段申请人只需提交一套申报材料。</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县住建局、县自然资源局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w:t>
            </w:r>
            <w:r>
              <w:rPr>
                <w:rFonts w:eastAsia="仿宋_GB2312"/>
                <w:kern w:val="0"/>
                <w:sz w:val="24"/>
                <w:szCs w:val="20"/>
              </w:rPr>
              <w:t>日前</w:t>
            </w:r>
          </w:p>
        </w:tc>
      </w:tr>
      <w:tr>
        <w:tblPrEx>
          <w:tblLayout w:type="fixed"/>
          <w:tblCellMar>
            <w:top w:w="0" w:type="dxa"/>
            <w:left w:w="108" w:type="dxa"/>
            <w:bottom w:w="0" w:type="dxa"/>
            <w:right w:w="108" w:type="dxa"/>
          </w:tblCellMar>
        </w:tblPrEx>
        <w:trPr>
          <w:trHeight w:val="3624"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3</w:t>
            </w:r>
            <w:r>
              <w:rPr>
                <w:rFonts w:hint="eastAsia" w:eastAsia="仿宋_GB2312"/>
                <w:kern w:val="0"/>
                <w:sz w:val="24"/>
                <w:szCs w:val="20"/>
              </w:rPr>
              <w:t>1</w:t>
            </w:r>
          </w:p>
        </w:tc>
        <w:tc>
          <w:tcPr>
            <w:tcW w:w="714"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“一套机制”规范审批运行</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建立工程建设项目审批配套制度，明确部门职责，明晰工作规程，规范审批行为，确保审批各阶段、各环节无缝衔接，并根据运行情况不断完善。建立审批协调机制，协调解决部门意见分歧。完善首问负责、投诉问责、倒查追责的责任追溯体系，建立督查督办制度，实现行政审批全流程、全要素跟踪监管。</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审批服务管理局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3685"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32</w:t>
            </w:r>
          </w:p>
        </w:tc>
        <w:tc>
          <w:tcPr>
            <w:tcW w:w="71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加强事中事后监管</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各审批部门要按照“谁审批、谁负责，谁主管、谁监管”原则，依法履行主体责任，加强事中事后监管，全面推行“双随机、一公开”监管模式。对实行告知承诺制的审批事项，审批部门应当在规定时间内对承诺人履行承诺的情况进行检查，承诺人未履行承诺的，审批部门依法依规撤销行政审批决定并追究承诺人的相应责任。</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sz w:val="24"/>
              </w:rPr>
              <w:t>县</w:t>
            </w:r>
            <w:r>
              <w:rPr>
                <w:rFonts w:eastAsia="仿宋_GB2312"/>
                <w:sz w:val="24"/>
              </w:rPr>
              <w:t>各相关部门按职责分别负责</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2824"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33</w:t>
            </w:r>
          </w:p>
        </w:tc>
        <w:tc>
          <w:tcPr>
            <w:tcW w:w="71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加强信用体系建设</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实行红黑名单制度，对信用状况良好主体提供“信易批”“容缺受理”等便利服务，完善限时后补机制，对违法违规、不履行承诺的失信主体依法计入诚信档案并公开，构建一处失信、处处受限的联合惩戒机制。</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县发改局、县市场监管局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2493"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3</w:t>
            </w:r>
            <w:r>
              <w:rPr>
                <w:rFonts w:hint="eastAsia" w:eastAsia="仿宋_GB2312"/>
                <w:kern w:val="0"/>
                <w:sz w:val="24"/>
                <w:szCs w:val="20"/>
              </w:rPr>
              <w:t>4</w:t>
            </w:r>
          </w:p>
        </w:tc>
        <w:tc>
          <w:tcPr>
            <w:tcW w:w="714"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eastAsia="仿宋_GB2312"/>
                <w:kern w:val="0"/>
                <w:sz w:val="24"/>
                <w:szCs w:val="20"/>
              </w:rPr>
            </w:pP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建立工程建设项目审批信用信息平台，加强信用监管互联互通，实现信息共享，增强联合奖惩效果。</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w:t>
            </w:r>
            <w:r>
              <w:rPr>
                <w:rFonts w:eastAsia="仿宋_GB2312"/>
                <w:kern w:val="0"/>
                <w:sz w:val="24"/>
                <w:szCs w:val="20"/>
              </w:rPr>
              <w:t>审批服务管理局、</w:t>
            </w:r>
            <w:r>
              <w:rPr>
                <w:rFonts w:hint="eastAsia" w:eastAsia="仿宋_GB2312"/>
                <w:kern w:val="0"/>
                <w:sz w:val="24"/>
                <w:szCs w:val="20"/>
              </w:rPr>
              <w:t>县</w:t>
            </w:r>
            <w:r>
              <w:rPr>
                <w:rFonts w:eastAsia="仿宋_GB2312"/>
                <w:kern w:val="0"/>
                <w:sz w:val="24"/>
                <w:szCs w:val="20"/>
              </w:rPr>
              <w:t>发改</w:t>
            </w:r>
            <w:r>
              <w:rPr>
                <w:rFonts w:hint="eastAsia" w:eastAsia="仿宋_GB2312"/>
                <w:kern w:val="0"/>
                <w:sz w:val="24"/>
                <w:szCs w:val="20"/>
              </w:rPr>
              <w:t>局、县市场监管局</w:t>
            </w:r>
            <w:r>
              <w:rPr>
                <w:rFonts w:eastAsia="仿宋_GB2312"/>
                <w:kern w:val="0"/>
                <w:sz w:val="24"/>
                <w:szCs w:val="20"/>
              </w:rPr>
              <w:t>、</w:t>
            </w:r>
            <w:r>
              <w:rPr>
                <w:rFonts w:hint="eastAsia" w:eastAsia="仿宋_GB2312"/>
                <w:kern w:val="0"/>
                <w:sz w:val="24"/>
                <w:szCs w:val="20"/>
              </w:rPr>
              <w:t>县</w:t>
            </w:r>
            <w:r>
              <w:rPr>
                <w:rFonts w:eastAsia="仿宋_GB2312"/>
                <w:kern w:val="0"/>
                <w:sz w:val="24"/>
                <w:szCs w:val="20"/>
              </w:rPr>
              <w:t>住建局、</w:t>
            </w:r>
            <w:r>
              <w:rPr>
                <w:rFonts w:hint="eastAsia" w:eastAsia="仿宋_GB2312"/>
                <w:kern w:val="0"/>
                <w:sz w:val="24"/>
                <w:szCs w:val="20"/>
              </w:rPr>
              <w:t>县</w:t>
            </w:r>
            <w:r>
              <w:rPr>
                <w:rFonts w:eastAsia="仿宋_GB2312"/>
                <w:kern w:val="0"/>
                <w:sz w:val="24"/>
                <w:szCs w:val="20"/>
              </w:rPr>
              <w:t>自然资源局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20日前</w:t>
            </w:r>
          </w:p>
        </w:tc>
      </w:tr>
      <w:tr>
        <w:tblPrEx>
          <w:tblLayout w:type="fixed"/>
          <w:tblCellMar>
            <w:top w:w="0" w:type="dxa"/>
            <w:left w:w="108" w:type="dxa"/>
            <w:bottom w:w="0" w:type="dxa"/>
            <w:right w:w="108" w:type="dxa"/>
          </w:tblCellMar>
        </w:tblPrEx>
        <w:trPr>
          <w:trHeight w:val="2779" w:hRule="atLeast"/>
          <w:jc w:val="center"/>
        </w:trPr>
        <w:tc>
          <w:tcPr>
            <w:tcW w:w="4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eastAsia="仿宋_GB2312"/>
                <w:kern w:val="0"/>
                <w:sz w:val="24"/>
                <w:szCs w:val="20"/>
              </w:rPr>
              <w:t>3</w:t>
            </w:r>
            <w:r>
              <w:rPr>
                <w:rFonts w:hint="eastAsia" w:eastAsia="仿宋_GB2312"/>
                <w:kern w:val="0"/>
                <w:sz w:val="24"/>
                <w:szCs w:val="20"/>
              </w:rPr>
              <w:t>5</w:t>
            </w:r>
          </w:p>
        </w:tc>
        <w:tc>
          <w:tcPr>
            <w:tcW w:w="714" w:type="dxa"/>
            <w:tcBorders>
              <w:top w:val="nil"/>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规范中介和市政公用服务</w:t>
            </w:r>
          </w:p>
        </w:tc>
        <w:tc>
          <w:tcPr>
            <w:tcW w:w="34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left"/>
              <w:rPr>
                <w:rFonts w:eastAsia="仿宋_GB2312"/>
                <w:kern w:val="0"/>
                <w:sz w:val="24"/>
                <w:szCs w:val="20"/>
              </w:rPr>
            </w:pPr>
            <w:r>
              <w:rPr>
                <w:rFonts w:eastAsia="仿宋_GB2312"/>
                <w:kern w:val="0"/>
                <w:sz w:val="24"/>
                <w:szCs w:val="20"/>
              </w:rPr>
              <w:t>制定并实施中介服务和市政公用服务管理制度，清理规范行政审批中介服务事项。依托工程建设项目审批管理系统建立中介服务网上交易平台，对中介服务行为实施全过程监管。</w:t>
            </w:r>
          </w:p>
        </w:tc>
        <w:tc>
          <w:tcPr>
            <w:tcW w:w="13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hint="eastAsia" w:eastAsia="仿宋_GB2312"/>
                <w:kern w:val="0"/>
                <w:sz w:val="24"/>
                <w:szCs w:val="20"/>
              </w:rPr>
              <w:t>县住建局、县自然资源局、县</w:t>
            </w:r>
            <w:r>
              <w:rPr>
                <w:rFonts w:eastAsia="仿宋_GB2312"/>
                <w:kern w:val="0"/>
                <w:sz w:val="24"/>
                <w:szCs w:val="20"/>
              </w:rPr>
              <w:t>审批服务管理局</w:t>
            </w:r>
          </w:p>
        </w:tc>
        <w:tc>
          <w:tcPr>
            <w:tcW w:w="18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hint="eastAsia" w:eastAsia="仿宋_GB2312"/>
                <w:kern w:val="0"/>
                <w:sz w:val="24"/>
                <w:szCs w:val="20"/>
              </w:rPr>
            </w:pPr>
            <w:r>
              <w:rPr>
                <w:rFonts w:hint="eastAsia" w:eastAsia="仿宋_GB2312"/>
                <w:kern w:val="0"/>
                <w:sz w:val="24"/>
                <w:szCs w:val="20"/>
              </w:rPr>
              <w:t>县</w:t>
            </w:r>
            <w:r>
              <w:rPr>
                <w:rFonts w:eastAsia="仿宋_GB2312"/>
                <w:kern w:val="0"/>
                <w:sz w:val="24"/>
                <w:szCs w:val="20"/>
              </w:rPr>
              <w:t>各相关部门</w:t>
            </w:r>
          </w:p>
          <w:p>
            <w:pPr>
              <w:widowControl/>
              <w:adjustRightInd w:val="0"/>
              <w:snapToGrid w:val="0"/>
              <w:spacing w:line="320" w:lineRule="exact"/>
              <w:jc w:val="center"/>
              <w:rPr>
                <w:rFonts w:eastAsia="仿宋_GB2312"/>
                <w:kern w:val="0"/>
                <w:sz w:val="24"/>
                <w:szCs w:val="20"/>
              </w:rPr>
            </w:pPr>
            <w:r>
              <w:rPr>
                <w:rFonts w:eastAsia="仿宋_GB2312"/>
                <w:kern w:val="0"/>
                <w:sz w:val="24"/>
                <w:szCs w:val="20"/>
              </w:rPr>
              <w:t>（单位）</w:t>
            </w:r>
          </w:p>
        </w:tc>
        <w:tc>
          <w:tcPr>
            <w:tcW w:w="11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adjustRightInd w:val="0"/>
              <w:snapToGrid w:val="0"/>
              <w:spacing w:line="320" w:lineRule="exact"/>
              <w:jc w:val="center"/>
              <w:rPr>
                <w:rFonts w:eastAsia="仿宋_GB2312"/>
                <w:kern w:val="0"/>
                <w:sz w:val="24"/>
                <w:szCs w:val="20"/>
              </w:rPr>
            </w:pPr>
            <w:r>
              <w:rPr>
                <w:rFonts w:eastAsia="仿宋_GB2312"/>
                <w:kern w:val="0"/>
                <w:sz w:val="24"/>
                <w:szCs w:val="20"/>
              </w:rPr>
              <w:t>2019年</w:t>
            </w:r>
            <w:r>
              <w:rPr>
                <w:rFonts w:hint="eastAsia" w:eastAsia="仿宋_GB2312"/>
                <w:kern w:val="0"/>
                <w:sz w:val="24"/>
                <w:szCs w:val="20"/>
              </w:rPr>
              <w:t>10</w:t>
            </w:r>
            <w:r>
              <w:rPr>
                <w:rFonts w:eastAsia="仿宋_GB2312"/>
                <w:kern w:val="0"/>
                <w:sz w:val="24"/>
                <w:szCs w:val="20"/>
              </w:rPr>
              <w:t>月</w:t>
            </w:r>
            <w:r>
              <w:rPr>
                <w:rFonts w:hint="eastAsia" w:eastAsia="仿宋_GB2312"/>
                <w:kern w:val="0"/>
                <w:sz w:val="24"/>
                <w:szCs w:val="20"/>
              </w:rPr>
              <w:t>20</w:t>
            </w:r>
            <w:r>
              <w:rPr>
                <w:rFonts w:eastAsia="仿宋_GB2312"/>
                <w:kern w:val="0"/>
                <w:sz w:val="24"/>
                <w:szCs w:val="20"/>
              </w:rPr>
              <w:t>日前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11C63"/>
    <w:rsid w:val="34AD5C88"/>
    <w:rsid w:val="37CE0DDE"/>
    <w:rsid w:val="4DF11C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2019-10-21T07:26:00Z</dcterms:created>
  <dc:creator>though_lili</dc:creator>
  <cp:lastModifiedBy>though_lili</cp:lastModifiedBy>
  <dcterms:modified xsi:type="dcterms:W3CDTF">2019-10-21T07:29:53Z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