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XXXX</w:t>
      </w:r>
      <w:r>
        <w:rPr>
          <w:rFonts w:hint="eastAsia" w:eastAsia="方正小标宋简体"/>
          <w:sz w:val="44"/>
          <w:szCs w:val="44"/>
        </w:rPr>
        <w:t>部门政府信息主动公开基本目录（模板）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245"/>
        <w:gridCol w:w="1260"/>
        <w:gridCol w:w="1637"/>
        <w:gridCol w:w="1105"/>
        <w:gridCol w:w="1432"/>
        <w:gridCol w:w="1061"/>
        <w:gridCol w:w="3390"/>
        <w:gridCol w:w="435"/>
        <w:gridCol w:w="390"/>
        <w:gridCol w:w="330"/>
        <w:gridCol w:w="375"/>
        <w:gridCol w:w="390"/>
        <w:gridCol w:w="405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74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8"/>
                <w:szCs w:val="36"/>
              </w:rPr>
              <w:t>第一部分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</w:tcPr>
          <w:p>
            <w:pPr>
              <w:snapToGrid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一、主要依据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···················</w:t>
            </w:r>
          </w:p>
          <w:p>
            <w:pPr>
              <w:snapToGrid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二、责任主体、联系方式、公开渠道、监督渠道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【责任主体】</w:t>
            </w:r>
            <w:r>
              <w:rPr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部门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【联系方式】电话号码、通讯地址等</w:t>
            </w:r>
          </w:p>
          <w:p>
            <w:pPr>
              <w:snapToGrid w:val="0"/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【公开渠道】政府网站（网址），政务微信（账号），政务微博（网址），其他具体方式</w:t>
            </w:r>
          </w:p>
          <w:p>
            <w:pPr>
              <w:snapToGrid w:val="0"/>
              <w:spacing w:line="280" w:lineRule="exact"/>
              <w:jc w:val="left"/>
              <w:rPr>
                <w:rFonts w:eastAsia="黑体"/>
              </w:rPr>
            </w:pPr>
            <w:r>
              <w:rPr>
                <w:rFonts w:hint="eastAsia"/>
                <w:sz w:val="21"/>
                <w:szCs w:val="21"/>
              </w:rPr>
              <w:t>【监督渠道】电话号码等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74" w:type="dxa"/>
            <w:gridSpan w:val="1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8"/>
                <w:szCs w:val="36"/>
              </w:rPr>
              <w:t>第二部分</w:t>
            </w:r>
            <w:r>
              <w:rPr>
                <w:rFonts w:eastAsia="黑体"/>
                <w:sz w:val="28"/>
                <w:szCs w:val="36"/>
              </w:rPr>
              <w:t xml:space="preserve"> </w:t>
            </w:r>
            <w:r>
              <w:rPr>
                <w:rFonts w:hint="eastAsia" w:eastAsia="黑体"/>
                <w:sz w:val="28"/>
                <w:szCs w:val="36"/>
              </w:rPr>
              <w:t>基本目录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公开事项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（要素）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公开依据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公开时限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公开主体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公开渠道和载体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公开对象</w:t>
            </w:r>
          </w:p>
        </w:tc>
        <w:tc>
          <w:tcPr>
            <w:tcW w:w="1816" w:type="dxa"/>
            <w:gridSpan w:val="5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所属“五公开”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二级事项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9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全社会</w:t>
            </w:r>
          </w:p>
        </w:tc>
        <w:tc>
          <w:tcPr>
            <w:tcW w:w="39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特定群体</w:t>
            </w:r>
          </w:p>
        </w:tc>
        <w:tc>
          <w:tcPr>
            <w:tcW w:w="330" w:type="dxa"/>
          </w:tcPr>
          <w:p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决策</w:t>
            </w:r>
          </w:p>
        </w:tc>
        <w:tc>
          <w:tcPr>
            <w:tcW w:w="375" w:type="dxa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</w:t>
            </w:r>
          </w:p>
        </w:tc>
        <w:tc>
          <w:tcPr>
            <w:tcW w:w="390" w:type="dxa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405" w:type="dxa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16" w:type="dxa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0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1.1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公开要素</w:t>
            </w:r>
            <w:r>
              <w:rPr>
                <w:sz w:val="21"/>
                <w:szCs w:val="21"/>
              </w:rPr>
              <w:t>1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公开要素</w:t>
            </w:r>
            <w:r>
              <w:rPr>
                <w:sz w:val="21"/>
                <w:szCs w:val="21"/>
              </w:rPr>
              <w:t>2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sz w:val="18"/>
                <w:szCs w:val="18"/>
              </w:rPr>
              <w:t>●</w:t>
            </w:r>
            <w:r>
              <w:rPr>
                <w:rFonts w:hint="eastAsia"/>
                <w:sz w:val="21"/>
                <w:szCs w:val="21"/>
              </w:rPr>
              <w:t>公开要素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□政府网站</w:t>
            </w:r>
            <w:r>
              <w:rPr>
                <w:sz w:val="18"/>
                <w:szCs w:val="21"/>
              </w:rPr>
              <w:t xml:space="preserve">   </w:t>
            </w:r>
            <w:r>
              <w:rPr>
                <w:rFonts w:hint="eastAsia"/>
                <w:sz w:val="18"/>
                <w:szCs w:val="21"/>
              </w:rPr>
              <w:t>□两微一端</w:t>
            </w:r>
            <w:r>
              <w:rPr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□政府公报</w:t>
            </w:r>
          </w:p>
          <w:p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□发布会</w:t>
            </w:r>
            <w:r>
              <w:rPr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听证会</w:t>
            </w:r>
            <w:r>
              <w:rPr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□广播电视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□报刊</w:t>
            </w:r>
          </w:p>
          <w:p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□公开查阅点</w:t>
            </w:r>
            <w:r>
              <w:rPr>
                <w:sz w:val="18"/>
                <w:szCs w:val="21"/>
              </w:rPr>
              <w:t xml:space="preserve">     </w:t>
            </w:r>
            <w:r>
              <w:rPr>
                <w:rFonts w:hint="eastAsia"/>
                <w:sz w:val="18"/>
                <w:szCs w:val="21"/>
              </w:rPr>
              <w:t>□政务服务中心</w:t>
            </w:r>
          </w:p>
          <w:p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□便民服务站</w:t>
            </w:r>
            <w:r>
              <w:rPr>
                <w:sz w:val="18"/>
                <w:szCs w:val="21"/>
              </w:rPr>
              <w:t xml:space="preserve">     </w:t>
            </w:r>
            <w:r>
              <w:rPr>
                <w:rFonts w:hint="eastAsia"/>
                <w:sz w:val="18"/>
                <w:szCs w:val="21"/>
              </w:rPr>
              <w:t>□入户</w:t>
            </w:r>
            <w:r>
              <w:rPr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现场</w:t>
            </w:r>
          </w:p>
          <w:p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□社区（村）</w:t>
            </w:r>
            <w:r>
              <w:rPr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企事业单位公示栏</w:t>
            </w:r>
          </w:p>
          <w:p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18"/>
                <w:szCs w:val="21"/>
              </w:rPr>
              <w:t>□精准推送（注明）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□其他（注明）</w:t>
            </w:r>
          </w:p>
        </w:tc>
        <w:tc>
          <w:tcPr>
            <w:tcW w:w="435" w:type="dxa"/>
          </w:tcPr>
          <w:p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390" w:type="dxa"/>
          </w:tcPr>
          <w:p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1.2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>
            <w:pPr>
              <w:rPr>
                <w:rFonts w:eastAsia="宋体"/>
              </w:rPr>
            </w:pPr>
          </w:p>
        </w:tc>
        <w:tc>
          <w:tcPr>
            <w:tcW w:w="435" w:type="dxa"/>
          </w:tcPr>
          <w:p>
            <w:pPr>
              <w:rPr>
                <w:rFonts w:eastAsia="宋体"/>
              </w:rPr>
            </w:pPr>
          </w:p>
        </w:tc>
        <w:tc>
          <w:tcPr>
            <w:tcW w:w="390" w:type="dxa"/>
          </w:tcPr>
          <w:p>
            <w:pPr>
              <w:rPr>
                <w:rFonts w:eastAsia="宋体"/>
              </w:rPr>
            </w:pPr>
          </w:p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5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2.1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2.2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事项大类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3.1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45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事项（</w:t>
            </w:r>
            <w:r>
              <w:rPr>
                <w:sz w:val="21"/>
                <w:szCs w:val="21"/>
              </w:rPr>
              <w:t>3.2</w:t>
            </w:r>
            <w:r>
              <w:rPr>
                <w:rFonts w:hint="eastAsia"/>
                <w:sz w:val="21"/>
                <w:szCs w:val="21"/>
              </w:rPr>
              <w:t>）名称</w:t>
            </w: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45" w:type="dxa"/>
            <w:vMerge w:val="continue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37" w:type="dxa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/>
        </w:tc>
        <w:tc>
          <w:tcPr>
            <w:tcW w:w="1432" w:type="dxa"/>
          </w:tcPr>
          <w:p/>
        </w:tc>
        <w:tc>
          <w:tcPr>
            <w:tcW w:w="1061" w:type="dxa"/>
          </w:tcPr>
          <w:p/>
        </w:tc>
        <w:tc>
          <w:tcPr>
            <w:tcW w:w="3390" w:type="dxa"/>
          </w:tcPr>
          <w:p/>
        </w:tc>
        <w:tc>
          <w:tcPr>
            <w:tcW w:w="435" w:type="dxa"/>
          </w:tcPr>
          <w:p/>
        </w:tc>
        <w:tc>
          <w:tcPr>
            <w:tcW w:w="390" w:type="dxa"/>
          </w:tcPr>
          <w:p/>
        </w:tc>
        <w:tc>
          <w:tcPr>
            <w:tcW w:w="330" w:type="dxa"/>
          </w:tcPr>
          <w:p/>
        </w:tc>
        <w:tc>
          <w:tcPr>
            <w:tcW w:w="375" w:type="dxa"/>
          </w:tcPr>
          <w:p/>
        </w:tc>
        <w:tc>
          <w:tcPr>
            <w:tcW w:w="390" w:type="dxa"/>
          </w:tcPr>
          <w:p/>
        </w:tc>
        <w:tc>
          <w:tcPr>
            <w:tcW w:w="405" w:type="dxa"/>
          </w:tcPr>
          <w:p/>
        </w:tc>
        <w:tc>
          <w:tcPr>
            <w:tcW w:w="316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70F5"/>
    <w:rsid w:val="06861415"/>
    <w:rsid w:val="55FA7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2019-05-22T08:35:00Z</dcterms:created>
  <dc:creator>凉凉</dc:creator>
  <cp:lastModifiedBy>凉凉</cp:lastModifiedBy>
  <dcterms:modified xsi:type="dcterms:W3CDTF">2019-05-22T08:37:35Z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