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黑体" w:eastAsia="方正仿宋_GBK" w:cs="黑体"/>
          <w:bCs/>
          <w:sz w:val="32"/>
          <w:szCs w:val="32"/>
        </w:rPr>
      </w:pPr>
      <w:r>
        <w:rPr>
          <w:rFonts w:hint="eastAsia" w:ascii="方正仿宋_GBK" w:hAnsi="黑体" w:eastAsia="方正仿宋_GBK" w:cs="黑体"/>
          <w:bCs/>
          <w:sz w:val="32"/>
          <w:szCs w:val="32"/>
        </w:rPr>
        <w:t>附件</w:t>
      </w:r>
    </w:p>
    <w:p>
      <w:pPr>
        <w:spacing w:line="620" w:lineRule="exact"/>
        <w:jc w:val="center"/>
        <w:rPr>
          <w:rFonts w:hint="eastAsia" w:ascii="方正小标宋_GBK" w:hAnsi="宋体" w:eastAsia="方正小标宋_GBK" w:cs="宋体"/>
          <w:bCs/>
          <w:sz w:val="44"/>
          <w:szCs w:val="44"/>
        </w:rPr>
      </w:pPr>
      <w:bookmarkStart w:id="0" w:name="_GoBack"/>
      <w:r>
        <w:rPr>
          <w:rFonts w:hint="eastAsia" w:ascii="方正小标宋_GBK" w:hAnsi="宋体" w:eastAsia="方正小标宋_GBK" w:cs="宋体"/>
          <w:bCs/>
          <w:sz w:val="44"/>
          <w:szCs w:val="44"/>
        </w:rPr>
        <w:t>平罗县耕地保护责任目标考核评分细则</w:t>
      </w:r>
    </w:p>
    <w:bookmarkEnd w:id="0"/>
    <w:tbl>
      <w:tblPr>
        <w:tblStyle w:val="5"/>
        <w:tblW w:w="14034" w:type="dxa"/>
        <w:tblInd w:w="12" w:type="dxa"/>
        <w:tblLayout w:type="fixed"/>
        <w:tblCellMar>
          <w:top w:w="0" w:type="dxa"/>
          <w:left w:w="0" w:type="dxa"/>
          <w:bottom w:w="0" w:type="dxa"/>
          <w:right w:w="0" w:type="dxa"/>
        </w:tblCellMar>
      </w:tblPr>
      <w:tblGrid>
        <w:gridCol w:w="678"/>
        <w:gridCol w:w="1316"/>
        <w:gridCol w:w="1456"/>
        <w:gridCol w:w="10584"/>
      </w:tblGrid>
      <w:tr>
        <w:tblPrEx>
          <w:tblLayout w:type="fixed"/>
          <w:tblCellMar>
            <w:top w:w="0" w:type="dxa"/>
            <w:left w:w="0" w:type="dxa"/>
            <w:bottom w:w="0" w:type="dxa"/>
            <w:right w:w="0" w:type="dxa"/>
          </w:tblCellMar>
        </w:tblPrEx>
        <w:trPr>
          <w:trHeight w:val="747" w:hRule="atLeast"/>
        </w:trPr>
        <w:tc>
          <w:tcPr>
            <w:tcW w:w="678" w:type="dxa"/>
            <w:tcBorders>
              <w:top w:val="double" w:color="auto" w:sz="4" w:space="0"/>
              <w:left w:val="double"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rPr>
              <w:t>序号</w:t>
            </w:r>
          </w:p>
        </w:tc>
        <w:tc>
          <w:tcPr>
            <w:tcW w:w="1316" w:type="dxa"/>
            <w:tcBorders>
              <w:top w:val="double"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考核内容</w:t>
            </w:r>
          </w:p>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rPr>
              <w:t>及分值</w:t>
            </w:r>
          </w:p>
        </w:tc>
        <w:tc>
          <w:tcPr>
            <w:tcW w:w="1456" w:type="dxa"/>
            <w:tcBorders>
              <w:top w:val="double"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rPr>
              <w:t>分项</w:t>
            </w:r>
          </w:p>
        </w:tc>
        <w:tc>
          <w:tcPr>
            <w:tcW w:w="10584" w:type="dxa"/>
            <w:tcBorders>
              <w:top w:val="double"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rPr>
              <w:t>评    分    标   准</w:t>
            </w:r>
          </w:p>
        </w:tc>
      </w:tr>
      <w:tr>
        <w:tblPrEx>
          <w:tblLayout w:type="fixed"/>
          <w:tblCellMar>
            <w:top w:w="0" w:type="dxa"/>
            <w:left w:w="0" w:type="dxa"/>
            <w:bottom w:w="0" w:type="dxa"/>
            <w:right w:w="0" w:type="dxa"/>
          </w:tblCellMar>
        </w:tblPrEx>
        <w:trPr>
          <w:trHeight w:val="750" w:hRule="atLeast"/>
        </w:trPr>
        <w:tc>
          <w:tcPr>
            <w:tcW w:w="678" w:type="dxa"/>
            <w:vMerge w:val="restart"/>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1316" w:type="dxa"/>
            <w:vMerge w:val="restart"/>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Style w:val="6"/>
                <w:rFonts w:hint="default"/>
              </w:rPr>
              <w:t>耕地保护措施落实与执行情况（50分）</w:t>
            </w: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耕地保护标识</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辖区内的保护标识完整无损毁的，得6分；每损毁一处的扣</w:t>
            </w:r>
            <w:r>
              <w:rPr>
                <w:rStyle w:val="6"/>
                <w:rFonts w:hint="default"/>
              </w:rPr>
              <w:t>1分；</w:t>
            </w:r>
            <w:r>
              <w:rPr>
                <w:rFonts w:hint="eastAsia" w:ascii="宋体" w:hAnsi="宋体" w:cs="宋体"/>
                <w:color w:val="000000"/>
                <w:kern w:val="0"/>
                <w:sz w:val="20"/>
                <w:szCs w:val="20"/>
              </w:rPr>
              <w:t>丢失的，不得分。</w:t>
            </w:r>
          </w:p>
        </w:tc>
      </w:tr>
      <w:tr>
        <w:tblPrEx>
          <w:tblLayout w:type="fixed"/>
          <w:tblCellMar>
            <w:top w:w="0" w:type="dxa"/>
            <w:left w:w="0" w:type="dxa"/>
            <w:bottom w:w="0" w:type="dxa"/>
            <w:right w:w="0" w:type="dxa"/>
          </w:tblCellMar>
        </w:tblPrEx>
        <w:trPr>
          <w:trHeight w:val="832" w:hRule="atLeast"/>
        </w:trPr>
        <w:tc>
          <w:tcPr>
            <w:tcW w:w="678" w:type="dxa"/>
            <w:vMerge w:val="continue"/>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责任书签订</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逐级签订耕地保护目标责任书及永久基本农田保护责任书，由乡镇“一把手”签订的，得6分，不是乡镇“一把手”签订的或检查发现有漏签、少签或不按时上报的，不得分。</w:t>
            </w:r>
          </w:p>
        </w:tc>
      </w:tr>
      <w:tr>
        <w:tblPrEx>
          <w:tblLayout w:type="fixed"/>
          <w:tblCellMar>
            <w:top w:w="0" w:type="dxa"/>
            <w:left w:w="0" w:type="dxa"/>
            <w:bottom w:w="0" w:type="dxa"/>
            <w:right w:w="0" w:type="dxa"/>
          </w:tblCellMar>
        </w:tblPrEx>
        <w:trPr>
          <w:trHeight w:val="684" w:hRule="atLeast"/>
        </w:trPr>
        <w:tc>
          <w:tcPr>
            <w:tcW w:w="678" w:type="dxa"/>
            <w:vMerge w:val="continue"/>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土壤污染防治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辖区内未发现土地污染情况的，得6分；发现并及时上报相关部门的，扣</w:t>
            </w:r>
            <w:r>
              <w:rPr>
                <w:rStyle w:val="6"/>
                <w:rFonts w:hint="default"/>
              </w:rPr>
              <w:t>2分</w:t>
            </w:r>
            <w:r>
              <w:rPr>
                <w:rFonts w:hint="eastAsia" w:ascii="宋体" w:hAnsi="宋体" w:cs="宋体"/>
                <w:color w:val="000000"/>
                <w:kern w:val="0"/>
                <w:sz w:val="20"/>
                <w:szCs w:val="20"/>
              </w:rPr>
              <w:t>；隐瞒不报的不得分。</w:t>
            </w:r>
          </w:p>
        </w:tc>
      </w:tr>
      <w:tr>
        <w:tblPrEx>
          <w:tblLayout w:type="fixed"/>
          <w:tblCellMar>
            <w:top w:w="0" w:type="dxa"/>
            <w:left w:w="0" w:type="dxa"/>
            <w:bottom w:w="0" w:type="dxa"/>
            <w:right w:w="0" w:type="dxa"/>
          </w:tblCellMar>
        </w:tblPrEx>
        <w:trPr>
          <w:trHeight w:val="489" w:hRule="atLeast"/>
        </w:trPr>
        <w:tc>
          <w:tcPr>
            <w:tcW w:w="678" w:type="dxa"/>
            <w:vMerge w:val="continue"/>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设施农用地管理（6分）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严格执行《国土资源部 农业部关于进一步支持设施农业健康发展的通知》（国土资发〔2014〕127号）和《自治区国土资源厅关于支持设施农业健康发展规范设施农用地管理工作得通知》（宁国土资发〔2017〕49号），规范设施农业用地管理，得8分，凡设施农用地批准书不报备县国土局的，每发现1宗，扣</w:t>
            </w:r>
            <w:r>
              <w:rPr>
                <w:rStyle w:val="6"/>
                <w:rFonts w:hint="default"/>
              </w:rPr>
              <w:t>2</w:t>
            </w:r>
            <w:r>
              <w:rPr>
                <w:rFonts w:hint="eastAsia" w:ascii="宋体" w:hAnsi="宋体" w:cs="宋体"/>
                <w:color w:val="000000"/>
                <w:kern w:val="0"/>
                <w:sz w:val="20"/>
                <w:szCs w:val="20"/>
              </w:rPr>
              <w:t>分。</w:t>
            </w:r>
          </w:p>
        </w:tc>
      </w:tr>
      <w:tr>
        <w:tblPrEx>
          <w:tblLayout w:type="fixed"/>
          <w:tblCellMar>
            <w:top w:w="0" w:type="dxa"/>
            <w:left w:w="0" w:type="dxa"/>
            <w:bottom w:w="0" w:type="dxa"/>
            <w:right w:w="0" w:type="dxa"/>
          </w:tblCellMar>
        </w:tblPrEx>
        <w:trPr>
          <w:trHeight w:val="751" w:hRule="atLeast"/>
        </w:trPr>
        <w:tc>
          <w:tcPr>
            <w:tcW w:w="678" w:type="dxa"/>
            <w:vMerge w:val="continue"/>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耕地保有量</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以最新的土地利用现状变更调查成果为准，年末耕地面积大于等于耕地保有量指标的，得4分。小于耕地保有量指标的，不得分。</w:t>
            </w:r>
          </w:p>
        </w:tc>
      </w:tr>
      <w:tr>
        <w:tblPrEx>
          <w:tblLayout w:type="fixed"/>
          <w:tblCellMar>
            <w:top w:w="0" w:type="dxa"/>
            <w:left w:w="0" w:type="dxa"/>
            <w:bottom w:w="0" w:type="dxa"/>
            <w:right w:w="0" w:type="dxa"/>
          </w:tblCellMar>
        </w:tblPrEx>
        <w:trPr>
          <w:trHeight w:val="734" w:hRule="atLeast"/>
        </w:trPr>
        <w:tc>
          <w:tcPr>
            <w:tcW w:w="678" w:type="dxa"/>
            <w:vMerge w:val="continue"/>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基本农田保护</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面积（8分）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以最新的土地利用现状变更调查成果为准，年末基本农田保护面积大于等于基本农田保护面积指标的，得8分。小于基本农田保护面积指标的，不得分。</w:t>
            </w:r>
          </w:p>
        </w:tc>
      </w:tr>
      <w:tr>
        <w:tblPrEx>
          <w:tblLayout w:type="fixed"/>
          <w:tblCellMar>
            <w:top w:w="0" w:type="dxa"/>
            <w:left w:w="0" w:type="dxa"/>
            <w:bottom w:w="0" w:type="dxa"/>
            <w:right w:w="0" w:type="dxa"/>
          </w:tblCellMar>
        </w:tblPrEx>
        <w:trPr>
          <w:trHeight w:val="773" w:hRule="atLeast"/>
        </w:trPr>
        <w:tc>
          <w:tcPr>
            <w:tcW w:w="678" w:type="dxa"/>
            <w:vMerge w:val="continue"/>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新增耕地后续</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监管（6分）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实施占补平衡项目区所在乡镇对新增耕地落实管护责任，督促所在地村委会将新增耕地承包耕种，如发现一起撂荒的扣3分，没有发现的不扣分，没实施项目的不得分。</w:t>
            </w:r>
          </w:p>
        </w:tc>
      </w:tr>
      <w:tr>
        <w:tblPrEx>
          <w:tblLayout w:type="fixed"/>
          <w:tblCellMar>
            <w:top w:w="0" w:type="dxa"/>
            <w:left w:w="0" w:type="dxa"/>
            <w:bottom w:w="0" w:type="dxa"/>
            <w:right w:w="0" w:type="dxa"/>
          </w:tblCellMar>
        </w:tblPrEx>
        <w:trPr>
          <w:trHeight w:val="765" w:hRule="atLeast"/>
        </w:trPr>
        <w:tc>
          <w:tcPr>
            <w:tcW w:w="678" w:type="dxa"/>
            <w:vMerge w:val="continue"/>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耕地保护责任目标自查落实情况（8分）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年末各乡镇人民政府对行政区域内耕地保护目标责任落实情况进行自查，并于每年12月5日前向县国土局报送耕地保护目标责任履行情况自查报告的，得8分。没有按要求进行自查的或不按时上报自查报告的，不得分。</w:t>
            </w:r>
          </w:p>
        </w:tc>
      </w:tr>
      <w:tr>
        <w:tblPrEx>
          <w:tblLayout w:type="fixed"/>
          <w:tblCellMar>
            <w:top w:w="0" w:type="dxa"/>
            <w:left w:w="0" w:type="dxa"/>
            <w:bottom w:w="0" w:type="dxa"/>
            <w:right w:w="0" w:type="dxa"/>
          </w:tblCellMar>
        </w:tblPrEx>
        <w:trPr>
          <w:trHeight w:val="1076" w:hRule="atLeast"/>
        </w:trPr>
        <w:tc>
          <w:tcPr>
            <w:tcW w:w="678" w:type="dxa"/>
            <w:vMerge w:val="restart"/>
            <w:tcBorders>
              <w:top w:val="dotted" w:color="auto" w:sz="4" w:space="0"/>
              <w:left w:val="double" w:color="auto" w:sz="4" w:space="0"/>
              <w:bottom w:val="dotted" w:color="auto" w:sz="4" w:space="0"/>
              <w:right w:val="dotted" w:color="auto" w:sz="4" w:space="0"/>
            </w:tcBorders>
            <w:shd w:val="clear" w:color="000000" w:fill="FFFFFF"/>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316" w:type="dxa"/>
            <w:vMerge w:val="restart"/>
            <w:tcBorders>
              <w:top w:val="dotted" w:color="auto" w:sz="4" w:space="0"/>
              <w:left w:val="dotted" w:color="auto" w:sz="4" w:space="0"/>
              <w:bottom w:val="dotted" w:color="auto" w:sz="4" w:space="0"/>
              <w:right w:val="dotted" w:color="auto" w:sz="4" w:space="0"/>
            </w:tcBorders>
            <w:shd w:val="clear" w:color="000000" w:fill="FFFFFF"/>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土地征收管理（30）</w:t>
            </w:r>
          </w:p>
        </w:tc>
        <w:tc>
          <w:tcPr>
            <w:tcW w:w="1456" w:type="dxa"/>
            <w:tcBorders>
              <w:top w:val="dotted" w:color="auto" w:sz="4" w:space="0"/>
              <w:left w:val="dotted" w:color="auto" w:sz="4" w:space="0"/>
              <w:bottom w:val="dotted" w:color="auto" w:sz="4" w:space="0"/>
              <w:right w:val="dotted" w:color="auto" w:sz="4" w:space="0"/>
            </w:tcBorders>
            <w:shd w:val="clear" w:color="000000" w:fill="FFFFFF"/>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依法依规征收</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集体土地</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（10分）</w:t>
            </w:r>
          </w:p>
        </w:tc>
        <w:tc>
          <w:tcPr>
            <w:tcW w:w="10584" w:type="dxa"/>
            <w:tcBorders>
              <w:top w:val="dotted" w:color="auto" w:sz="4" w:space="0"/>
              <w:left w:val="dotted" w:color="auto" w:sz="4" w:space="0"/>
              <w:bottom w:val="dotted" w:color="auto" w:sz="4" w:space="0"/>
              <w:right w:val="double" w:color="auto" w:sz="4" w:space="0"/>
            </w:tcBorders>
            <w:shd w:val="clear" w:color="000000" w:fill="FFFFFF"/>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依法依规征收集体土地的，得10分。凡检查发现或经群众举报有未批先征、强行征收或在征地工作中弄虚作假、社会保障措施不落实等行为的，经查属实，每发现1起扣5分，扣完为止。</w:t>
            </w:r>
          </w:p>
        </w:tc>
      </w:tr>
      <w:tr>
        <w:tblPrEx>
          <w:tblLayout w:type="fixed"/>
          <w:tblCellMar>
            <w:top w:w="0" w:type="dxa"/>
            <w:left w:w="0" w:type="dxa"/>
            <w:bottom w:w="0" w:type="dxa"/>
            <w:right w:w="0" w:type="dxa"/>
          </w:tblCellMar>
        </w:tblPrEx>
        <w:trPr>
          <w:trHeight w:val="1500" w:hRule="atLeast"/>
        </w:trPr>
        <w:tc>
          <w:tcPr>
            <w:tcW w:w="678" w:type="dxa"/>
            <w:vMerge w:val="continue"/>
            <w:tcBorders>
              <w:top w:val="dotted" w:color="auto" w:sz="4" w:space="0"/>
              <w:left w:val="double" w:color="auto" w:sz="4" w:space="0"/>
              <w:bottom w:val="dotted" w:color="auto" w:sz="4" w:space="0"/>
              <w:right w:val="dotted" w:color="auto" w:sz="4" w:space="0"/>
            </w:tcBorders>
            <w:shd w:val="clear" w:color="000000" w:fill="FFFFFF"/>
            <w:tcMar>
              <w:top w:w="12" w:type="dxa"/>
              <w:left w:w="12" w:type="dxa"/>
              <w:right w:w="12" w:type="dxa"/>
            </w:tcMar>
            <w:vAlign w:val="center"/>
          </w:tcPr>
          <w:p>
            <w:pPr>
              <w:jc w:val="center"/>
              <w:rPr>
                <w:rFonts w:hint="eastAsia" w:ascii="宋体" w:hAnsi="宋体" w:cs="宋体"/>
                <w:color w:val="000000"/>
                <w:sz w:val="22"/>
                <w:szCs w:val="22"/>
              </w:rPr>
            </w:pPr>
          </w:p>
        </w:tc>
        <w:tc>
          <w:tcPr>
            <w:tcW w:w="1316" w:type="dxa"/>
            <w:vMerge w:val="continue"/>
            <w:tcBorders>
              <w:top w:val="dotted" w:color="auto" w:sz="4" w:space="0"/>
              <w:left w:val="dotted" w:color="auto" w:sz="4" w:space="0"/>
              <w:bottom w:val="dotted" w:color="auto" w:sz="4" w:space="0"/>
              <w:right w:val="dotted" w:color="auto" w:sz="4" w:space="0"/>
            </w:tcBorders>
            <w:shd w:val="clear" w:color="000000" w:fill="FFFFFF"/>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shd w:val="clear" w:color="000000" w:fill="FFFFFF"/>
            <w:tcMar>
              <w:top w:w="12" w:type="dxa"/>
              <w:left w:w="12" w:type="dxa"/>
              <w:right w:w="12"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征地信息公开和失地农民养老保险</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（10分）</w:t>
            </w:r>
          </w:p>
        </w:tc>
        <w:tc>
          <w:tcPr>
            <w:tcW w:w="10584" w:type="dxa"/>
            <w:tcBorders>
              <w:top w:val="dotted" w:color="auto" w:sz="4" w:space="0"/>
              <w:left w:val="dotted" w:color="auto" w:sz="4" w:space="0"/>
              <w:bottom w:val="dotted" w:color="auto" w:sz="4" w:space="0"/>
              <w:right w:val="double" w:color="auto" w:sz="4" w:space="0"/>
            </w:tcBorders>
            <w:shd w:val="clear" w:color="000000" w:fill="FFFFFF"/>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及时、准确在乡镇人民政府、村委会公示栏中张贴征地信息相关内容的，得10分。凡检查发现没有更新、征地信息公开不全、更新时间滞后等行为的，经查属实，每发现1起扣2分，扣完为止。</w:t>
            </w:r>
          </w:p>
        </w:tc>
      </w:tr>
      <w:tr>
        <w:tblPrEx>
          <w:tblLayout w:type="fixed"/>
          <w:tblCellMar>
            <w:top w:w="0" w:type="dxa"/>
            <w:left w:w="0" w:type="dxa"/>
            <w:bottom w:w="0" w:type="dxa"/>
            <w:right w:w="0" w:type="dxa"/>
          </w:tblCellMar>
        </w:tblPrEx>
        <w:trPr>
          <w:trHeight w:val="1176" w:hRule="atLeast"/>
        </w:trPr>
        <w:tc>
          <w:tcPr>
            <w:tcW w:w="678" w:type="dxa"/>
            <w:vMerge w:val="continue"/>
            <w:tcBorders>
              <w:top w:val="dotted" w:color="auto" w:sz="4" w:space="0"/>
              <w:left w:val="double" w:color="auto" w:sz="4" w:space="0"/>
              <w:bottom w:val="dotted" w:color="auto" w:sz="4" w:space="0"/>
              <w:right w:val="dotted" w:color="auto" w:sz="4" w:space="0"/>
            </w:tcBorders>
            <w:shd w:val="clear" w:color="000000" w:fill="FFFFFF"/>
            <w:tcMar>
              <w:top w:w="12" w:type="dxa"/>
              <w:left w:w="12" w:type="dxa"/>
              <w:right w:w="12" w:type="dxa"/>
            </w:tcMar>
            <w:vAlign w:val="center"/>
          </w:tcPr>
          <w:p>
            <w:pPr>
              <w:jc w:val="center"/>
              <w:rPr>
                <w:rFonts w:hint="eastAsia" w:ascii="宋体" w:hAnsi="宋体" w:cs="宋体"/>
                <w:color w:val="000000"/>
                <w:sz w:val="22"/>
                <w:szCs w:val="22"/>
              </w:rPr>
            </w:pPr>
          </w:p>
        </w:tc>
        <w:tc>
          <w:tcPr>
            <w:tcW w:w="1316" w:type="dxa"/>
            <w:vMerge w:val="continue"/>
            <w:tcBorders>
              <w:top w:val="dotted" w:color="auto" w:sz="4" w:space="0"/>
              <w:left w:val="dotted" w:color="auto" w:sz="4" w:space="0"/>
              <w:bottom w:val="dotted" w:color="auto" w:sz="4" w:space="0"/>
              <w:right w:val="dotted" w:color="auto" w:sz="4" w:space="0"/>
            </w:tcBorders>
            <w:shd w:val="clear" w:color="000000" w:fill="FFFFFF"/>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tted" w:color="auto" w:sz="4" w:space="0"/>
              <w:right w:val="dotted" w:color="auto" w:sz="4" w:space="0"/>
            </w:tcBorders>
            <w:shd w:val="clear" w:color="000000" w:fill="FFFFFF"/>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征地宣传动员</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和组织安排</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（10分）</w:t>
            </w:r>
          </w:p>
        </w:tc>
        <w:tc>
          <w:tcPr>
            <w:tcW w:w="10584" w:type="dxa"/>
            <w:tcBorders>
              <w:top w:val="dotted" w:color="auto" w:sz="4" w:space="0"/>
              <w:left w:val="dotted" w:color="auto" w:sz="4" w:space="0"/>
              <w:bottom w:val="dotted" w:color="auto" w:sz="4" w:space="0"/>
              <w:right w:val="double" w:color="auto" w:sz="4" w:space="0"/>
            </w:tcBorders>
            <w:shd w:val="clear" w:color="000000" w:fill="FFFFFF"/>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做好征地宣传动员，召开村民代表一事一议会议，服从征地工作安排，得10分。凡没有进行调查摸底，没有发挥监督管理职责，发生抢耕、抢种、私搭乱建等违法行为，有1起扣2分，扣完为止。</w:t>
            </w:r>
          </w:p>
        </w:tc>
      </w:tr>
      <w:tr>
        <w:tblPrEx>
          <w:tblLayout w:type="fixed"/>
          <w:tblCellMar>
            <w:top w:w="0" w:type="dxa"/>
            <w:left w:w="0" w:type="dxa"/>
            <w:bottom w:w="0" w:type="dxa"/>
            <w:right w:w="0" w:type="dxa"/>
          </w:tblCellMar>
        </w:tblPrEx>
        <w:trPr>
          <w:trHeight w:val="832" w:hRule="atLeast"/>
        </w:trPr>
        <w:tc>
          <w:tcPr>
            <w:tcW w:w="678" w:type="dxa"/>
            <w:vMerge w:val="restart"/>
            <w:tcBorders>
              <w:top w:val="dotted" w:color="auto" w:sz="4" w:space="0"/>
              <w:left w:val="double"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1316" w:type="dxa"/>
            <w:vMerge w:val="restart"/>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执法监督</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（20分）</w:t>
            </w:r>
          </w:p>
        </w:tc>
        <w:tc>
          <w:tcPr>
            <w:tcW w:w="1456" w:type="dxa"/>
            <w:tcBorders>
              <w:top w:val="dotted" w:color="auto" w:sz="4" w:space="0"/>
              <w:left w:val="dotted" w:color="auto" w:sz="4" w:space="0"/>
              <w:bottom w:val="dotted" w:color="auto" w:sz="4" w:space="0"/>
              <w:right w:val="dotted"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Style w:val="6"/>
                <w:rFonts w:hint="default"/>
              </w:rPr>
              <w:t>土地卫片检查（10分）</w:t>
            </w:r>
          </w:p>
        </w:tc>
        <w:tc>
          <w:tcPr>
            <w:tcW w:w="10584" w:type="dxa"/>
            <w:tcBorders>
              <w:top w:val="dotted" w:color="auto" w:sz="4" w:space="0"/>
              <w:left w:val="dotted" w:color="auto" w:sz="4" w:space="0"/>
              <w:bottom w:val="dotted"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以上年度土地卫片执法检查核定的违法占地为依据，辖区内无违法占地的，不扣分；违法占地有一宗扣</w:t>
            </w:r>
            <w:r>
              <w:rPr>
                <w:rStyle w:val="6"/>
                <w:rFonts w:hint="default"/>
              </w:rPr>
              <w:t>2</w:t>
            </w:r>
            <w:r>
              <w:rPr>
                <w:rFonts w:hint="eastAsia" w:ascii="宋体" w:hAnsi="宋体" w:cs="宋体"/>
                <w:color w:val="000000"/>
                <w:kern w:val="0"/>
                <w:sz w:val="20"/>
                <w:szCs w:val="20"/>
              </w:rPr>
              <w:t>分，扣完为止。</w:t>
            </w:r>
          </w:p>
        </w:tc>
      </w:tr>
      <w:tr>
        <w:tblPrEx>
          <w:tblLayout w:type="fixed"/>
          <w:tblCellMar>
            <w:top w:w="0" w:type="dxa"/>
            <w:left w:w="0" w:type="dxa"/>
            <w:bottom w:w="0" w:type="dxa"/>
            <w:right w:w="0" w:type="dxa"/>
          </w:tblCellMar>
        </w:tblPrEx>
        <w:trPr>
          <w:trHeight w:val="1057" w:hRule="atLeast"/>
        </w:trPr>
        <w:tc>
          <w:tcPr>
            <w:tcW w:w="678" w:type="dxa"/>
            <w:vMerge w:val="continue"/>
            <w:tcBorders>
              <w:top w:val="dotted" w:color="auto" w:sz="4" w:space="0"/>
              <w:left w:val="double" w:color="auto" w:sz="4" w:space="0"/>
              <w:bottom w:val="double"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316" w:type="dxa"/>
            <w:vMerge w:val="continue"/>
            <w:tcBorders>
              <w:top w:val="dotted" w:color="auto" w:sz="4" w:space="0"/>
              <w:left w:val="dotted" w:color="auto" w:sz="4" w:space="0"/>
              <w:bottom w:val="double" w:color="auto" w:sz="4" w:space="0"/>
              <w:right w:val="dotted"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56" w:type="dxa"/>
            <w:tcBorders>
              <w:top w:val="dotted" w:color="auto" w:sz="4" w:space="0"/>
              <w:left w:val="dotted" w:color="auto" w:sz="4" w:space="0"/>
              <w:bottom w:val="double" w:color="auto" w:sz="4" w:space="0"/>
              <w:right w:val="dotted" w:color="auto" w:sz="4" w:space="0"/>
            </w:tcBorders>
            <w:tcMar>
              <w:top w:w="12" w:type="dxa"/>
              <w:left w:w="12" w:type="dxa"/>
              <w:right w:w="12" w:type="dxa"/>
            </w:tcMar>
            <w:vAlign w:val="center"/>
          </w:tcPr>
          <w:p>
            <w:pPr>
              <w:widowControl/>
              <w:jc w:val="center"/>
              <w:textAlignment w:val="center"/>
              <w:rPr>
                <w:rStyle w:val="6"/>
                <w:rFonts w:hint="default"/>
              </w:rPr>
            </w:pPr>
            <w:r>
              <w:rPr>
                <w:rStyle w:val="6"/>
                <w:rFonts w:hint="default"/>
              </w:rPr>
              <w:t>违法占用基本</w:t>
            </w:r>
          </w:p>
          <w:p>
            <w:pPr>
              <w:widowControl/>
              <w:jc w:val="center"/>
              <w:textAlignment w:val="center"/>
              <w:rPr>
                <w:rStyle w:val="6"/>
                <w:rFonts w:hint="default"/>
              </w:rPr>
            </w:pPr>
            <w:r>
              <w:rPr>
                <w:rStyle w:val="6"/>
                <w:rFonts w:hint="default"/>
              </w:rPr>
              <w:t>农田情况</w:t>
            </w:r>
          </w:p>
          <w:p>
            <w:pPr>
              <w:widowControl/>
              <w:jc w:val="center"/>
              <w:textAlignment w:val="center"/>
              <w:rPr>
                <w:rFonts w:hint="eastAsia" w:ascii="宋体" w:hAnsi="宋体" w:cs="宋体"/>
                <w:color w:val="000000"/>
                <w:sz w:val="20"/>
                <w:szCs w:val="20"/>
              </w:rPr>
            </w:pPr>
            <w:r>
              <w:rPr>
                <w:rStyle w:val="6"/>
                <w:rFonts w:hint="default"/>
              </w:rPr>
              <w:t>（10分）</w:t>
            </w:r>
          </w:p>
        </w:tc>
        <w:tc>
          <w:tcPr>
            <w:tcW w:w="10584" w:type="dxa"/>
            <w:tcBorders>
              <w:top w:val="dotted" w:color="auto" w:sz="4" w:space="0"/>
              <w:left w:val="dotted" w:color="auto" w:sz="4" w:space="0"/>
              <w:bottom w:val="double" w:color="auto" w:sz="4" w:space="0"/>
              <w:right w:val="double" w:color="auto" w:sz="4" w:space="0"/>
            </w:tcBorders>
            <w:tcMar>
              <w:top w:w="12" w:type="dxa"/>
              <w:left w:w="12" w:type="dxa"/>
              <w:right w:w="12"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年内，本辖区内发现有违法占用基本农田的，本项不得分，年终耕地保护不评先评优。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22728"/>
    <w:rsid w:val="03722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 w:type="character" w:customStyle="1" w:styleId="6">
    <w:name w:val="font5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2018-12-12T09:03:00Z</dcterms:created>
  <dc:creator>凉凉</dc:creator>
  <cp:lastModifiedBy>凉凉</cp:lastModifiedBy>
  <dcterms:modified xsi:type="dcterms:W3CDTF">2018-12-12T09:05:36Z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