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仿宋_GB2312"/>
          <w:sz w:val="32"/>
          <w:szCs w:val="32"/>
          <w:lang w:eastAsia="zh-CN"/>
        </w:rPr>
      </w:pPr>
      <w:r>
        <w:rPr>
          <w:rFonts w:eastAsia="仿宋_GB2312"/>
          <w:sz w:val="32"/>
          <w:szCs w:val="32"/>
        </w:rPr>
        <w:t>附件3</w:t>
      </w:r>
    </w:p>
    <w:p>
      <w:pPr>
        <w:spacing w:line="560" w:lineRule="exact"/>
        <w:jc w:val="center"/>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平罗县</w:t>
      </w:r>
      <w:r>
        <w:rPr>
          <w:rFonts w:hint="eastAsia" w:ascii="方正小标宋_GBK" w:hAnsi="方正小标宋_GBK" w:eastAsia="方正小标宋_GBK" w:cs="方正小标宋_GBK"/>
          <w:sz w:val="44"/>
          <w:szCs w:val="44"/>
          <w:lang w:eastAsia="zh-CN"/>
        </w:rPr>
        <w:t>头闸</w:t>
      </w:r>
      <w:r>
        <w:rPr>
          <w:rFonts w:hint="eastAsia" w:ascii="方正小标宋_GBK" w:hAnsi="方正小标宋_GBK" w:eastAsia="方正小标宋_GBK" w:cs="方正小标宋_GBK"/>
          <w:sz w:val="44"/>
          <w:szCs w:val="44"/>
        </w:rPr>
        <w:t>镇普法措施清单</w:t>
      </w:r>
    </w:p>
    <w:bookmarkEnd w:id="0"/>
    <w:tbl>
      <w:tblPr>
        <w:tblStyle w:val="5"/>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6497"/>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780" w:type="dxa"/>
            <w:noWrap w:val="0"/>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序号</w:t>
            </w:r>
          </w:p>
        </w:tc>
        <w:tc>
          <w:tcPr>
            <w:tcW w:w="6497" w:type="dxa"/>
            <w:noWrap w:val="0"/>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具体措施</w:t>
            </w:r>
          </w:p>
        </w:tc>
        <w:tc>
          <w:tcPr>
            <w:tcW w:w="2011" w:type="dxa"/>
            <w:noWrap w:val="0"/>
            <w:vAlign w:val="center"/>
          </w:tcPr>
          <w:p>
            <w:pPr>
              <w:keepNext w:val="0"/>
              <w:keepLines w:val="0"/>
              <w:suppressLineNumbers w:val="0"/>
              <w:spacing w:before="0" w:beforeAutospacing="0" w:after="0" w:afterAutospacing="0"/>
              <w:ind w:left="0" w:right="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承办部门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780"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497"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落实领导干部学法制度。将习近平法治思想、《宪法》、《民法典》等法律法规学习纳入镇党委中心组理论学习以及领导干部理论学习计划中，利用会前学法、专题培训等形式组织领导干部集中学习。</w:t>
            </w:r>
          </w:p>
        </w:tc>
        <w:tc>
          <w:tcPr>
            <w:tcW w:w="2011"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综合办公室、党建工作办公室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780"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6497"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落实“谁执法谁普法”普法责任制，采取多种多样的形式，深入基层、深入群众，在具体执法管理、服务过程中向群众宣传有关法律规定、法律程序，解答有关法律问题。把执法、管理、服务现场变成向群众宣传普及法律的第一现场。</w:t>
            </w:r>
          </w:p>
        </w:tc>
        <w:tc>
          <w:tcPr>
            <w:tcW w:w="2011"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各办（中心）、各站所、各村（社区）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780" w:type="dxa"/>
            <w:noWrap w:val="0"/>
            <w:vAlign w:val="center"/>
          </w:tcPr>
          <w:p>
            <w:pPr>
              <w:keepNext w:val="0"/>
              <w:keepLines w:val="0"/>
              <w:suppressLineNumbers w:val="0"/>
              <w:spacing w:before="0" w:beforeAutospacing="0" w:after="0" w:afterAutospacing="0" w:line="300" w:lineRule="exact"/>
              <w:ind w:left="0" w:right="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6497"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突出重要时间节点普法。在春节、“3</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lang w:eastAsia="zh-CN"/>
              </w:rPr>
              <w:t>8”妇女节、“3</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lang w:eastAsia="zh-CN"/>
              </w:rPr>
              <w:t>15”消费者维权日，禁毒宣传月、民族团结月等重要节点，积极开展法治文化宣传，广泛宣传法律法规，扩大法律覆盖范围，引导村民学习相关法律知识，树立法律意识</w:t>
            </w:r>
          </w:p>
        </w:tc>
        <w:tc>
          <w:tcPr>
            <w:tcW w:w="2011"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各办（中心）、各站所、各村（社区）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780" w:type="dxa"/>
            <w:noWrap w:val="0"/>
            <w:vAlign w:val="center"/>
          </w:tcPr>
          <w:p>
            <w:pPr>
              <w:keepNext w:val="0"/>
              <w:keepLines w:val="0"/>
              <w:suppressLineNumbers w:val="0"/>
              <w:spacing w:before="0" w:beforeAutospacing="0" w:after="0" w:afterAutospacing="0" w:line="300" w:lineRule="exact"/>
              <w:ind w:left="0" w:right="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6497" w:type="dxa"/>
            <w:noWrap w:val="0"/>
            <w:vAlign w:val="top"/>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推进“互联网＋法治宣传”。充分利用普法网站、微信和客户端媒体新技术在普法中的运用。利用电子显示屏、法治广场、微信群及村级宣传阵地等大众传媒的优势，开展法治宣传。</w:t>
            </w:r>
          </w:p>
        </w:tc>
        <w:tc>
          <w:tcPr>
            <w:tcW w:w="2011"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各办（中心）、各站所、各村（社区）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780" w:type="dxa"/>
            <w:noWrap w:val="0"/>
            <w:vAlign w:val="center"/>
          </w:tcPr>
          <w:p>
            <w:pPr>
              <w:keepNext w:val="0"/>
              <w:keepLines w:val="0"/>
              <w:suppressLineNumbers w:val="0"/>
              <w:spacing w:before="0" w:beforeAutospacing="0" w:after="0" w:afterAutospacing="0" w:line="300" w:lineRule="exact"/>
              <w:ind w:left="0" w:right="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6497" w:type="dxa"/>
            <w:noWrap w:val="0"/>
            <w:vAlign w:val="top"/>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sz w:val="24"/>
                <w:szCs w:val="24"/>
                <w:lang w:eastAsia="zh-CN"/>
              </w:rPr>
            </w:pPr>
          </w:p>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开展“以案释法”活动。在普法宣传、法律服务、人民调解及其他工作中，开展以案释法，增强群众法治意识，引导群众遇事找法，解决问题靠法。</w:t>
            </w:r>
          </w:p>
        </w:tc>
        <w:tc>
          <w:tcPr>
            <w:tcW w:w="2011"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各办（中心）、各站所、各村（社区）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780" w:type="dxa"/>
            <w:noWrap w:val="0"/>
            <w:vAlign w:val="center"/>
          </w:tcPr>
          <w:p>
            <w:pPr>
              <w:keepNext w:val="0"/>
              <w:keepLines w:val="0"/>
              <w:suppressLineNumbers w:val="0"/>
              <w:spacing w:before="0" w:beforeAutospacing="0" w:after="0" w:afterAutospacing="0"/>
              <w:ind w:left="0" w:right="0"/>
              <w:jc w:val="center"/>
              <w:rPr>
                <w:rFonts w:hint="default" w:ascii="仿宋" w:hAnsi="仿宋" w:eastAsia="仿宋" w:cstheme="minorBidi"/>
                <w:kern w:val="2"/>
                <w:sz w:val="24"/>
                <w:szCs w:val="24"/>
                <w:lang w:val="en-US" w:eastAsia="zh-CN"/>
              </w:rPr>
            </w:pPr>
            <w:r>
              <w:rPr>
                <w:rFonts w:hint="eastAsia" w:ascii="仿宋" w:hAnsi="仿宋" w:eastAsia="仿宋" w:cstheme="minorBidi"/>
                <w:kern w:val="2"/>
                <w:sz w:val="24"/>
                <w:szCs w:val="24"/>
                <w:lang w:val="en-US" w:eastAsia="zh-CN"/>
              </w:rPr>
              <w:t>6</w:t>
            </w:r>
          </w:p>
        </w:tc>
        <w:tc>
          <w:tcPr>
            <w:tcW w:w="6497" w:type="dxa"/>
            <w:noWrap w:val="0"/>
            <w:vAlign w:val="top"/>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抓住关键少数，开展领导干部学法培训。邀请政府法律顾问、普法讲师团成员为全镇领导干部开展法治讲座、专题培训；组织领导干部到法院参加旁听庭审活动、观看网络庭审直播，进一步增强领导干部自觉运用法治思维和法治方式解决问题的能力。</w:t>
            </w:r>
          </w:p>
        </w:tc>
        <w:tc>
          <w:tcPr>
            <w:tcW w:w="2011"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综合办公室、司法所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780" w:type="dxa"/>
            <w:noWrap w:val="0"/>
            <w:vAlign w:val="center"/>
          </w:tcPr>
          <w:p>
            <w:pPr>
              <w:keepNext w:val="0"/>
              <w:keepLines w:val="0"/>
              <w:suppressLineNumbers w:val="0"/>
              <w:spacing w:before="0" w:beforeAutospacing="0" w:after="0" w:afterAutospacing="0" w:line="300" w:lineRule="exact"/>
              <w:ind w:left="0" w:right="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c>
          <w:tcPr>
            <w:tcW w:w="6497"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加强法治宣传阵地建设，发挥头闸镇法治文化广场、西永惠村“福馨园”法律进乡村示范点、法治游园等法治宣传阵地的示范带头作用，在各村因地制宜打造法治文化宣传阵地，营造尊法学法守法用法良好氛围。</w:t>
            </w:r>
          </w:p>
        </w:tc>
        <w:tc>
          <w:tcPr>
            <w:tcW w:w="2011"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各村（社区）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trPr>
        <w:tc>
          <w:tcPr>
            <w:tcW w:w="780" w:type="dxa"/>
            <w:noWrap w:val="0"/>
            <w:vAlign w:val="center"/>
          </w:tcPr>
          <w:p>
            <w:pPr>
              <w:keepNext w:val="0"/>
              <w:keepLines w:val="0"/>
              <w:suppressLineNumbers w:val="0"/>
              <w:spacing w:before="0" w:beforeAutospacing="0" w:after="0" w:afterAutospacing="0" w:line="300" w:lineRule="exact"/>
              <w:ind w:left="0" w:right="0"/>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w:t>
            </w:r>
          </w:p>
        </w:tc>
        <w:tc>
          <w:tcPr>
            <w:tcW w:w="6497"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落实普法</w:t>
            </w:r>
            <w:r>
              <w:rPr>
                <w:rFonts w:hint="eastAsia" w:ascii="仿宋_GB2312" w:hAnsi="仿宋_GB2312" w:eastAsia="仿宋_GB2312" w:cs="仿宋_GB2312"/>
                <w:sz w:val="24"/>
                <w:szCs w:val="24"/>
                <w:lang w:eastAsia="zh-CN"/>
              </w:rPr>
              <w:t>依法</w:t>
            </w:r>
            <w:r>
              <w:rPr>
                <w:rFonts w:hint="eastAsia" w:ascii="仿宋_GB2312" w:hAnsi="仿宋_GB2312" w:eastAsia="仿宋_GB2312" w:cs="仿宋_GB2312"/>
                <w:sz w:val="24"/>
                <w:szCs w:val="24"/>
              </w:rPr>
              <w:t>治理工作责任</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建立普法</w:t>
            </w:r>
            <w:r>
              <w:rPr>
                <w:rFonts w:hint="eastAsia" w:ascii="仿宋_GB2312" w:hAnsi="仿宋_GB2312" w:eastAsia="仿宋_GB2312" w:cs="仿宋_GB2312"/>
                <w:sz w:val="24"/>
                <w:szCs w:val="24"/>
                <w:lang w:eastAsia="zh-CN"/>
              </w:rPr>
              <w:t>依法</w:t>
            </w:r>
            <w:r>
              <w:rPr>
                <w:rFonts w:hint="eastAsia" w:ascii="仿宋_GB2312" w:hAnsi="仿宋_GB2312" w:eastAsia="仿宋_GB2312" w:cs="仿宋_GB2312"/>
                <w:sz w:val="24"/>
                <w:szCs w:val="24"/>
              </w:rPr>
              <w:t>治理考核机制。将普法依法治理纳入绩效考核系统实行考核，用依法治理的成果检验普法宣传的成效。</w:t>
            </w:r>
          </w:p>
        </w:tc>
        <w:tc>
          <w:tcPr>
            <w:tcW w:w="2011" w:type="dxa"/>
            <w:noWrap w:val="0"/>
            <w:vAlign w:val="center"/>
          </w:tcPr>
          <w:p>
            <w:pPr>
              <w:keepNext w:val="0"/>
              <w:keepLines w:val="0"/>
              <w:suppressLineNumbers w:val="0"/>
              <w:spacing w:before="0" w:beforeAutospacing="0" w:after="0" w:afterAutospacing="0" w:line="300" w:lineRule="exact"/>
              <w:ind w:left="0" w:right="0"/>
              <w:jc w:val="both"/>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综合办公室</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script"/>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5D18A9"/>
    <w:rsid w:val="1C5D1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rFonts w:ascii="Calibri" w:hAnsi="Calibri" w:eastAsia="宋体" w:cs="Times New Roman"/>
    </w:rPr>
  </w:style>
  <w:style w:type="paragraph" w:styleId="3">
    <w:name w:val="Body Text Indent"/>
    <w:basedOn w:val="1"/>
    <w:next w:val="1"/>
    <w:qFormat/>
    <w:uiPriority w:val="0"/>
    <w:pPr>
      <w:spacing w:after="120" w:afterLines="0"/>
      <w:ind w:left="420" w:leftChars="200"/>
    </w:pPr>
    <w:rPr>
      <w:rFonts w:ascii="Calibri" w:hAnsi="Calibri" w:eastAsia="宋体" w:cs="Times New Roman"/>
      <w:szCs w:val="22"/>
    </w:rPr>
  </w:style>
  <w:style w:type="paragraph" w:customStyle="1" w:styleId="4">
    <w:name w:val="_Style 3"/>
    <w:next w:val="1"/>
    <w:qFormat/>
    <w:uiPriority w:val="0"/>
    <w:pPr>
      <w:wordWrap w:val="0"/>
      <w:spacing w:before="360" w:after="360" w:line="240" w:lineRule="auto"/>
      <w:ind w:left="950" w:right="950"/>
      <w:jc w:val="center"/>
    </w:pPr>
    <w:rPr>
      <w:rFonts w:ascii="Times New Roman" w:hAnsi="Times New Roman" w:eastAsia="宋体" w:cs="Times New Roman"/>
      <w:i/>
      <w:color w:val="auto"/>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2021-08-04T09:18:00Z</dcterms:created>
  <dc:creator>平罗县头闸镇收文员</dc:creator>
  <cp:lastModifiedBy>平罗县头闸镇收文员</cp:lastModifiedBy>
  <dcterms:modified xsi:type="dcterms:W3CDTF">2021-08-04T09:19:37Z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